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0CD0D8" w14:textId="77777777" w:rsidR="00BB3BE3" w:rsidRPr="000A40E6" w:rsidRDefault="00BB3BE3" w:rsidP="00F756C3">
      <w:pPr>
        <w:suppressAutoHyphens/>
        <w:ind w:firstLine="0"/>
        <w:jc w:val="center"/>
        <w:rPr>
          <w:rFonts w:cs="Times New Roman"/>
          <w:b/>
          <w:szCs w:val="24"/>
        </w:rPr>
      </w:pPr>
      <w:bookmarkStart w:id="0" w:name="_Toc488004474"/>
      <w:bookmarkStart w:id="1" w:name="_Toc482344490"/>
      <w:bookmarkStart w:id="2" w:name="_Toc486288766"/>
      <w:r w:rsidRPr="000A40E6">
        <w:rPr>
          <w:rFonts w:cs="Times New Roman"/>
          <w:b/>
          <w:szCs w:val="24"/>
        </w:rPr>
        <w:t>T.C.</w:t>
      </w:r>
    </w:p>
    <w:p w14:paraId="0DB4C623" w14:textId="7FD70C41" w:rsidR="00BB3BE3" w:rsidRPr="000A40E6" w:rsidRDefault="00306C69" w:rsidP="00F756C3">
      <w:pPr>
        <w:suppressAutoHyphens/>
        <w:ind w:firstLine="0"/>
        <w:jc w:val="center"/>
        <w:rPr>
          <w:rFonts w:cs="Times New Roman"/>
          <w:b/>
          <w:szCs w:val="24"/>
        </w:rPr>
      </w:pPr>
      <w:r w:rsidRPr="000A40E6">
        <w:rPr>
          <w:rFonts w:cs="Times New Roman"/>
          <w:b/>
          <w:szCs w:val="24"/>
        </w:rPr>
        <w:t xml:space="preserve">AYDIN </w:t>
      </w:r>
      <w:r w:rsidR="00BB3BE3" w:rsidRPr="000A40E6">
        <w:rPr>
          <w:rFonts w:cs="Times New Roman"/>
          <w:b/>
          <w:szCs w:val="24"/>
        </w:rPr>
        <w:t>ADNAN MENDERES ÜNİVERSİTESİ</w:t>
      </w:r>
    </w:p>
    <w:p w14:paraId="6B21F41F" w14:textId="77FE1996" w:rsidR="00BB3BE3" w:rsidRPr="000A40E6" w:rsidRDefault="00BB3BE3" w:rsidP="00F756C3">
      <w:pPr>
        <w:suppressAutoHyphens/>
        <w:ind w:firstLine="0"/>
        <w:jc w:val="center"/>
        <w:rPr>
          <w:rFonts w:cs="Times New Roman"/>
          <w:b/>
          <w:szCs w:val="24"/>
        </w:rPr>
      </w:pPr>
      <w:r w:rsidRPr="000A40E6">
        <w:rPr>
          <w:rFonts w:cs="Times New Roman"/>
          <w:b/>
          <w:szCs w:val="24"/>
        </w:rPr>
        <w:t>SAĞLIK BİLİMLERİ ENSTİTÜSÜ</w:t>
      </w:r>
    </w:p>
    <w:p w14:paraId="109F2713" w14:textId="6A2898FC" w:rsidR="00BB3BE3" w:rsidRPr="000A40E6" w:rsidRDefault="003E2507" w:rsidP="00F756C3">
      <w:pPr>
        <w:suppressAutoHyphens/>
        <w:ind w:firstLine="0"/>
        <w:jc w:val="center"/>
        <w:rPr>
          <w:rFonts w:cs="Times New Roman"/>
          <w:b/>
          <w:szCs w:val="24"/>
        </w:rPr>
      </w:pPr>
      <w:r w:rsidRPr="000A40E6">
        <w:rPr>
          <w:rFonts w:cs="Times New Roman"/>
          <w:b/>
          <w:szCs w:val="24"/>
        </w:rPr>
        <w:t>ORTODONTİ DOKTORA PROGRAMI</w:t>
      </w:r>
    </w:p>
    <w:p w14:paraId="44AAC743" w14:textId="77777777" w:rsidR="00BB3BE3" w:rsidRPr="000A40E6" w:rsidRDefault="00BB3BE3" w:rsidP="00F756C3">
      <w:pPr>
        <w:suppressAutoHyphens/>
        <w:ind w:firstLine="0"/>
        <w:jc w:val="center"/>
        <w:rPr>
          <w:rFonts w:cs="Times New Roman"/>
          <w:szCs w:val="24"/>
        </w:rPr>
      </w:pPr>
    </w:p>
    <w:p w14:paraId="66AB3A7E" w14:textId="77777777" w:rsidR="00BB3BE3" w:rsidRPr="000A40E6" w:rsidRDefault="00BB3BE3" w:rsidP="00F756C3">
      <w:pPr>
        <w:suppressAutoHyphens/>
        <w:ind w:firstLine="0"/>
        <w:jc w:val="center"/>
        <w:rPr>
          <w:rFonts w:cs="Times New Roman"/>
          <w:szCs w:val="24"/>
        </w:rPr>
      </w:pPr>
    </w:p>
    <w:p w14:paraId="51EFD5DB" w14:textId="77777777" w:rsidR="00BB3BE3" w:rsidRPr="000A40E6" w:rsidRDefault="00BB3BE3" w:rsidP="00F756C3">
      <w:pPr>
        <w:suppressAutoHyphens/>
        <w:ind w:firstLine="0"/>
        <w:jc w:val="center"/>
        <w:rPr>
          <w:rFonts w:cs="Times New Roman"/>
          <w:szCs w:val="24"/>
        </w:rPr>
      </w:pPr>
    </w:p>
    <w:p w14:paraId="78EC037A" w14:textId="77777777" w:rsidR="00BC26CA" w:rsidRPr="000A40E6" w:rsidRDefault="00BC26CA" w:rsidP="00F756C3">
      <w:pPr>
        <w:suppressAutoHyphens/>
        <w:ind w:firstLine="0"/>
        <w:jc w:val="center"/>
        <w:rPr>
          <w:rFonts w:cs="Times New Roman"/>
          <w:szCs w:val="24"/>
        </w:rPr>
      </w:pPr>
    </w:p>
    <w:p w14:paraId="114E661F" w14:textId="3281E160" w:rsidR="00B814E8" w:rsidRPr="000A40E6" w:rsidRDefault="003E2507" w:rsidP="00F756C3">
      <w:pPr>
        <w:suppressAutoHyphens/>
        <w:ind w:firstLine="0"/>
        <w:jc w:val="center"/>
        <w:rPr>
          <w:rFonts w:cs="Times New Roman"/>
          <w:b/>
          <w:sz w:val="32"/>
          <w:szCs w:val="24"/>
        </w:rPr>
      </w:pPr>
      <w:r w:rsidRPr="000A40E6">
        <w:rPr>
          <w:rFonts w:cs="Times New Roman"/>
          <w:b/>
          <w:sz w:val="32"/>
          <w:szCs w:val="24"/>
        </w:rPr>
        <w:t xml:space="preserve">PUBERTAL DÖNEMDE RAPİD MAKSİLLER EKSPANSİYON </w:t>
      </w:r>
      <w:r w:rsidR="0069137A" w:rsidRPr="000A40E6">
        <w:rPr>
          <w:rFonts w:cs="Times New Roman"/>
          <w:b/>
          <w:sz w:val="32"/>
          <w:szCs w:val="24"/>
        </w:rPr>
        <w:t>İLE TEDAVİ EDİLEN</w:t>
      </w:r>
      <w:r w:rsidRPr="000A40E6">
        <w:rPr>
          <w:rFonts w:cs="Times New Roman"/>
          <w:b/>
          <w:sz w:val="32"/>
          <w:szCs w:val="24"/>
        </w:rPr>
        <w:t xml:space="preserve"> HASTALARDA </w:t>
      </w:r>
      <w:r w:rsidR="00E5122E" w:rsidRPr="000A40E6">
        <w:rPr>
          <w:rFonts w:cs="Times New Roman"/>
          <w:b/>
          <w:sz w:val="32"/>
          <w:szCs w:val="24"/>
        </w:rPr>
        <w:t xml:space="preserve">KEMİK REMODELİNGİNİN </w:t>
      </w:r>
      <w:r w:rsidRPr="000A40E6">
        <w:rPr>
          <w:rFonts w:cs="Times New Roman"/>
          <w:b/>
          <w:sz w:val="32"/>
          <w:szCs w:val="24"/>
        </w:rPr>
        <w:t>DİŞ ETİ OLUĞU SIVISINDA İNCELENMESİ</w:t>
      </w:r>
    </w:p>
    <w:p w14:paraId="07B05E0D" w14:textId="77777777" w:rsidR="00BB3BE3" w:rsidRPr="000A40E6" w:rsidRDefault="00BB3BE3" w:rsidP="00F756C3">
      <w:pPr>
        <w:suppressAutoHyphens/>
        <w:ind w:firstLine="0"/>
        <w:jc w:val="center"/>
        <w:rPr>
          <w:rFonts w:cs="Times New Roman"/>
          <w:b/>
          <w:szCs w:val="24"/>
        </w:rPr>
      </w:pPr>
    </w:p>
    <w:p w14:paraId="1414C156" w14:textId="77777777" w:rsidR="00BB3BE3" w:rsidRPr="000A40E6" w:rsidRDefault="00BB3BE3" w:rsidP="00F756C3">
      <w:pPr>
        <w:suppressAutoHyphens/>
        <w:ind w:firstLine="0"/>
        <w:jc w:val="center"/>
        <w:rPr>
          <w:rFonts w:cs="Times New Roman"/>
          <w:b/>
          <w:szCs w:val="24"/>
        </w:rPr>
      </w:pPr>
    </w:p>
    <w:p w14:paraId="00F5C7E4" w14:textId="77777777" w:rsidR="000D3022" w:rsidRPr="000A40E6" w:rsidRDefault="000D3022" w:rsidP="00F756C3">
      <w:pPr>
        <w:suppressAutoHyphens/>
        <w:ind w:firstLine="0"/>
        <w:jc w:val="center"/>
        <w:rPr>
          <w:rFonts w:cs="Times New Roman"/>
          <w:b/>
          <w:szCs w:val="24"/>
        </w:rPr>
      </w:pPr>
    </w:p>
    <w:p w14:paraId="7B49C4F3" w14:textId="77777777" w:rsidR="00BB3BE3" w:rsidRPr="000A40E6" w:rsidRDefault="00BB3BE3" w:rsidP="00F756C3">
      <w:pPr>
        <w:suppressAutoHyphens/>
        <w:ind w:firstLine="0"/>
        <w:jc w:val="center"/>
        <w:rPr>
          <w:rFonts w:cs="Times New Roman"/>
          <w:b/>
          <w:szCs w:val="24"/>
        </w:rPr>
      </w:pPr>
    </w:p>
    <w:p w14:paraId="58158DC5" w14:textId="77777777" w:rsidR="00BB3BE3" w:rsidRPr="000A40E6" w:rsidRDefault="003E2507" w:rsidP="00F756C3">
      <w:pPr>
        <w:suppressAutoHyphens/>
        <w:ind w:firstLine="0"/>
        <w:jc w:val="center"/>
        <w:rPr>
          <w:rFonts w:cs="Times New Roman"/>
          <w:b/>
          <w:szCs w:val="24"/>
        </w:rPr>
      </w:pPr>
      <w:r w:rsidRPr="000A40E6">
        <w:rPr>
          <w:rFonts w:cs="Times New Roman"/>
          <w:b/>
          <w:szCs w:val="24"/>
        </w:rPr>
        <w:t>DT. ÇİMEN GÜRAN</w:t>
      </w:r>
    </w:p>
    <w:p w14:paraId="4DECA332" w14:textId="25D1178C" w:rsidR="00BB3BE3" w:rsidRPr="000A40E6" w:rsidRDefault="003E2507" w:rsidP="00F756C3">
      <w:pPr>
        <w:suppressAutoHyphens/>
        <w:ind w:firstLine="0"/>
        <w:jc w:val="center"/>
        <w:rPr>
          <w:rFonts w:cs="Times New Roman"/>
          <w:b/>
          <w:szCs w:val="24"/>
        </w:rPr>
      </w:pPr>
      <w:r w:rsidRPr="000A40E6">
        <w:rPr>
          <w:rFonts w:cs="Times New Roman"/>
          <w:b/>
          <w:szCs w:val="24"/>
        </w:rPr>
        <w:t xml:space="preserve">DOKTORA </w:t>
      </w:r>
      <w:r w:rsidR="00BB3BE3" w:rsidRPr="000A40E6">
        <w:rPr>
          <w:rFonts w:cs="Times New Roman"/>
          <w:b/>
          <w:szCs w:val="24"/>
        </w:rPr>
        <w:t>TEZİ</w:t>
      </w:r>
    </w:p>
    <w:p w14:paraId="0A3D8CD5" w14:textId="77777777" w:rsidR="00BB3BE3" w:rsidRPr="000A40E6" w:rsidRDefault="00BB3BE3" w:rsidP="00F756C3">
      <w:pPr>
        <w:suppressAutoHyphens/>
        <w:ind w:firstLine="0"/>
        <w:jc w:val="center"/>
        <w:rPr>
          <w:rFonts w:cs="Times New Roman"/>
          <w:b/>
          <w:szCs w:val="24"/>
        </w:rPr>
      </w:pPr>
    </w:p>
    <w:p w14:paraId="76508EC8" w14:textId="77777777" w:rsidR="00BB3BE3" w:rsidRPr="000A40E6" w:rsidRDefault="00BB3BE3" w:rsidP="00F756C3">
      <w:pPr>
        <w:suppressAutoHyphens/>
        <w:ind w:firstLine="0"/>
        <w:jc w:val="center"/>
        <w:rPr>
          <w:rFonts w:cs="Times New Roman"/>
          <w:b/>
          <w:szCs w:val="24"/>
        </w:rPr>
      </w:pPr>
    </w:p>
    <w:p w14:paraId="0B8292D5" w14:textId="77777777" w:rsidR="006A722B" w:rsidRPr="000A40E6" w:rsidRDefault="006A722B" w:rsidP="00F756C3">
      <w:pPr>
        <w:suppressAutoHyphens/>
        <w:ind w:firstLine="0"/>
        <w:jc w:val="center"/>
        <w:rPr>
          <w:rFonts w:cs="Times New Roman"/>
          <w:b/>
          <w:szCs w:val="24"/>
        </w:rPr>
      </w:pPr>
    </w:p>
    <w:p w14:paraId="2B47B8BE" w14:textId="77777777" w:rsidR="00BB3BE3" w:rsidRPr="000A40E6" w:rsidRDefault="00BB3BE3" w:rsidP="00F756C3">
      <w:pPr>
        <w:suppressAutoHyphens/>
        <w:ind w:firstLine="0"/>
        <w:jc w:val="center"/>
        <w:rPr>
          <w:rFonts w:cs="Times New Roman"/>
          <w:b/>
          <w:szCs w:val="24"/>
        </w:rPr>
      </w:pPr>
      <w:r w:rsidRPr="000A40E6">
        <w:rPr>
          <w:rFonts w:cs="Times New Roman"/>
          <w:b/>
          <w:szCs w:val="24"/>
        </w:rPr>
        <w:t>DANIŞMAN</w:t>
      </w:r>
    </w:p>
    <w:p w14:paraId="79870FCF" w14:textId="6F1E8589" w:rsidR="00BB3BE3" w:rsidRPr="000A40E6" w:rsidRDefault="000D3022" w:rsidP="00F756C3">
      <w:pPr>
        <w:suppressAutoHyphens/>
        <w:ind w:firstLine="0"/>
        <w:jc w:val="center"/>
        <w:rPr>
          <w:rFonts w:cs="Times New Roman"/>
          <w:b/>
          <w:szCs w:val="24"/>
        </w:rPr>
      </w:pPr>
      <w:r w:rsidRPr="000A40E6">
        <w:rPr>
          <w:rFonts w:cs="Times New Roman"/>
          <w:b/>
          <w:szCs w:val="24"/>
        </w:rPr>
        <w:t xml:space="preserve">Doç. Dr. </w:t>
      </w:r>
      <w:r w:rsidR="003E2507" w:rsidRPr="000A40E6">
        <w:rPr>
          <w:rFonts w:cs="Times New Roman"/>
          <w:b/>
          <w:szCs w:val="24"/>
        </w:rPr>
        <w:t>Mine GEÇGELEN CESUR</w:t>
      </w:r>
    </w:p>
    <w:p w14:paraId="4D7680A5" w14:textId="77777777" w:rsidR="00BB3BE3" w:rsidRPr="000A40E6" w:rsidRDefault="00BB3BE3" w:rsidP="00F756C3">
      <w:pPr>
        <w:suppressAutoHyphens/>
        <w:ind w:firstLine="0"/>
        <w:jc w:val="center"/>
        <w:rPr>
          <w:rFonts w:cs="Times New Roman"/>
          <w:b/>
          <w:szCs w:val="24"/>
        </w:rPr>
      </w:pPr>
    </w:p>
    <w:p w14:paraId="700237B0" w14:textId="77777777" w:rsidR="000D3022" w:rsidRPr="000A40E6" w:rsidRDefault="000D3022" w:rsidP="00F756C3">
      <w:pPr>
        <w:suppressAutoHyphens/>
        <w:ind w:firstLine="0"/>
        <w:jc w:val="center"/>
        <w:rPr>
          <w:rFonts w:cs="Times New Roman"/>
          <w:b/>
          <w:szCs w:val="24"/>
        </w:rPr>
      </w:pPr>
    </w:p>
    <w:p w14:paraId="64BDCD23" w14:textId="77777777" w:rsidR="000D3022" w:rsidRPr="000A40E6" w:rsidRDefault="000D3022" w:rsidP="00F756C3">
      <w:pPr>
        <w:suppressAutoHyphens/>
        <w:ind w:firstLine="0"/>
        <w:jc w:val="center"/>
        <w:rPr>
          <w:rFonts w:cs="Times New Roman"/>
          <w:b/>
          <w:szCs w:val="24"/>
        </w:rPr>
      </w:pPr>
    </w:p>
    <w:p w14:paraId="56320AF0" w14:textId="77777777" w:rsidR="00BB3BE3" w:rsidRPr="000A40E6" w:rsidRDefault="00BB3BE3" w:rsidP="00F756C3">
      <w:pPr>
        <w:suppressAutoHyphens/>
        <w:ind w:firstLine="0"/>
        <w:jc w:val="center"/>
        <w:rPr>
          <w:rFonts w:cs="Times New Roman"/>
          <w:szCs w:val="24"/>
        </w:rPr>
      </w:pPr>
    </w:p>
    <w:p w14:paraId="58DA8096" w14:textId="77777777" w:rsidR="00BB3BE3" w:rsidRPr="000A40E6" w:rsidRDefault="00BB3BE3" w:rsidP="00F756C3">
      <w:pPr>
        <w:suppressAutoHyphens/>
        <w:ind w:firstLine="0"/>
        <w:rPr>
          <w:rFonts w:cs="Times New Roman"/>
          <w:szCs w:val="24"/>
        </w:rPr>
      </w:pPr>
      <w:r w:rsidRPr="000A40E6">
        <w:rPr>
          <w:rFonts w:cs="Times New Roman"/>
          <w:szCs w:val="24"/>
        </w:rPr>
        <w:t xml:space="preserve">Bu tez </w:t>
      </w:r>
      <w:r w:rsidR="008E0F15" w:rsidRPr="000A40E6">
        <w:rPr>
          <w:rFonts w:cs="Times New Roman"/>
          <w:szCs w:val="24"/>
        </w:rPr>
        <w:t xml:space="preserve">Aydın </w:t>
      </w:r>
      <w:r w:rsidRPr="000A40E6">
        <w:rPr>
          <w:rFonts w:cs="Times New Roman"/>
          <w:szCs w:val="24"/>
        </w:rPr>
        <w:t xml:space="preserve">Adnan Menderes Üniversitesi Bilimsel Araştırma Projeleri Birimi tarafından </w:t>
      </w:r>
      <w:r w:rsidR="00964889" w:rsidRPr="000A40E6">
        <w:rPr>
          <w:rFonts w:cs="Times New Roman"/>
          <w:szCs w:val="24"/>
        </w:rPr>
        <w:t>DHF-21005</w:t>
      </w:r>
      <w:r w:rsidRPr="000A40E6">
        <w:rPr>
          <w:rFonts w:cs="Times New Roman"/>
          <w:szCs w:val="24"/>
        </w:rPr>
        <w:t xml:space="preserve"> proje numarası ile desteklenmiştir</w:t>
      </w:r>
      <w:r w:rsidR="009770F1" w:rsidRPr="000A40E6">
        <w:rPr>
          <w:rFonts w:cs="Times New Roman"/>
          <w:szCs w:val="24"/>
        </w:rPr>
        <w:t>.</w:t>
      </w:r>
    </w:p>
    <w:p w14:paraId="5183EDCE" w14:textId="77777777" w:rsidR="00BB3BE3" w:rsidRPr="000A40E6" w:rsidRDefault="00BB3BE3" w:rsidP="00F756C3">
      <w:pPr>
        <w:suppressAutoHyphens/>
        <w:ind w:firstLine="0"/>
        <w:jc w:val="center"/>
        <w:rPr>
          <w:rFonts w:cs="Times New Roman"/>
          <w:szCs w:val="24"/>
        </w:rPr>
      </w:pPr>
    </w:p>
    <w:bookmarkEnd w:id="0"/>
    <w:p w14:paraId="201F4E2E" w14:textId="77777777" w:rsidR="000D3022" w:rsidRPr="000A40E6" w:rsidRDefault="000D3022" w:rsidP="00F756C3">
      <w:pPr>
        <w:suppressAutoHyphens/>
        <w:ind w:firstLine="0"/>
        <w:jc w:val="center"/>
        <w:rPr>
          <w:rFonts w:cs="Times New Roman"/>
          <w:szCs w:val="24"/>
        </w:rPr>
      </w:pPr>
    </w:p>
    <w:p w14:paraId="3408A770" w14:textId="77777777" w:rsidR="008C1525" w:rsidRPr="000A40E6" w:rsidRDefault="00BB3BE3" w:rsidP="00F756C3">
      <w:pPr>
        <w:suppressAutoHyphens/>
        <w:ind w:firstLine="0"/>
        <w:jc w:val="center"/>
        <w:rPr>
          <w:rFonts w:cs="Times New Roman"/>
          <w:b/>
          <w:szCs w:val="24"/>
        </w:rPr>
        <w:sectPr w:rsidR="008C1525" w:rsidRPr="000A40E6" w:rsidSect="0075746F">
          <w:footerReference w:type="default" r:id="rId9"/>
          <w:pgSz w:w="11906" w:h="16838" w:code="9"/>
          <w:pgMar w:top="1418" w:right="1304" w:bottom="1418" w:left="1701" w:header="850" w:footer="850"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0A40E6">
        <w:rPr>
          <w:rFonts w:cs="Times New Roman"/>
          <w:b/>
          <w:szCs w:val="24"/>
        </w:rPr>
        <w:t>AYDIN–20</w:t>
      </w:r>
      <w:bookmarkStart w:id="10" w:name="_Toc459142247"/>
      <w:bookmarkStart w:id="11" w:name="_Toc473149682"/>
      <w:bookmarkStart w:id="12" w:name="_Toc488057396"/>
      <w:bookmarkEnd w:id="3"/>
      <w:bookmarkEnd w:id="4"/>
      <w:bookmarkEnd w:id="5"/>
      <w:bookmarkEnd w:id="6"/>
      <w:bookmarkEnd w:id="7"/>
      <w:bookmarkEnd w:id="8"/>
      <w:bookmarkEnd w:id="9"/>
      <w:r w:rsidR="00FD082F" w:rsidRPr="000A40E6">
        <w:rPr>
          <w:rFonts w:cs="Times New Roman"/>
          <w:b/>
          <w:szCs w:val="24"/>
        </w:rPr>
        <w:t>23</w:t>
      </w:r>
    </w:p>
    <w:p w14:paraId="63A0B702" w14:textId="77777777" w:rsidR="000D3022" w:rsidRPr="000A40E6" w:rsidRDefault="000D3022" w:rsidP="00F756C3">
      <w:pPr>
        <w:suppressAutoHyphens/>
        <w:spacing w:after="120"/>
        <w:ind w:firstLine="0"/>
        <w:jc w:val="center"/>
        <w:rPr>
          <w:rFonts w:eastAsia="Calibri" w:cs="Times New Roman"/>
          <w:b/>
          <w:sz w:val="28"/>
          <w:szCs w:val="24"/>
        </w:rPr>
      </w:pPr>
      <w:bookmarkStart w:id="13" w:name="_Toc488176612"/>
      <w:r w:rsidRPr="000A40E6">
        <w:rPr>
          <w:rFonts w:eastAsia="Calibri" w:cs="Times New Roman"/>
          <w:b/>
          <w:sz w:val="28"/>
          <w:szCs w:val="24"/>
        </w:rPr>
        <w:lastRenderedPageBreak/>
        <w:t>KABUL VE ONAY</w:t>
      </w:r>
    </w:p>
    <w:p w14:paraId="3220E48D" w14:textId="77777777" w:rsidR="004C1241" w:rsidRPr="000A40E6" w:rsidRDefault="004C1241" w:rsidP="00F756C3">
      <w:pPr>
        <w:suppressAutoHyphens/>
        <w:spacing w:after="120"/>
        <w:ind w:firstLine="0"/>
        <w:rPr>
          <w:rFonts w:eastAsia="Times New Roman" w:cs="Times New Roman"/>
          <w:szCs w:val="24"/>
          <w:lang w:eastAsia="tr-TR"/>
        </w:rPr>
      </w:pPr>
    </w:p>
    <w:p w14:paraId="32ECCFE3" w14:textId="77777777" w:rsidR="004557D9" w:rsidRPr="000A40E6" w:rsidRDefault="004557D9" w:rsidP="00F756C3">
      <w:pPr>
        <w:suppressAutoHyphens/>
        <w:spacing w:after="120"/>
        <w:ind w:firstLine="0"/>
        <w:rPr>
          <w:rFonts w:eastAsia="Times New Roman" w:cs="Times New Roman"/>
          <w:szCs w:val="24"/>
          <w:lang w:eastAsia="tr-TR"/>
        </w:rPr>
      </w:pPr>
    </w:p>
    <w:p w14:paraId="41F00910" w14:textId="77777777" w:rsidR="004C1241" w:rsidRPr="000A40E6" w:rsidRDefault="004C1241" w:rsidP="00F756C3">
      <w:pPr>
        <w:suppressAutoHyphens/>
        <w:spacing w:after="120"/>
        <w:ind w:firstLine="0"/>
        <w:rPr>
          <w:rFonts w:eastAsia="Times New Roman" w:cs="Times New Roman"/>
          <w:szCs w:val="24"/>
          <w:lang w:eastAsia="tr-TR"/>
        </w:rPr>
      </w:pPr>
      <w:r w:rsidRPr="000A40E6">
        <w:rPr>
          <w:rFonts w:eastAsia="Times New Roman" w:cs="Times New Roman"/>
          <w:szCs w:val="24"/>
          <w:lang w:eastAsia="tr-TR"/>
        </w:rPr>
        <w:t xml:space="preserve">T.C. </w:t>
      </w:r>
      <w:r w:rsidR="00306C69" w:rsidRPr="000A40E6">
        <w:rPr>
          <w:rFonts w:eastAsia="Times New Roman" w:cs="Times New Roman"/>
          <w:szCs w:val="24"/>
          <w:lang w:eastAsia="tr-TR"/>
        </w:rPr>
        <w:t xml:space="preserve">Aydın </w:t>
      </w:r>
      <w:r w:rsidRPr="000A40E6">
        <w:rPr>
          <w:rFonts w:eastAsia="Times New Roman" w:cs="Times New Roman"/>
          <w:szCs w:val="24"/>
          <w:lang w:eastAsia="tr-TR"/>
        </w:rPr>
        <w:t xml:space="preserve">Adnan Menderes Üniversitesi Sağlık Bilimleri Enstitüsü </w:t>
      </w:r>
      <w:r w:rsidR="004230B8" w:rsidRPr="000A40E6">
        <w:rPr>
          <w:rFonts w:eastAsia="Times New Roman" w:cs="Times New Roman"/>
          <w:szCs w:val="24"/>
          <w:lang w:eastAsia="tr-TR"/>
        </w:rPr>
        <w:t xml:space="preserve">Ortodonti Doktora Programı öğrencisi Çimen GÜRAN </w:t>
      </w:r>
      <w:r w:rsidRPr="000A40E6">
        <w:rPr>
          <w:rFonts w:eastAsia="Times New Roman" w:cs="Times New Roman"/>
          <w:szCs w:val="24"/>
          <w:lang w:eastAsia="tr-TR"/>
        </w:rPr>
        <w:t>tarafından hazırlanan “</w:t>
      </w:r>
      <w:r w:rsidR="004230B8" w:rsidRPr="000A40E6">
        <w:rPr>
          <w:rFonts w:eastAsia="Times New Roman" w:cs="Times New Roman"/>
          <w:szCs w:val="24"/>
          <w:lang w:eastAsia="tr-TR"/>
        </w:rPr>
        <w:t xml:space="preserve">Pubertal Dönemde Rapid Maksiller Ekspansiyon Yapılan Hastlarda </w:t>
      </w:r>
      <w:r w:rsidR="00E5122E" w:rsidRPr="000A40E6">
        <w:rPr>
          <w:rFonts w:eastAsia="Times New Roman" w:cs="Times New Roman"/>
          <w:szCs w:val="24"/>
          <w:lang w:eastAsia="tr-TR"/>
        </w:rPr>
        <w:t>Kemik Remodelinginin Diş Eti Oluğu Sıvısında İncelenmesi</w:t>
      </w:r>
      <w:r w:rsidRPr="000A40E6">
        <w:rPr>
          <w:rFonts w:eastAsia="Times New Roman" w:cs="Times New Roman"/>
          <w:szCs w:val="24"/>
          <w:lang w:eastAsia="tr-TR"/>
        </w:rPr>
        <w:t xml:space="preserve">” başlıklı tez, aşağıdaki jüri tarafından </w:t>
      </w:r>
      <w:r w:rsidR="00A744F0" w:rsidRPr="000A40E6">
        <w:rPr>
          <w:rFonts w:eastAsia="Times New Roman" w:cs="Times New Roman"/>
          <w:szCs w:val="24"/>
          <w:lang w:eastAsia="tr-TR"/>
        </w:rPr>
        <w:t xml:space="preserve">Doktora </w:t>
      </w:r>
      <w:r w:rsidRPr="000A40E6">
        <w:rPr>
          <w:rFonts w:eastAsia="Times New Roman" w:cs="Times New Roman"/>
          <w:szCs w:val="24"/>
          <w:lang w:eastAsia="tr-TR"/>
        </w:rPr>
        <w:t>Tezi olarak kabul edilmiştir.</w:t>
      </w:r>
    </w:p>
    <w:p w14:paraId="30987D3C" w14:textId="454867A0" w:rsidR="008E0F15" w:rsidRPr="000A40E6" w:rsidRDefault="008E0F15" w:rsidP="00F756C3">
      <w:pPr>
        <w:suppressAutoHyphens/>
        <w:spacing w:after="120"/>
        <w:ind w:firstLine="5103"/>
        <w:rPr>
          <w:rFonts w:eastAsia="Times New Roman" w:cs="Times New Roman"/>
          <w:szCs w:val="24"/>
          <w:lang w:eastAsia="tr-TR"/>
        </w:rPr>
      </w:pPr>
    </w:p>
    <w:p w14:paraId="65093924" w14:textId="05BC4F3A" w:rsidR="004C1241" w:rsidRPr="000A40E6" w:rsidRDefault="004C1241" w:rsidP="00F756C3">
      <w:pPr>
        <w:suppressAutoHyphens/>
        <w:spacing w:after="120"/>
        <w:ind w:firstLine="5103"/>
        <w:rPr>
          <w:rFonts w:eastAsia="Times New Roman" w:cs="Times New Roman"/>
          <w:szCs w:val="24"/>
          <w:lang w:eastAsia="tr-TR"/>
        </w:rPr>
      </w:pPr>
      <w:r w:rsidRPr="000A40E6">
        <w:rPr>
          <w:rFonts w:eastAsia="Times New Roman" w:cs="Times New Roman"/>
          <w:szCs w:val="24"/>
          <w:lang w:eastAsia="tr-TR"/>
        </w:rPr>
        <w:t xml:space="preserve">Tez Savunma Tarihi:  </w:t>
      </w:r>
      <w:proofErr w:type="gramStart"/>
      <w:r w:rsidR="007B46CE" w:rsidRPr="000A40E6">
        <w:rPr>
          <w:rFonts w:eastAsia="Times New Roman" w:cs="Times New Roman"/>
          <w:szCs w:val="24"/>
          <w:lang w:eastAsia="tr-TR"/>
        </w:rPr>
        <w:t>31</w:t>
      </w:r>
      <w:r w:rsidRPr="000A40E6">
        <w:rPr>
          <w:rFonts w:eastAsia="Times New Roman" w:cs="Times New Roman"/>
          <w:szCs w:val="24"/>
          <w:lang w:eastAsia="tr-TR"/>
        </w:rPr>
        <w:t>/</w:t>
      </w:r>
      <w:r w:rsidR="007B46CE" w:rsidRPr="000A40E6">
        <w:rPr>
          <w:rFonts w:eastAsia="Times New Roman" w:cs="Times New Roman"/>
          <w:szCs w:val="24"/>
          <w:lang w:eastAsia="tr-TR"/>
        </w:rPr>
        <w:t>07</w:t>
      </w:r>
      <w:r w:rsidRPr="000A40E6">
        <w:rPr>
          <w:rFonts w:eastAsia="Times New Roman" w:cs="Times New Roman"/>
          <w:szCs w:val="24"/>
          <w:lang w:eastAsia="tr-TR"/>
        </w:rPr>
        <w:t>/</w:t>
      </w:r>
      <w:r w:rsidR="00350DEA" w:rsidRPr="000A40E6">
        <w:rPr>
          <w:rFonts w:eastAsia="Times New Roman" w:cs="Times New Roman"/>
          <w:szCs w:val="24"/>
          <w:lang w:eastAsia="tr-TR"/>
        </w:rPr>
        <w:t>2023</w:t>
      </w:r>
      <w:proofErr w:type="gramEnd"/>
    </w:p>
    <w:p w14:paraId="2DE20BD2" w14:textId="77777777" w:rsidR="004C1241" w:rsidRPr="000A40E6" w:rsidRDefault="004C1241" w:rsidP="00F756C3">
      <w:pPr>
        <w:suppressAutoHyphens/>
        <w:spacing w:after="120"/>
        <w:ind w:firstLine="5103"/>
        <w:rPr>
          <w:rFonts w:eastAsia="Times New Roman" w:cs="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150C22" w:rsidRPr="000A40E6" w14:paraId="72D2B8DD" w14:textId="77777777" w:rsidTr="008E0F15">
        <w:trPr>
          <w:trHeight w:val="519"/>
        </w:trPr>
        <w:tc>
          <w:tcPr>
            <w:tcW w:w="1384" w:type="dxa"/>
            <w:shd w:val="clear" w:color="auto" w:fill="auto"/>
          </w:tcPr>
          <w:p w14:paraId="53EC46C9" w14:textId="24381F57" w:rsidR="00150C22" w:rsidRPr="000A40E6" w:rsidRDefault="00150C22" w:rsidP="00F756C3">
            <w:pPr>
              <w:suppressAutoHyphens/>
              <w:spacing w:after="120"/>
              <w:ind w:firstLine="0"/>
              <w:rPr>
                <w:rFonts w:eastAsia="Times New Roman" w:cs="Times New Roman"/>
                <w:szCs w:val="24"/>
                <w:lang w:eastAsia="tr-TR"/>
              </w:rPr>
            </w:pPr>
            <w:r w:rsidRPr="000A40E6">
              <w:rPr>
                <w:rFonts w:eastAsia="Times New Roman" w:cs="Times New Roman"/>
                <w:szCs w:val="24"/>
                <w:lang w:eastAsia="tr-TR"/>
              </w:rPr>
              <w:t xml:space="preserve">Üye </w:t>
            </w:r>
            <w:r w:rsidR="008E0F15" w:rsidRPr="000A40E6">
              <w:rPr>
                <w:rFonts w:eastAsia="Times New Roman" w:cs="Times New Roman"/>
                <w:szCs w:val="24"/>
                <w:lang w:eastAsia="tr-TR"/>
              </w:rPr>
              <w:t>(T.D.)</w:t>
            </w:r>
          </w:p>
        </w:tc>
        <w:tc>
          <w:tcPr>
            <w:tcW w:w="3613" w:type="dxa"/>
            <w:shd w:val="clear" w:color="auto" w:fill="auto"/>
          </w:tcPr>
          <w:p w14:paraId="2A648282" w14:textId="49506A6D" w:rsidR="00150C22" w:rsidRPr="000A40E6" w:rsidRDefault="00150C22" w:rsidP="00F756C3">
            <w:pPr>
              <w:suppressAutoHyphens/>
              <w:spacing w:after="120"/>
              <w:ind w:firstLine="0"/>
              <w:rPr>
                <w:rFonts w:eastAsia="Times New Roman" w:cs="Times New Roman"/>
                <w:szCs w:val="24"/>
                <w:lang w:eastAsia="tr-TR"/>
              </w:rPr>
            </w:pPr>
            <w:r w:rsidRPr="000A40E6">
              <w:rPr>
                <w:rFonts w:eastAsia="Times New Roman" w:cs="Times New Roman"/>
                <w:szCs w:val="24"/>
                <w:lang w:eastAsia="tr-TR"/>
              </w:rPr>
              <w:t xml:space="preserve">: </w:t>
            </w:r>
            <w:proofErr w:type="gramStart"/>
            <w:r w:rsidR="009715E6" w:rsidRPr="000A40E6">
              <w:rPr>
                <w:rFonts w:eastAsia="Times New Roman" w:cs="Times New Roman"/>
                <w:szCs w:val="24"/>
                <w:lang w:eastAsia="tr-TR"/>
              </w:rPr>
              <w:t>..….</w:t>
            </w:r>
            <w:proofErr w:type="gramEnd"/>
            <w:r w:rsidR="009715E6" w:rsidRPr="000A40E6">
              <w:rPr>
                <w:rFonts w:eastAsia="Times New Roman" w:cs="Times New Roman"/>
                <w:szCs w:val="24"/>
                <w:lang w:eastAsia="tr-TR"/>
              </w:rPr>
              <w:t xml:space="preserve"> (ünvan, adı s</w:t>
            </w:r>
            <w:r w:rsidR="008E0F15" w:rsidRPr="000A40E6">
              <w:rPr>
                <w:rFonts w:eastAsia="Times New Roman" w:cs="Times New Roman"/>
                <w:szCs w:val="24"/>
                <w:lang w:eastAsia="tr-TR"/>
              </w:rPr>
              <w:t xml:space="preserve">oyadı) </w:t>
            </w:r>
            <w:proofErr w:type="gramStart"/>
            <w:r w:rsidR="008E0F15" w:rsidRPr="000A40E6">
              <w:rPr>
                <w:rFonts w:eastAsia="Times New Roman" w:cs="Times New Roman"/>
                <w:szCs w:val="24"/>
                <w:lang w:eastAsia="tr-TR"/>
              </w:rPr>
              <w:t>…….</w:t>
            </w:r>
            <w:proofErr w:type="gramEnd"/>
          </w:p>
        </w:tc>
        <w:tc>
          <w:tcPr>
            <w:tcW w:w="2482" w:type="dxa"/>
            <w:shd w:val="clear" w:color="auto" w:fill="auto"/>
          </w:tcPr>
          <w:p w14:paraId="6CEF87DF" w14:textId="77777777" w:rsidR="00150C22" w:rsidRPr="000A40E6" w:rsidRDefault="009715E6" w:rsidP="00F756C3">
            <w:pPr>
              <w:suppressAutoHyphens/>
              <w:spacing w:after="120"/>
              <w:ind w:firstLine="0"/>
              <w:rPr>
                <w:rFonts w:eastAsia="Times New Roman" w:cs="Times New Roman"/>
                <w:szCs w:val="24"/>
                <w:lang w:eastAsia="tr-TR"/>
              </w:rPr>
            </w:pPr>
            <w:proofErr w:type="gramStart"/>
            <w:r w:rsidRPr="000A40E6">
              <w:rPr>
                <w:rFonts w:eastAsia="Times New Roman" w:cs="Times New Roman"/>
                <w:szCs w:val="24"/>
                <w:lang w:eastAsia="tr-TR"/>
              </w:rPr>
              <w:t>……</w:t>
            </w:r>
            <w:proofErr w:type="gramEnd"/>
            <w:r w:rsidRPr="000A40E6">
              <w:rPr>
                <w:rFonts w:eastAsia="Times New Roman" w:cs="Times New Roman"/>
                <w:szCs w:val="24"/>
                <w:lang w:eastAsia="tr-TR"/>
              </w:rPr>
              <w:t xml:space="preserve"> (ü</w:t>
            </w:r>
            <w:r w:rsidR="008E0F15" w:rsidRPr="000A40E6">
              <w:rPr>
                <w:rFonts w:eastAsia="Times New Roman" w:cs="Times New Roman"/>
                <w:szCs w:val="24"/>
                <w:lang w:eastAsia="tr-TR"/>
              </w:rPr>
              <w:t xml:space="preserve">niversite) </w:t>
            </w:r>
            <w:proofErr w:type="gramStart"/>
            <w:r w:rsidR="008E0F15" w:rsidRPr="000A40E6">
              <w:rPr>
                <w:rFonts w:eastAsia="Times New Roman" w:cs="Times New Roman"/>
                <w:szCs w:val="24"/>
                <w:lang w:eastAsia="tr-TR"/>
              </w:rPr>
              <w:t>……</w:t>
            </w:r>
            <w:proofErr w:type="gramEnd"/>
          </w:p>
        </w:tc>
        <w:tc>
          <w:tcPr>
            <w:tcW w:w="1701" w:type="dxa"/>
            <w:shd w:val="clear" w:color="auto" w:fill="auto"/>
          </w:tcPr>
          <w:p w14:paraId="3C3C5D43" w14:textId="77777777" w:rsidR="00150C22" w:rsidRPr="000A40E6" w:rsidRDefault="008E0F15" w:rsidP="00F756C3">
            <w:pPr>
              <w:tabs>
                <w:tab w:val="left" w:pos="2700"/>
                <w:tab w:val="left" w:pos="5040"/>
              </w:tabs>
              <w:suppressAutoHyphens/>
              <w:spacing w:after="120"/>
              <w:ind w:firstLine="0"/>
              <w:rPr>
                <w:rFonts w:eastAsia="Times New Roman" w:cs="Times New Roman"/>
                <w:szCs w:val="24"/>
                <w:lang w:eastAsia="tr-TR"/>
              </w:rPr>
            </w:pPr>
            <w:r w:rsidRPr="000A40E6">
              <w:rPr>
                <w:rFonts w:eastAsia="Times New Roman" w:cs="Times New Roman"/>
                <w:szCs w:val="24"/>
                <w:lang w:eastAsia="tr-TR"/>
              </w:rPr>
              <w:t>… (imza) …</w:t>
            </w:r>
          </w:p>
        </w:tc>
      </w:tr>
      <w:tr w:rsidR="008E0F15" w:rsidRPr="000A40E6" w14:paraId="69C17666" w14:textId="77777777" w:rsidTr="008E0F15">
        <w:trPr>
          <w:trHeight w:val="519"/>
        </w:trPr>
        <w:tc>
          <w:tcPr>
            <w:tcW w:w="1384" w:type="dxa"/>
            <w:shd w:val="clear" w:color="auto" w:fill="auto"/>
          </w:tcPr>
          <w:p w14:paraId="190AFB36" w14:textId="2D0FA66C" w:rsidR="008E0F15" w:rsidRPr="000A40E6" w:rsidRDefault="008E0F15" w:rsidP="00F756C3">
            <w:pPr>
              <w:suppressAutoHyphens/>
              <w:spacing w:after="120"/>
              <w:ind w:firstLine="0"/>
              <w:rPr>
                <w:rFonts w:eastAsia="Times New Roman" w:cs="Times New Roman"/>
                <w:szCs w:val="24"/>
                <w:lang w:eastAsia="tr-TR"/>
              </w:rPr>
            </w:pPr>
            <w:r w:rsidRPr="000A40E6">
              <w:rPr>
                <w:rFonts w:eastAsia="Times New Roman" w:cs="Times New Roman"/>
                <w:szCs w:val="24"/>
                <w:lang w:eastAsia="tr-TR"/>
              </w:rPr>
              <w:t>Üye</w:t>
            </w:r>
          </w:p>
        </w:tc>
        <w:tc>
          <w:tcPr>
            <w:tcW w:w="3613" w:type="dxa"/>
            <w:shd w:val="clear" w:color="auto" w:fill="auto"/>
          </w:tcPr>
          <w:p w14:paraId="55540315" w14:textId="0D47BFE3" w:rsidR="008E0F15" w:rsidRPr="000A40E6" w:rsidRDefault="009715E6" w:rsidP="00F756C3">
            <w:pPr>
              <w:suppressAutoHyphens/>
              <w:spacing w:after="120"/>
              <w:ind w:firstLine="0"/>
              <w:rPr>
                <w:rFonts w:eastAsia="Times New Roman" w:cs="Times New Roman"/>
                <w:szCs w:val="24"/>
                <w:lang w:eastAsia="tr-TR"/>
              </w:rPr>
            </w:pPr>
            <w:r w:rsidRPr="000A40E6">
              <w:rPr>
                <w:rFonts w:eastAsia="Times New Roman" w:cs="Times New Roman"/>
                <w:szCs w:val="24"/>
                <w:lang w:eastAsia="tr-TR"/>
              </w:rPr>
              <w:t xml:space="preserve">: </w:t>
            </w:r>
            <w:proofErr w:type="gramStart"/>
            <w:r w:rsidRPr="000A40E6">
              <w:rPr>
                <w:rFonts w:eastAsia="Times New Roman" w:cs="Times New Roman"/>
                <w:szCs w:val="24"/>
                <w:lang w:eastAsia="tr-TR"/>
              </w:rPr>
              <w:t>..….</w:t>
            </w:r>
            <w:proofErr w:type="gramEnd"/>
            <w:r w:rsidRPr="000A40E6">
              <w:rPr>
                <w:rFonts w:eastAsia="Times New Roman" w:cs="Times New Roman"/>
                <w:szCs w:val="24"/>
                <w:lang w:eastAsia="tr-TR"/>
              </w:rPr>
              <w:t xml:space="preserve"> (ünvan, adı s</w:t>
            </w:r>
            <w:r w:rsidR="008E0F15" w:rsidRPr="000A40E6">
              <w:rPr>
                <w:rFonts w:eastAsia="Times New Roman" w:cs="Times New Roman"/>
                <w:szCs w:val="24"/>
                <w:lang w:eastAsia="tr-TR"/>
              </w:rPr>
              <w:t xml:space="preserve">oyadı) </w:t>
            </w:r>
            <w:proofErr w:type="gramStart"/>
            <w:r w:rsidR="008E0F15" w:rsidRPr="000A40E6">
              <w:rPr>
                <w:rFonts w:eastAsia="Times New Roman" w:cs="Times New Roman"/>
                <w:szCs w:val="24"/>
                <w:lang w:eastAsia="tr-TR"/>
              </w:rPr>
              <w:t>…….</w:t>
            </w:r>
            <w:proofErr w:type="gramEnd"/>
          </w:p>
        </w:tc>
        <w:tc>
          <w:tcPr>
            <w:tcW w:w="2482" w:type="dxa"/>
            <w:shd w:val="clear" w:color="auto" w:fill="auto"/>
          </w:tcPr>
          <w:p w14:paraId="13072CE0" w14:textId="149924FC" w:rsidR="008E0F15" w:rsidRPr="000A40E6" w:rsidRDefault="009715E6" w:rsidP="00F756C3">
            <w:pPr>
              <w:suppressAutoHyphens/>
              <w:spacing w:after="120"/>
              <w:ind w:firstLine="0"/>
              <w:rPr>
                <w:rFonts w:eastAsia="Times New Roman" w:cs="Times New Roman"/>
                <w:szCs w:val="24"/>
                <w:lang w:eastAsia="tr-TR"/>
              </w:rPr>
            </w:pPr>
            <w:proofErr w:type="gramStart"/>
            <w:r w:rsidRPr="000A40E6">
              <w:rPr>
                <w:rFonts w:eastAsia="Times New Roman" w:cs="Times New Roman"/>
                <w:szCs w:val="24"/>
                <w:lang w:eastAsia="tr-TR"/>
              </w:rPr>
              <w:t>……</w:t>
            </w:r>
            <w:proofErr w:type="gramEnd"/>
            <w:r w:rsidRPr="000A40E6">
              <w:rPr>
                <w:rFonts w:eastAsia="Times New Roman" w:cs="Times New Roman"/>
                <w:szCs w:val="24"/>
                <w:lang w:eastAsia="tr-TR"/>
              </w:rPr>
              <w:t xml:space="preserve"> (ü</w:t>
            </w:r>
            <w:r w:rsidR="008E0F15" w:rsidRPr="000A40E6">
              <w:rPr>
                <w:rFonts w:eastAsia="Times New Roman" w:cs="Times New Roman"/>
                <w:szCs w:val="24"/>
                <w:lang w:eastAsia="tr-TR"/>
              </w:rPr>
              <w:t xml:space="preserve">niversite) </w:t>
            </w:r>
            <w:proofErr w:type="gramStart"/>
            <w:r w:rsidR="008E0F15" w:rsidRPr="000A40E6">
              <w:rPr>
                <w:rFonts w:eastAsia="Times New Roman" w:cs="Times New Roman"/>
                <w:szCs w:val="24"/>
                <w:lang w:eastAsia="tr-TR"/>
              </w:rPr>
              <w:t>……</w:t>
            </w:r>
            <w:proofErr w:type="gramEnd"/>
          </w:p>
        </w:tc>
        <w:tc>
          <w:tcPr>
            <w:tcW w:w="1701" w:type="dxa"/>
            <w:shd w:val="clear" w:color="auto" w:fill="auto"/>
          </w:tcPr>
          <w:p w14:paraId="1551449A" w14:textId="77777777" w:rsidR="008E0F15" w:rsidRPr="000A40E6" w:rsidRDefault="008E0F15" w:rsidP="00F756C3">
            <w:pPr>
              <w:suppressAutoHyphens/>
              <w:spacing w:after="120"/>
              <w:ind w:firstLine="0"/>
              <w:rPr>
                <w:rFonts w:cs="Times New Roman"/>
                <w:szCs w:val="24"/>
              </w:rPr>
            </w:pPr>
            <w:r w:rsidRPr="000A40E6">
              <w:rPr>
                <w:rFonts w:eastAsia="Times New Roman" w:cs="Times New Roman"/>
                <w:szCs w:val="24"/>
                <w:lang w:eastAsia="tr-TR"/>
              </w:rPr>
              <w:t>… (imza) …</w:t>
            </w:r>
          </w:p>
        </w:tc>
      </w:tr>
      <w:tr w:rsidR="008E0F15" w:rsidRPr="000A40E6" w14:paraId="38C30542" w14:textId="77777777" w:rsidTr="008E0F15">
        <w:trPr>
          <w:trHeight w:val="536"/>
        </w:trPr>
        <w:tc>
          <w:tcPr>
            <w:tcW w:w="1384" w:type="dxa"/>
            <w:shd w:val="clear" w:color="auto" w:fill="auto"/>
          </w:tcPr>
          <w:p w14:paraId="3DE81892" w14:textId="522C8FE4" w:rsidR="008E0F15" w:rsidRPr="000A40E6" w:rsidRDefault="008E0F15" w:rsidP="00F756C3">
            <w:pPr>
              <w:suppressAutoHyphens/>
              <w:spacing w:after="120"/>
              <w:ind w:firstLine="0"/>
              <w:rPr>
                <w:rFonts w:eastAsia="Times New Roman" w:cs="Times New Roman"/>
                <w:szCs w:val="24"/>
                <w:lang w:eastAsia="tr-TR"/>
              </w:rPr>
            </w:pPr>
            <w:r w:rsidRPr="000A40E6">
              <w:rPr>
                <w:rFonts w:eastAsia="Times New Roman" w:cs="Times New Roman"/>
                <w:szCs w:val="24"/>
                <w:lang w:eastAsia="tr-TR"/>
              </w:rPr>
              <w:t>Üye</w:t>
            </w:r>
          </w:p>
        </w:tc>
        <w:tc>
          <w:tcPr>
            <w:tcW w:w="3613" w:type="dxa"/>
            <w:shd w:val="clear" w:color="auto" w:fill="auto"/>
          </w:tcPr>
          <w:p w14:paraId="0C037A00" w14:textId="12990E73" w:rsidR="008E0F15" w:rsidRPr="000A40E6" w:rsidRDefault="009715E6" w:rsidP="00F756C3">
            <w:pPr>
              <w:suppressAutoHyphens/>
              <w:spacing w:after="120"/>
              <w:ind w:firstLine="0"/>
              <w:rPr>
                <w:rFonts w:eastAsia="Times New Roman" w:cs="Times New Roman"/>
                <w:szCs w:val="24"/>
                <w:lang w:eastAsia="tr-TR"/>
              </w:rPr>
            </w:pPr>
            <w:r w:rsidRPr="000A40E6">
              <w:rPr>
                <w:rFonts w:eastAsia="Times New Roman" w:cs="Times New Roman"/>
                <w:szCs w:val="24"/>
                <w:lang w:eastAsia="tr-TR"/>
              </w:rPr>
              <w:t xml:space="preserve">: </w:t>
            </w:r>
            <w:proofErr w:type="gramStart"/>
            <w:r w:rsidRPr="000A40E6">
              <w:rPr>
                <w:rFonts w:eastAsia="Times New Roman" w:cs="Times New Roman"/>
                <w:szCs w:val="24"/>
                <w:lang w:eastAsia="tr-TR"/>
              </w:rPr>
              <w:t>..….</w:t>
            </w:r>
            <w:proofErr w:type="gramEnd"/>
            <w:r w:rsidRPr="000A40E6">
              <w:rPr>
                <w:rFonts w:eastAsia="Times New Roman" w:cs="Times New Roman"/>
                <w:szCs w:val="24"/>
                <w:lang w:eastAsia="tr-TR"/>
              </w:rPr>
              <w:t xml:space="preserve"> (ünvan, adı s</w:t>
            </w:r>
            <w:r w:rsidR="008E0F15" w:rsidRPr="000A40E6">
              <w:rPr>
                <w:rFonts w:eastAsia="Times New Roman" w:cs="Times New Roman"/>
                <w:szCs w:val="24"/>
                <w:lang w:eastAsia="tr-TR"/>
              </w:rPr>
              <w:t xml:space="preserve">oyadı) </w:t>
            </w:r>
            <w:proofErr w:type="gramStart"/>
            <w:r w:rsidR="008E0F15" w:rsidRPr="000A40E6">
              <w:rPr>
                <w:rFonts w:eastAsia="Times New Roman" w:cs="Times New Roman"/>
                <w:szCs w:val="24"/>
                <w:lang w:eastAsia="tr-TR"/>
              </w:rPr>
              <w:t>…….</w:t>
            </w:r>
            <w:proofErr w:type="gramEnd"/>
          </w:p>
        </w:tc>
        <w:tc>
          <w:tcPr>
            <w:tcW w:w="2482" w:type="dxa"/>
            <w:shd w:val="clear" w:color="auto" w:fill="auto"/>
          </w:tcPr>
          <w:p w14:paraId="7C6C071F" w14:textId="14CC057B" w:rsidR="008E0F15" w:rsidRPr="000A40E6" w:rsidRDefault="009715E6" w:rsidP="00F756C3">
            <w:pPr>
              <w:suppressAutoHyphens/>
              <w:spacing w:after="120"/>
              <w:ind w:firstLine="0"/>
              <w:rPr>
                <w:rFonts w:eastAsia="Times New Roman" w:cs="Times New Roman"/>
                <w:szCs w:val="24"/>
                <w:lang w:eastAsia="tr-TR"/>
              </w:rPr>
            </w:pPr>
            <w:proofErr w:type="gramStart"/>
            <w:r w:rsidRPr="000A40E6">
              <w:rPr>
                <w:rFonts w:eastAsia="Times New Roman" w:cs="Times New Roman"/>
                <w:szCs w:val="24"/>
                <w:lang w:eastAsia="tr-TR"/>
              </w:rPr>
              <w:t>……</w:t>
            </w:r>
            <w:proofErr w:type="gramEnd"/>
            <w:r w:rsidRPr="000A40E6">
              <w:rPr>
                <w:rFonts w:eastAsia="Times New Roman" w:cs="Times New Roman"/>
                <w:szCs w:val="24"/>
                <w:lang w:eastAsia="tr-TR"/>
              </w:rPr>
              <w:t xml:space="preserve"> (ü</w:t>
            </w:r>
            <w:r w:rsidR="008E0F15" w:rsidRPr="000A40E6">
              <w:rPr>
                <w:rFonts w:eastAsia="Times New Roman" w:cs="Times New Roman"/>
                <w:szCs w:val="24"/>
                <w:lang w:eastAsia="tr-TR"/>
              </w:rPr>
              <w:t xml:space="preserve">niversite) </w:t>
            </w:r>
            <w:proofErr w:type="gramStart"/>
            <w:r w:rsidR="008E0F15" w:rsidRPr="000A40E6">
              <w:rPr>
                <w:rFonts w:eastAsia="Times New Roman" w:cs="Times New Roman"/>
                <w:szCs w:val="24"/>
                <w:lang w:eastAsia="tr-TR"/>
              </w:rPr>
              <w:t>……</w:t>
            </w:r>
            <w:proofErr w:type="gramEnd"/>
          </w:p>
        </w:tc>
        <w:tc>
          <w:tcPr>
            <w:tcW w:w="1701" w:type="dxa"/>
            <w:shd w:val="clear" w:color="auto" w:fill="auto"/>
          </w:tcPr>
          <w:p w14:paraId="575A2825" w14:textId="77777777" w:rsidR="008E0F15" w:rsidRPr="000A40E6" w:rsidRDefault="008E0F15" w:rsidP="00F756C3">
            <w:pPr>
              <w:suppressAutoHyphens/>
              <w:spacing w:after="120"/>
              <w:ind w:firstLine="0"/>
              <w:rPr>
                <w:rFonts w:cs="Times New Roman"/>
                <w:szCs w:val="24"/>
              </w:rPr>
            </w:pPr>
            <w:r w:rsidRPr="000A40E6">
              <w:rPr>
                <w:rFonts w:eastAsia="Times New Roman" w:cs="Times New Roman"/>
                <w:szCs w:val="24"/>
                <w:lang w:eastAsia="tr-TR"/>
              </w:rPr>
              <w:t>… (imza) …</w:t>
            </w:r>
          </w:p>
        </w:tc>
      </w:tr>
    </w:tbl>
    <w:p w14:paraId="2CAD8B72" w14:textId="77777777" w:rsidR="004C1241" w:rsidRPr="000A40E6" w:rsidRDefault="004C1241" w:rsidP="00F756C3">
      <w:pPr>
        <w:suppressAutoHyphens/>
        <w:spacing w:after="120"/>
        <w:ind w:firstLine="0"/>
        <w:rPr>
          <w:rFonts w:eastAsia="Times New Roman" w:cs="Times New Roman"/>
          <w:szCs w:val="24"/>
          <w:lang w:eastAsia="tr-TR"/>
        </w:rPr>
      </w:pPr>
    </w:p>
    <w:p w14:paraId="1ED622B9" w14:textId="71FAFFE5" w:rsidR="004C1241" w:rsidRPr="000A40E6" w:rsidRDefault="004C1241" w:rsidP="00F756C3">
      <w:pPr>
        <w:suppressAutoHyphens/>
        <w:spacing w:after="120"/>
        <w:ind w:firstLine="0"/>
        <w:rPr>
          <w:rFonts w:eastAsia="Times New Roman" w:cs="Times New Roman"/>
          <w:szCs w:val="24"/>
          <w:lang w:eastAsia="tr-TR"/>
        </w:rPr>
      </w:pPr>
      <w:r w:rsidRPr="000A40E6">
        <w:rPr>
          <w:rFonts w:eastAsia="Times New Roman" w:cs="Times New Roman"/>
          <w:szCs w:val="24"/>
          <w:lang w:eastAsia="tr-TR"/>
        </w:rPr>
        <w:t>ONAY:</w:t>
      </w:r>
    </w:p>
    <w:p w14:paraId="17FEE5B5" w14:textId="4537E795" w:rsidR="004C1241" w:rsidRPr="000A40E6" w:rsidRDefault="004C1241" w:rsidP="00F756C3">
      <w:pPr>
        <w:suppressAutoHyphens/>
        <w:autoSpaceDE w:val="0"/>
        <w:autoSpaceDN w:val="0"/>
        <w:adjustRightInd w:val="0"/>
        <w:spacing w:after="120"/>
        <w:ind w:firstLine="0"/>
        <w:rPr>
          <w:rFonts w:eastAsia="Times New Roman" w:cs="Times New Roman"/>
          <w:szCs w:val="24"/>
          <w:lang w:eastAsia="tr-TR"/>
        </w:rPr>
      </w:pPr>
      <w:r w:rsidRPr="000A40E6">
        <w:rPr>
          <w:rFonts w:eastAsia="Times New Roman" w:cs="Times New Roman"/>
          <w:szCs w:val="24"/>
          <w:lang w:eastAsia="tr-TR"/>
        </w:rPr>
        <w:t xml:space="preserve">Bu tez </w:t>
      </w:r>
      <w:r w:rsidR="00306C69" w:rsidRPr="000A40E6">
        <w:rPr>
          <w:rFonts w:eastAsia="Times New Roman" w:cs="Times New Roman"/>
          <w:szCs w:val="24"/>
          <w:lang w:eastAsia="tr-TR"/>
        </w:rPr>
        <w:t xml:space="preserve">Aydın </w:t>
      </w:r>
      <w:r w:rsidRPr="000A40E6">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0A40E6">
        <w:rPr>
          <w:rFonts w:eastAsia="Times New Roman" w:cs="Times New Roman"/>
          <w:szCs w:val="24"/>
          <w:lang w:eastAsia="tr-TR"/>
        </w:rPr>
        <w:t>……………..……..…</w:t>
      </w:r>
      <w:proofErr w:type="gramEnd"/>
      <w:r w:rsidRPr="000A40E6">
        <w:rPr>
          <w:rFonts w:eastAsia="Times New Roman" w:cs="Times New Roman"/>
          <w:szCs w:val="24"/>
          <w:lang w:eastAsia="tr-TR"/>
        </w:rPr>
        <w:t xml:space="preserve"> tarih ve </w:t>
      </w:r>
      <w:proofErr w:type="gramStart"/>
      <w:r w:rsidRPr="000A40E6">
        <w:rPr>
          <w:rFonts w:eastAsia="Times New Roman" w:cs="Times New Roman"/>
          <w:szCs w:val="24"/>
          <w:lang w:eastAsia="tr-TR"/>
        </w:rPr>
        <w:t>…………………………</w:t>
      </w:r>
      <w:proofErr w:type="gramEnd"/>
      <w:r w:rsidRPr="000A40E6">
        <w:rPr>
          <w:rFonts w:eastAsia="Times New Roman" w:cs="Times New Roman"/>
          <w:szCs w:val="24"/>
          <w:lang w:eastAsia="tr-TR"/>
        </w:rPr>
        <w:t xml:space="preserve"> sayılı oturumunda alınan </w:t>
      </w:r>
      <w:proofErr w:type="gramStart"/>
      <w:r w:rsidRPr="000A40E6">
        <w:rPr>
          <w:rFonts w:eastAsia="Times New Roman" w:cs="Times New Roman"/>
          <w:szCs w:val="24"/>
          <w:lang w:eastAsia="tr-TR"/>
        </w:rPr>
        <w:t>……………………</w:t>
      </w:r>
      <w:proofErr w:type="gramEnd"/>
      <w:r w:rsidRPr="000A40E6">
        <w:rPr>
          <w:rFonts w:eastAsia="Times New Roman" w:cs="Times New Roman"/>
          <w:szCs w:val="24"/>
          <w:lang w:eastAsia="tr-TR"/>
        </w:rPr>
        <w:t xml:space="preserve"> nolu Yönetim Kurulu kararıyla kabul edilmiştir.</w:t>
      </w:r>
    </w:p>
    <w:p w14:paraId="28BF03B5" w14:textId="77777777" w:rsidR="004C1241" w:rsidRPr="000A40E6" w:rsidRDefault="004C1241" w:rsidP="00F756C3">
      <w:pPr>
        <w:suppressAutoHyphens/>
        <w:autoSpaceDE w:val="0"/>
        <w:autoSpaceDN w:val="0"/>
        <w:adjustRightInd w:val="0"/>
        <w:spacing w:after="120"/>
        <w:ind w:firstLine="0"/>
        <w:rPr>
          <w:rFonts w:eastAsia="Times New Roman" w:cs="Times New Roman"/>
          <w:szCs w:val="24"/>
          <w:lang w:eastAsia="tr-TR"/>
        </w:rPr>
      </w:pPr>
    </w:p>
    <w:p w14:paraId="42FDFE03" w14:textId="77777777" w:rsidR="00B5543C" w:rsidRPr="000A40E6" w:rsidRDefault="00B5543C" w:rsidP="00F756C3">
      <w:pPr>
        <w:suppressAutoHyphens/>
        <w:autoSpaceDE w:val="0"/>
        <w:autoSpaceDN w:val="0"/>
        <w:adjustRightInd w:val="0"/>
        <w:spacing w:after="120"/>
        <w:ind w:firstLine="5670"/>
        <w:jc w:val="center"/>
        <w:rPr>
          <w:rFonts w:eastAsia="Times New Roman" w:cs="Times New Roman"/>
          <w:szCs w:val="24"/>
          <w:lang w:eastAsia="tr-TR"/>
        </w:rPr>
      </w:pPr>
    </w:p>
    <w:p w14:paraId="250688F7" w14:textId="258445E0" w:rsidR="004C1241" w:rsidRPr="000A40E6" w:rsidRDefault="008A5BFE" w:rsidP="00F756C3">
      <w:pPr>
        <w:suppressAutoHyphens/>
        <w:spacing w:after="120"/>
        <w:ind w:firstLine="5670"/>
        <w:jc w:val="center"/>
        <w:rPr>
          <w:rFonts w:eastAsia="Times New Roman" w:cs="Times New Roman"/>
          <w:szCs w:val="24"/>
          <w:lang w:eastAsia="tr-TR"/>
        </w:rPr>
      </w:pPr>
      <w:r w:rsidRPr="000A40E6">
        <w:rPr>
          <w:rFonts w:eastAsia="Times New Roman" w:cs="Times New Roman"/>
          <w:szCs w:val="24"/>
          <w:lang w:eastAsia="tr-TR"/>
        </w:rPr>
        <w:t>Prof. Dr. Süleyman AYPAK</w:t>
      </w:r>
    </w:p>
    <w:p w14:paraId="06C13756" w14:textId="70079C0E" w:rsidR="004C1241" w:rsidRPr="000A40E6" w:rsidRDefault="004C1241" w:rsidP="00F756C3">
      <w:pPr>
        <w:suppressAutoHyphens/>
        <w:spacing w:after="120"/>
        <w:ind w:firstLine="5670"/>
        <w:jc w:val="center"/>
        <w:rPr>
          <w:rFonts w:eastAsia="Times New Roman" w:cs="Times New Roman"/>
          <w:b/>
          <w:szCs w:val="24"/>
          <w:lang w:eastAsia="tr-TR"/>
        </w:rPr>
      </w:pPr>
      <w:r w:rsidRPr="000A40E6">
        <w:rPr>
          <w:rFonts w:eastAsia="Times New Roman" w:cs="Times New Roman"/>
          <w:szCs w:val="24"/>
          <w:lang w:eastAsia="tr-TR"/>
        </w:rPr>
        <w:t xml:space="preserve">Enstitü Müdürü </w:t>
      </w:r>
      <w:r w:rsidR="008A5BFE" w:rsidRPr="000A40E6">
        <w:rPr>
          <w:rFonts w:eastAsia="Times New Roman" w:cs="Times New Roman"/>
          <w:szCs w:val="24"/>
          <w:lang w:eastAsia="tr-TR"/>
        </w:rPr>
        <w:t>V.</w:t>
      </w:r>
    </w:p>
    <w:bookmarkEnd w:id="10"/>
    <w:bookmarkEnd w:id="11"/>
    <w:bookmarkEnd w:id="12"/>
    <w:bookmarkEnd w:id="13"/>
    <w:p w14:paraId="3D749C49" w14:textId="2799C42F" w:rsidR="000D3022" w:rsidRPr="000A40E6" w:rsidRDefault="000D3022" w:rsidP="00F756C3">
      <w:pPr>
        <w:suppressAutoHyphens/>
        <w:spacing w:after="200" w:line="276" w:lineRule="auto"/>
        <w:ind w:firstLine="0"/>
        <w:jc w:val="left"/>
        <w:rPr>
          <w:rFonts w:eastAsia="Times New Roman" w:cs="Times New Roman"/>
          <w:szCs w:val="24"/>
          <w:lang w:eastAsia="tr-TR"/>
        </w:rPr>
      </w:pPr>
      <w:r w:rsidRPr="000A40E6">
        <w:rPr>
          <w:rFonts w:eastAsia="Times New Roman" w:cs="Times New Roman"/>
          <w:szCs w:val="24"/>
          <w:lang w:eastAsia="tr-TR"/>
        </w:rPr>
        <w:br w:type="page"/>
      </w:r>
    </w:p>
    <w:p w14:paraId="2770F1BC" w14:textId="40921597" w:rsidR="00AC4D1E" w:rsidRPr="000A40E6" w:rsidRDefault="00486E92" w:rsidP="00F756C3">
      <w:pPr>
        <w:suppressAutoHyphens/>
        <w:spacing w:after="120"/>
        <w:ind w:firstLine="0"/>
        <w:jc w:val="center"/>
        <w:rPr>
          <w:rFonts w:cs="Times New Roman"/>
          <w:b/>
          <w:sz w:val="28"/>
          <w:szCs w:val="24"/>
        </w:rPr>
      </w:pPr>
      <w:r w:rsidRPr="000A40E6">
        <w:rPr>
          <w:rFonts w:cs="Times New Roman"/>
          <w:b/>
          <w:sz w:val="28"/>
          <w:szCs w:val="24"/>
        </w:rPr>
        <w:t>TEŞEKKÜR</w:t>
      </w:r>
    </w:p>
    <w:p w14:paraId="3D9C5F48" w14:textId="77777777" w:rsidR="00AD3E09" w:rsidRPr="000A40E6" w:rsidRDefault="00AD3E09" w:rsidP="00F756C3">
      <w:pPr>
        <w:suppressAutoHyphens/>
        <w:spacing w:after="120"/>
        <w:rPr>
          <w:rFonts w:eastAsia="Times New Roman" w:cs="Times New Roman"/>
          <w:szCs w:val="24"/>
          <w:lang w:eastAsia="tr-TR"/>
        </w:rPr>
      </w:pPr>
    </w:p>
    <w:p w14:paraId="3CFE8E35" w14:textId="77777777" w:rsidR="000D3022" w:rsidRPr="000A40E6" w:rsidRDefault="000D3022" w:rsidP="00F756C3">
      <w:pPr>
        <w:suppressAutoHyphens/>
        <w:spacing w:after="120"/>
        <w:rPr>
          <w:rFonts w:eastAsia="Times New Roman" w:cs="Times New Roman"/>
          <w:szCs w:val="24"/>
          <w:lang w:eastAsia="tr-TR"/>
        </w:rPr>
      </w:pPr>
    </w:p>
    <w:p w14:paraId="4FFE2069" w14:textId="4F616863" w:rsidR="00AC4D1E" w:rsidRPr="000A40E6" w:rsidRDefault="00180E0F" w:rsidP="00F756C3">
      <w:pPr>
        <w:suppressAutoHyphens/>
        <w:spacing w:after="120"/>
        <w:rPr>
          <w:rFonts w:cs="Times New Roman"/>
          <w:szCs w:val="24"/>
        </w:rPr>
      </w:pPr>
      <w:r w:rsidRPr="000A40E6">
        <w:rPr>
          <w:rFonts w:cs="Times New Roman"/>
          <w:szCs w:val="24"/>
        </w:rPr>
        <w:t xml:space="preserve">Doktora eğitimim boyunca ve tezimin hazırlanmasında </w:t>
      </w:r>
      <w:r w:rsidR="00AE0517" w:rsidRPr="000A40E6">
        <w:rPr>
          <w:rFonts w:cs="Times New Roman"/>
          <w:szCs w:val="24"/>
        </w:rPr>
        <w:t xml:space="preserve">çok </w:t>
      </w:r>
      <w:r w:rsidR="00C8118F" w:rsidRPr="000A40E6">
        <w:rPr>
          <w:rFonts w:cs="Times New Roman"/>
          <w:szCs w:val="24"/>
        </w:rPr>
        <w:t>büyük emekleri olan canım</w:t>
      </w:r>
      <w:r w:rsidRPr="000A40E6">
        <w:rPr>
          <w:rFonts w:cs="Times New Roman"/>
          <w:szCs w:val="24"/>
        </w:rPr>
        <w:t xml:space="preserve"> hocam, tez danışmanım Doç. Dr. Mine GEÇGELEN CESUR’a</w:t>
      </w:r>
      <w:r w:rsidR="00C90C97" w:rsidRPr="000A40E6">
        <w:rPr>
          <w:rFonts w:cs="Times New Roman"/>
          <w:szCs w:val="24"/>
        </w:rPr>
        <w:t>,</w:t>
      </w:r>
    </w:p>
    <w:p w14:paraId="08F5B757" w14:textId="34D9A14B" w:rsidR="00A179FF" w:rsidRPr="000A40E6" w:rsidRDefault="009F09CD" w:rsidP="00F756C3">
      <w:pPr>
        <w:suppressAutoHyphens/>
        <w:spacing w:after="120"/>
        <w:rPr>
          <w:rFonts w:cs="Times New Roman"/>
          <w:szCs w:val="24"/>
        </w:rPr>
      </w:pPr>
      <w:r w:rsidRPr="000A40E6">
        <w:rPr>
          <w:rFonts w:cs="Times New Roman"/>
          <w:szCs w:val="24"/>
        </w:rPr>
        <w:t xml:space="preserve">Doktora </w:t>
      </w:r>
      <w:r w:rsidR="00A179FF" w:rsidRPr="000A40E6">
        <w:rPr>
          <w:rFonts w:cs="Times New Roman"/>
          <w:szCs w:val="24"/>
        </w:rPr>
        <w:t>eğitimim süresince teorik ve pratik olarak katkıda bulunan, bilgi ve deneyimlerini benimle paylaş</w:t>
      </w:r>
      <w:r w:rsidR="00C8118F" w:rsidRPr="000A40E6">
        <w:rPr>
          <w:rFonts w:cs="Times New Roman"/>
          <w:szCs w:val="24"/>
        </w:rPr>
        <w:t xml:space="preserve">an değerli hocam Doç. Dr. </w:t>
      </w:r>
      <w:r w:rsidR="00A179FF" w:rsidRPr="000A40E6">
        <w:rPr>
          <w:rFonts w:cs="Times New Roman"/>
          <w:szCs w:val="24"/>
        </w:rPr>
        <w:t>Yazgı AY ÜNÜVAR’a</w:t>
      </w:r>
      <w:r w:rsidR="00C90C97" w:rsidRPr="000A40E6">
        <w:rPr>
          <w:rFonts w:cs="Times New Roman"/>
          <w:szCs w:val="24"/>
        </w:rPr>
        <w:t>,</w:t>
      </w:r>
    </w:p>
    <w:p w14:paraId="2E86505D" w14:textId="28253526" w:rsidR="00DF575C" w:rsidRPr="000A40E6" w:rsidRDefault="009F09CD" w:rsidP="00F756C3">
      <w:pPr>
        <w:suppressAutoHyphens/>
        <w:spacing w:after="120"/>
        <w:rPr>
          <w:rFonts w:cs="Times New Roman"/>
          <w:szCs w:val="24"/>
        </w:rPr>
      </w:pPr>
      <w:r w:rsidRPr="000A40E6">
        <w:rPr>
          <w:rFonts w:cs="Times New Roman"/>
          <w:szCs w:val="24"/>
        </w:rPr>
        <w:t xml:space="preserve">Doktora </w:t>
      </w:r>
      <w:r w:rsidR="00DF575C" w:rsidRPr="000A40E6">
        <w:rPr>
          <w:rFonts w:cs="Times New Roman"/>
          <w:szCs w:val="24"/>
        </w:rPr>
        <w:t>eğitimim sırasında yollarımız kesiştiği için mutluluk duyduğum, bilgi ve birikimlerini bizden esirgemeyen ve mesleki disiplin kazanmamızı sağlayan değerli hocalarım Doç. Dr. Alev YILMAZ’a ve Prof. Dr. Törün ÖZER’e</w:t>
      </w:r>
      <w:r w:rsidR="00C90C97" w:rsidRPr="000A40E6">
        <w:rPr>
          <w:rFonts w:cs="Times New Roman"/>
          <w:szCs w:val="24"/>
        </w:rPr>
        <w:t>,</w:t>
      </w:r>
    </w:p>
    <w:p w14:paraId="5EE0E60E" w14:textId="6EFAB181" w:rsidR="006648C4" w:rsidRPr="000A40E6" w:rsidRDefault="008D5823" w:rsidP="00F756C3">
      <w:pPr>
        <w:suppressAutoHyphens/>
        <w:spacing w:after="120"/>
        <w:rPr>
          <w:rFonts w:cs="Times New Roman"/>
          <w:szCs w:val="24"/>
        </w:rPr>
      </w:pPr>
      <w:r w:rsidRPr="000A40E6">
        <w:rPr>
          <w:rFonts w:cs="Times New Roman"/>
          <w:szCs w:val="24"/>
        </w:rPr>
        <w:t>Tez konumu proje olarak değerlendiren ve tez çalışmamın maddi giderlerini karşılayan Aydın Adnan Menderes Üniversitesi Rektörlüğü Bilimsel Ar</w:t>
      </w:r>
      <w:r w:rsidR="00683632" w:rsidRPr="000A40E6">
        <w:rPr>
          <w:rFonts w:cs="Times New Roman"/>
          <w:szCs w:val="24"/>
        </w:rPr>
        <w:t>aştırma Projeleri Başkanlığı’na</w:t>
      </w:r>
      <w:r w:rsidR="00C90C97" w:rsidRPr="000A40E6">
        <w:rPr>
          <w:rFonts w:cs="Times New Roman"/>
          <w:szCs w:val="24"/>
        </w:rPr>
        <w:t>,</w:t>
      </w:r>
    </w:p>
    <w:p w14:paraId="73559052" w14:textId="1F3B4E20" w:rsidR="00683632" w:rsidRPr="000A40E6" w:rsidRDefault="00683632" w:rsidP="00F756C3">
      <w:pPr>
        <w:suppressAutoHyphens/>
        <w:spacing w:after="120"/>
        <w:rPr>
          <w:rFonts w:cs="Times New Roman"/>
          <w:szCs w:val="24"/>
        </w:rPr>
      </w:pPr>
      <w:r w:rsidRPr="000A40E6">
        <w:rPr>
          <w:rFonts w:cs="Times New Roman"/>
          <w:szCs w:val="24"/>
        </w:rPr>
        <w:t xml:space="preserve">Tez çalışmamın biyokimyasal incelemelerini gerçekleştiren ve çalışmamıza katkı sunan </w:t>
      </w:r>
      <w:r w:rsidR="006648C4" w:rsidRPr="000A40E6">
        <w:rPr>
          <w:rFonts w:cs="Times New Roman"/>
          <w:szCs w:val="24"/>
        </w:rPr>
        <w:t xml:space="preserve">Aydın Adnan Menderes </w:t>
      </w:r>
      <w:r w:rsidRPr="000A40E6">
        <w:rPr>
          <w:rFonts w:cs="Times New Roman"/>
          <w:szCs w:val="24"/>
        </w:rPr>
        <w:t xml:space="preserve">Üniversitesi Tıp Fakültesi Tıbbi Biyokimya Anabilim Dalı öğretim üyesi Doç. Dr. </w:t>
      </w:r>
      <w:r w:rsidR="006648C4" w:rsidRPr="000A40E6">
        <w:rPr>
          <w:rFonts w:cs="Times New Roman"/>
          <w:szCs w:val="24"/>
        </w:rPr>
        <w:t>Mustafa YILMAZ’a</w:t>
      </w:r>
      <w:r w:rsidR="00C90C97" w:rsidRPr="000A40E6">
        <w:rPr>
          <w:rFonts w:cs="Times New Roman"/>
          <w:szCs w:val="24"/>
        </w:rPr>
        <w:t>,</w:t>
      </w:r>
    </w:p>
    <w:p w14:paraId="7AC16BC8" w14:textId="0C1120A2" w:rsidR="006648C4" w:rsidRPr="000A40E6" w:rsidRDefault="006648C4" w:rsidP="00F756C3">
      <w:pPr>
        <w:suppressAutoHyphens/>
        <w:spacing w:after="120"/>
        <w:rPr>
          <w:rFonts w:cs="Times New Roman"/>
          <w:szCs w:val="24"/>
        </w:rPr>
      </w:pPr>
      <w:r w:rsidRPr="000A40E6">
        <w:rPr>
          <w:rFonts w:cs="Times New Roman"/>
          <w:szCs w:val="24"/>
        </w:rPr>
        <w:t>Tez sürecimde her zaman yanımda olup desteğini hiç esirgemeyen canım arkadaşım, Zeynep UÇAR’a</w:t>
      </w:r>
      <w:r w:rsidR="00C90C97" w:rsidRPr="000A40E6">
        <w:rPr>
          <w:rFonts w:cs="Times New Roman"/>
          <w:szCs w:val="24"/>
        </w:rPr>
        <w:t>,</w:t>
      </w:r>
    </w:p>
    <w:p w14:paraId="31E01F44" w14:textId="000ECE49" w:rsidR="001866A7" w:rsidRPr="000A40E6" w:rsidRDefault="001866A7" w:rsidP="00F756C3">
      <w:pPr>
        <w:suppressAutoHyphens/>
        <w:spacing w:after="120"/>
        <w:rPr>
          <w:rFonts w:cs="Times New Roman"/>
          <w:szCs w:val="24"/>
        </w:rPr>
      </w:pPr>
      <w:r w:rsidRPr="000A40E6">
        <w:rPr>
          <w:rFonts w:cs="Times New Roman"/>
          <w:szCs w:val="24"/>
        </w:rPr>
        <w:t>Doktora eğitimim boyunca yanımda olan, birlikte çalışmaktan mutluluk duyduğum tüm asistan arkadaşlarım ve ortodon</w:t>
      </w:r>
      <w:r w:rsidR="00C90C97" w:rsidRPr="000A40E6">
        <w:rPr>
          <w:rFonts w:cs="Times New Roman"/>
          <w:szCs w:val="24"/>
        </w:rPr>
        <w:t>ti anabilim dalı personellerine,</w:t>
      </w:r>
    </w:p>
    <w:p w14:paraId="6927951A" w14:textId="41AA2C1F" w:rsidR="0017549E" w:rsidRPr="000A40E6" w:rsidRDefault="0017549E" w:rsidP="00F756C3">
      <w:pPr>
        <w:suppressAutoHyphens/>
        <w:spacing w:after="120"/>
        <w:rPr>
          <w:rFonts w:cs="Times New Roman"/>
          <w:szCs w:val="24"/>
        </w:rPr>
      </w:pPr>
      <w:r w:rsidRPr="000A40E6">
        <w:rPr>
          <w:rFonts w:cs="Times New Roman"/>
          <w:szCs w:val="24"/>
        </w:rPr>
        <w:t>Tüm hayatım boyunca her zaman yanımda olan, bugünlere gelmemde en büyük pay sahibi olan ve beni her koşulda destekleyen canım annem Sahi</w:t>
      </w:r>
      <w:r w:rsidR="00C90C97" w:rsidRPr="000A40E6">
        <w:rPr>
          <w:rFonts w:cs="Times New Roman"/>
          <w:szCs w:val="24"/>
        </w:rPr>
        <w:t>be GÜRAN, babam Mustafa GÜRAN’a, ağabeyim Osman GÜRAN’a,</w:t>
      </w:r>
    </w:p>
    <w:p w14:paraId="3C9B6994" w14:textId="77777777" w:rsidR="00AC4D1E" w:rsidRPr="000A40E6" w:rsidRDefault="00AC4D1E" w:rsidP="00F756C3">
      <w:pPr>
        <w:suppressAutoHyphens/>
        <w:spacing w:after="120"/>
        <w:rPr>
          <w:rFonts w:eastAsia="Times New Roman" w:cs="Times New Roman"/>
          <w:szCs w:val="24"/>
          <w:lang w:eastAsia="tr-TR"/>
        </w:rPr>
      </w:pPr>
    </w:p>
    <w:p w14:paraId="49F4FBDE" w14:textId="0F18083D" w:rsidR="003A5D4F" w:rsidRPr="000A40E6" w:rsidRDefault="00D52904" w:rsidP="00F756C3">
      <w:pPr>
        <w:suppressAutoHyphens/>
        <w:spacing w:after="120"/>
        <w:rPr>
          <w:rFonts w:cs="Times New Roman"/>
          <w:b/>
          <w:szCs w:val="24"/>
        </w:rPr>
      </w:pPr>
      <w:r w:rsidRPr="000A40E6">
        <w:rPr>
          <w:rFonts w:cs="Times New Roman"/>
          <w:b/>
          <w:szCs w:val="24"/>
        </w:rPr>
        <w:t>Sonsuz teşekkürlerimi sunarım…</w:t>
      </w:r>
      <w:bookmarkStart w:id="14" w:name="_Toc488176615"/>
    </w:p>
    <w:p w14:paraId="0CA2691D" w14:textId="77777777" w:rsidR="000D3022" w:rsidRPr="000A40E6" w:rsidRDefault="000D3022" w:rsidP="00F756C3">
      <w:pPr>
        <w:suppressAutoHyphens/>
        <w:spacing w:after="120"/>
        <w:rPr>
          <w:rFonts w:cs="Times New Roman"/>
          <w:b/>
          <w:szCs w:val="24"/>
        </w:rPr>
      </w:pPr>
    </w:p>
    <w:p w14:paraId="2F212B2F" w14:textId="77777777" w:rsidR="000D3022" w:rsidRPr="000A40E6" w:rsidRDefault="000D3022" w:rsidP="00F756C3">
      <w:pPr>
        <w:suppressAutoHyphens/>
        <w:spacing w:after="120"/>
        <w:rPr>
          <w:rFonts w:cs="Times New Roman"/>
          <w:b/>
          <w:szCs w:val="24"/>
        </w:rPr>
      </w:pPr>
    </w:p>
    <w:p w14:paraId="26827335" w14:textId="686C1039" w:rsidR="000D3022" w:rsidRPr="000A40E6" w:rsidRDefault="000D3022" w:rsidP="00F756C3">
      <w:pPr>
        <w:suppressAutoHyphens/>
        <w:spacing w:after="200" w:line="276" w:lineRule="auto"/>
        <w:ind w:firstLine="0"/>
        <w:jc w:val="left"/>
        <w:rPr>
          <w:rFonts w:cs="Times New Roman"/>
          <w:b/>
          <w:szCs w:val="24"/>
        </w:rPr>
      </w:pPr>
      <w:r w:rsidRPr="000A40E6">
        <w:rPr>
          <w:rFonts w:cs="Times New Roman"/>
          <w:b/>
          <w:szCs w:val="24"/>
        </w:rPr>
        <w:br w:type="page"/>
      </w:r>
    </w:p>
    <w:p w14:paraId="0865CDF9" w14:textId="77777777" w:rsidR="000D3022" w:rsidRPr="000A40E6" w:rsidRDefault="000D3022" w:rsidP="00F756C3">
      <w:pPr>
        <w:suppressAutoHyphens/>
        <w:spacing w:after="120"/>
        <w:ind w:firstLine="0"/>
        <w:jc w:val="center"/>
        <w:rPr>
          <w:rFonts w:eastAsia="Calibri" w:cs="Times New Roman"/>
          <w:b/>
          <w:sz w:val="28"/>
          <w:szCs w:val="24"/>
          <w:lang w:eastAsia="tr-TR"/>
        </w:rPr>
      </w:pPr>
      <w:r w:rsidRPr="000A40E6">
        <w:rPr>
          <w:rFonts w:eastAsia="Calibri" w:cs="Times New Roman"/>
          <w:b/>
          <w:sz w:val="28"/>
          <w:szCs w:val="24"/>
          <w:lang w:eastAsia="tr-TR"/>
        </w:rPr>
        <w:t>İÇİNDEKİLER</w:t>
      </w:r>
    </w:p>
    <w:p w14:paraId="449B82A1" w14:textId="77777777" w:rsidR="000D3022" w:rsidRPr="000A40E6" w:rsidRDefault="000D3022" w:rsidP="00F756C3">
      <w:pPr>
        <w:suppressAutoHyphens/>
        <w:spacing w:after="120"/>
        <w:ind w:firstLine="0"/>
        <w:jc w:val="center"/>
        <w:rPr>
          <w:rFonts w:eastAsia="Calibri" w:cs="Times New Roman"/>
          <w:b/>
          <w:szCs w:val="24"/>
          <w:lang w:eastAsia="tr-TR"/>
        </w:rPr>
      </w:pPr>
    </w:p>
    <w:p w14:paraId="1CEF24AB" w14:textId="77777777" w:rsidR="000D3022" w:rsidRPr="000A40E6" w:rsidRDefault="000D3022" w:rsidP="00F756C3">
      <w:pPr>
        <w:suppressAutoHyphens/>
        <w:spacing w:after="120"/>
        <w:ind w:firstLine="0"/>
        <w:jc w:val="center"/>
        <w:rPr>
          <w:rFonts w:eastAsia="Calibri" w:cs="Times New Roman"/>
          <w:b/>
          <w:szCs w:val="24"/>
          <w:lang w:eastAsia="tr-TR"/>
        </w:rPr>
      </w:pPr>
    </w:p>
    <w:p w14:paraId="1D5E8738" w14:textId="77777777" w:rsidR="000D3022" w:rsidRPr="000A40E6" w:rsidRDefault="000D3022" w:rsidP="00F756C3">
      <w:pPr>
        <w:tabs>
          <w:tab w:val="right" w:leader="dot" w:pos="8891"/>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KABUL VE ONAY</w:t>
      </w:r>
      <w:r w:rsidRPr="000A40E6">
        <w:rPr>
          <w:rFonts w:eastAsia="Times New Roman" w:cs="Times New Roman"/>
          <w:noProof/>
          <w:webHidden/>
          <w:szCs w:val="24"/>
          <w:lang w:eastAsia="tr-TR"/>
        </w:rPr>
        <w:tab/>
        <w:t>i</w:t>
      </w:r>
    </w:p>
    <w:p w14:paraId="4E7633AE" w14:textId="77777777" w:rsidR="000D3022" w:rsidRPr="000A40E6" w:rsidRDefault="000D3022" w:rsidP="00F756C3">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TEŞEKKÜR</w:t>
      </w:r>
      <w:r w:rsidRPr="000A40E6">
        <w:rPr>
          <w:rFonts w:eastAsia="Times New Roman" w:cs="Times New Roman"/>
          <w:noProof/>
          <w:webHidden/>
          <w:szCs w:val="24"/>
          <w:lang w:eastAsia="tr-TR"/>
        </w:rPr>
        <w:tab/>
        <w:t>ii</w:t>
      </w:r>
    </w:p>
    <w:p w14:paraId="27A966DD" w14:textId="77777777" w:rsidR="000D3022" w:rsidRPr="000A40E6" w:rsidRDefault="000D3022" w:rsidP="00F756C3">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İÇİNDEKİLER</w:t>
      </w:r>
      <w:r w:rsidRPr="000A40E6">
        <w:rPr>
          <w:rFonts w:eastAsia="Times New Roman" w:cs="Times New Roman"/>
          <w:noProof/>
          <w:webHidden/>
          <w:szCs w:val="24"/>
          <w:lang w:eastAsia="tr-TR"/>
        </w:rPr>
        <w:tab/>
        <w:t>iii</w:t>
      </w:r>
    </w:p>
    <w:p w14:paraId="3B37BEC3" w14:textId="3547F208"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SİMGELER VE KISALTMALAR DİZİNİ</w:t>
      </w:r>
      <w:r w:rsidRPr="000A40E6">
        <w:rPr>
          <w:rFonts w:eastAsia="Times New Roman" w:cs="Times New Roman"/>
          <w:noProof/>
          <w:webHidden/>
          <w:szCs w:val="24"/>
          <w:lang w:eastAsia="tr-TR"/>
        </w:rPr>
        <w:tab/>
      </w:r>
      <w:r w:rsidR="00353FBE" w:rsidRPr="000A40E6">
        <w:rPr>
          <w:rFonts w:eastAsia="Times New Roman" w:cs="Times New Roman"/>
          <w:noProof/>
          <w:webHidden/>
          <w:szCs w:val="24"/>
          <w:lang w:eastAsia="tr-TR"/>
        </w:rPr>
        <w:t>vii</w:t>
      </w:r>
    </w:p>
    <w:p w14:paraId="649E1468" w14:textId="0621B5D5"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ŞEKİLLER DİZİNİ</w:t>
      </w:r>
      <w:r w:rsidRPr="000A40E6">
        <w:rPr>
          <w:rFonts w:eastAsia="Times New Roman" w:cs="Times New Roman"/>
          <w:noProof/>
          <w:webHidden/>
          <w:szCs w:val="24"/>
          <w:lang w:eastAsia="tr-TR"/>
        </w:rPr>
        <w:tab/>
      </w:r>
      <w:r w:rsidR="00353FBE" w:rsidRPr="000A40E6">
        <w:rPr>
          <w:rFonts w:eastAsia="Times New Roman" w:cs="Times New Roman"/>
          <w:noProof/>
          <w:webHidden/>
          <w:szCs w:val="24"/>
          <w:lang w:eastAsia="tr-TR"/>
        </w:rPr>
        <w:t>ix</w:t>
      </w:r>
    </w:p>
    <w:p w14:paraId="1F81C442" w14:textId="1053C916"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RESİMLER DİZİNİ</w:t>
      </w:r>
      <w:r w:rsidRPr="000A40E6">
        <w:rPr>
          <w:rFonts w:eastAsia="Times New Roman" w:cs="Times New Roman"/>
          <w:noProof/>
          <w:webHidden/>
          <w:szCs w:val="24"/>
          <w:lang w:eastAsia="tr-TR"/>
        </w:rPr>
        <w:tab/>
      </w:r>
      <w:r w:rsidR="00353FBE" w:rsidRPr="000A40E6">
        <w:rPr>
          <w:rFonts w:eastAsia="Times New Roman" w:cs="Times New Roman"/>
          <w:noProof/>
          <w:webHidden/>
          <w:szCs w:val="24"/>
          <w:lang w:eastAsia="tr-TR"/>
        </w:rPr>
        <w:t>x</w:t>
      </w:r>
    </w:p>
    <w:p w14:paraId="5052CFB9" w14:textId="52F42558"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TABLOLAR DİZİNİ</w:t>
      </w:r>
      <w:r w:rsidRPr="000A40E6">
        <w:rPr>
          <w:rFonts w:eastAsia="Times New Roman" w:cs="Times New Roman"/>
          <w:noProof/>
          <w:webHidden/>
          <w:szCs w:val="24"/>
          <w:lang w:eastAsia="tr-TR"/>
        </w:rPr>
        <w:tab/>
      </w:r>
      <w:r w:rsidR="00353FBE" w:rsidRPr="000A40E6">
        <w:rPr>
          <w:rFonts w:eastAsia="Times New Roman" w:cs="Times New Roman"/>
          <w:noProof/>
          <w:webHidden/>
          <w:szCs w:val="24"/>
          <w:lang w:eastAsia="tr-TR"/>
        </w:rPr>
        <w:t>xi</w:t>
      </w:r>
    </w:p>
    <w:p w14:paraId="13F7CB72" w14:textId="0C494A16"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ÖZET</w:t>
      </w:r>
      <w:r w:rsidRPr="000A40E6">
        <w:rPr>
          <w:rFonts w:eastAsia="Times New Roman" w:cs="Times New Roman"/>
          <w:noProof/>
          <w:webHidden/>
          <w:szCs w:val="24"/>
          <w:lang w:eastAsia="tr-TR"/>
        </w:rPr>
        <w:tab/>
      </w:r>
      <w:r w:rsidR="00353FBE" w:rsidRPr="000A40E6">
        <w:rPr>
          <w:rFonts w:eastAsia="Times New Roman" w:cs="Times New Roman"/>
          <w:noProof/>
          <w:webHidden/>
          <w:szCs w:val="24"/>
          <w:lang w:eastAsia="tr-TR"/>
        </w:rPr>
        <w:t>xii</w:t>
      </w:r>
    </w:p>
    <w:p w14:paraId="244482B9" w14:textId="6071756C"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ABSTRACT</w:t>
      </w:r>
      <w:r w:rsidRPr="000A40E6">
        <w:rPr>
          <w:rFonts w:eastAsia="Times New Roman" w:cs="Times New Roman"/>
          <w:noProof/>
          <w:webHidden/>
          <w:szCs w:val="24"/>
          <w:lang w:eastAsia="tr-TR"/>
        </w:rPr>
        <w:tab/>
      </w:r>
      <w:r w:rsidR="00353FBE" w:rsidRPr="000A40E6">
        <w:rPr>
          <w:rFonts w:eastAsia="Times New Roman" w:cs="Times New Roman"/>
          <w:noProof/>
          <w:webHidden/>
          <w:szCs w:val="24"/>
          <w:lang w:eastAsia="tr-TR"/>
        </w:rPr>
        <w:t>xiv</w:t>
      </w:r>
    </w:p>
    <w:p w14:paraId="7357B06C"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1. GİRİŞ</w:t>
      </w:r>
      <w:r w:rsidRPr="000A40E6">
        <w:rPr>
          <w:rFonts w:eastAsia="Times New Roman" w:cs="Times New Roman"/>
          <w:noProof/>
          <w:webHidden/>
          <w:szCs w:val="24"/>
          <w:lang w:eastAsia="tr-TR"/>
        </w:rPr>
        <w:tab/>
        <w:t>1</w:t>
      </w:r>
    </w:p>
    <w:p w14:paraId="0618087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 GENEL BİLGİLER</w:t>
      </w:r>
      <w:r w:rsidRPr="000A40E6">
        <w:rPr>
          <w:rFonts w:eastAsia="Times New Roman" w:cs="Times New Roman"/>
          <w:noProof/>
          <w:webHidden/>
          <w:szCs w:val="24"/>
          <w:lang w:eastAsia="tr-TR"/>
        </w:rPr>
        <w:tab/>
        <w:t>4</w:t>
      </w:r>
    </w:p>
    <w:p w14:paraId="6308651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2.1. Maksiller Darlığın Tanımı ve Etiyolojisi</w:t>
      </w:r>
      <w:r w:rsidRPr="000A40E6">
        <w:rPr>
          <w:rFonts w:eastAsia="Times New Roman" w:cs="Times New Roman"/>
          <w:noProof/>
          <w:webHidden/>
          <w:szCs w:val="24"/>
          <w:lang w:eastAsia="tr-TR"/>
        </w:rPr>
        <w:tab/>
        <w:t>4</w:t>
      </w:r>
    </w:p>
    <w:p w14:paraId="5419EF6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 Rapid Maksiller Ekspansiyon</w:t>
      </w:r>
      <w:r w:rsidRPr="000A40E6">
        <w:rPr>
          <w:rFonts w:eastAsia="Times New Roman" w:cs="Times New Roman"/>
          <w:noProof/>
          <w:webHidden/>
          <w:szCs w:val="24"/>
          <w:lang w:eastAsia="tr-TR"/>
        </w:rPr>
        <w:tab/>
        <w:t>5</w:t>
      </w:r>
    </w:p>
    <w:p w14:paraId="02012A8B"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2.2.1. Rapid Maksiller Ekspansiyonun Tarihçesi</w:t>
      </w:r>
      <w:r w:rsidRPr="000A40E6">
        <w:rPr>
          <w:rFonts w:eastAsia="Times New Roman" w:cs="Times New Roman"/>
          <w:noProof/>
          <w:webHidden/>
          <w:szCs w:val="24"/>
          <w:lang w:eastAsia="tr-TR"/>
        </w:rPr>
        <w:tab/>
        <w:t>5</w:t>
      </w:r>
    </w:p>
    <w:p w14:paraId="01C9C2DC"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2.2.2. Rapid Maksiller Ekspansiyonun Endikasyonları</w:t>
      </w:r>
      <w:r w:rsidRPr="000A40E6">
        <w:rPr>
          <w:rFonts w:eastAsia="Times New Roman" w:cs="Times New Roman"/>
          <w:noProof/>
          <w:webHidden/>
          <w:szCs w:val="24"/>
          <w:lang w:eastAsia="tr-TR"/>
        </w:rPr>
        <w:tab/>
        <w:t>6</w:t>
      </w:r>
    </w:p>
    <w:p w14:paraId="3445136B"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2.2.3. Rapid Maksiller Ekspansiyonun Kontraendikasyonları</w:t>
      </w:r>
      <w:r w:rsidRPr="000A40E6">
        <w:rPr>
          <w:rFonts w:eastAsia="Times New Roman" w:cs="Times New Roman"/>
          <w:noProof/>
          <w:webHidden/>
          <w:szCs w:val="24"/>
          <w:lang w:eastAsia="tr-TR"/>
        </w:rPr>
        <w:tab/>
        <w:t>8</w:t>
      </w:r>
    </w:p>
    <w:p w14:paraId="5906C1C3"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2.2.4. Rapid Maksiller Ekspansiyonun Biyomekaniği</w:t>
      </w:r>
      <w:r w:rsidRPr="000A40E6">
        <w:rPr>
          <w:rFonts w:eastAsia="Times New Roman" w:cs="Times New Roman"/>
          <w:noProof/>
          <w:webHidden/>
          <w:szCs w:val="24"/>
          <w:lang w:eastAsia="tr-TR"/>
        </w:rPr>
        <w:tab/>
        <w:t>8</w:t>
      </w:r>
    </w:p>
    <w:p w14:paraId="73443C7D"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2.2.5. Rapid Maksiller Ekspansiyonun Tedavi Zamanlaması</w:t>
      </w:r>
      <w:r w:rsidRPr="000A40E6">
        <w:rPr>
          <w:rFonts w:eastAsia="Times New Roman" w:cs="Times New Roman"/>
          <w:noProof/>
          <w:webHidden/>
          <w:szCs w:val="24"/>
          <w:lang w:eastAsia="tr-TR"/>
        </w:rPr>
        <w:tab/>
        <w:t>9</w:t>
      </w:r>
    </w:p>
    <w:p w14:paraId="1BD181C5"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2.2.6. Rapid Maksiller Ekspansiyonun Klinik Uygulaması</w:t>
      </w:r>
      <w:r w:rsidRPr="000A40E6">
        <w:rPr>
          <w:rFonts w:eastAsia="Times New Roman" w:cs="Times New Roman"/>
          <w:noProof/>
          <w:webHidden/>
          <w:szCs w:val="24"/>
          <w:lang w:eastAsia="tr-TR"/>
        </w:rPr>
        <w:tab/>
        <w:t>10</w:t>
      </w:r>
    </w:p>
    <w:p w14:paraId="4F6C2DD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2.2.6.1. Ekspansiyon Miktarı</w:t>
      </w:r>
      <w:r w:rsidRPr="000A40E6">
        <w:rPr>
          <w:rFonts w:eastAsia="Times New Roman" w:cs="Times New Roman"/>
          <w:noProof/>
          <w:webHidden/>
          <w:szCs w:val="24"/>
          <w:lang w:eastAsia="tr-TR"/>
        </w:rPr>
        <w:tab/>
        <w:t>10</w:t>
      </w:r>
    </w:p>
    <w:p w14:paraId="04288C8C"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2.2.6.2. Aktivasyon Protokolleri</w:t>
      </w:r>
      <w:r w:rsidRPr="000A40E6">
        <w:rPr>
          <w:rFonts w:eastAsia="Times New Roman" w:cs="Times New Roman"/>
          <w:noProof/>
          <w:webHidden/>
          <w:szCs w:val="24"/>
          <w:lang w:eastAsia="tr-TR"/>
        </w:rPr>
        <w:tab/>
        <w:t>11</w:t>
      </w:r>
    </w:p>
    <w:p w14:paraId="22A483B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2.2.6.3.  Relaps ve Retansiyon</w:t>
      </w:r>
      <w:r w:rsidRPr="000A40E6">
        <w:rPr>
          <w:rFonts w:eastAsia="Times New Roman" w:cs="Times New Roman"/>
          <w:noProof/>
          <w:webHidden/>
          <w:szCs w:val="24"/>
          <w:lang w:eastAsia="tr-TR"/>
        </w:rPr>
        <w:tab/>
        <w:t>11</w:t>
      </w:r>
    </w:p>
    <w:p w14:paraId="1C5EE24C"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2.2.6.4. Rapid Maksiller Ekspansiyonun Başarısı</w:t>
      </w:r>
      <w:r w:rsidRPr="000A40E6">
        <w:rPr>
          <w:rFonts w:eastAsia="Times New Roman" w:cs="Times New Roman"/>
          <w:noProof/>
          <w:webHidden/>
          <w:szCs w:val="24"/>
          <w:lang w:eastAsia="tr-TR"/>
        </w:rPr>
        <w:tab/>
        <w:t>14</w:t>
      </w:r>
    </w:p>
    <w:p w14:paraId="7F1C4204"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2.3. Rapid Maksiller Ekspansiyon Etkisinin Değerlendirilmesi</w:t>
      </w:r>
      <w:r w:rsidRPr="000A40E6">
        <w:rPr>
          <w:rFonts w:eastAsia="Times New Roman" w:cs="Times New Roman"/>
          <w:noProof/>
          <w:webHidden/>
          <w:szCs w:val="24"/>
          <w:lang w:eastAsia="tr-TR"/>
        </w:rPr>
        <w:tab/>
        <w:t>15</w:t>
      </w:r>
    </w:p>
    <w:p w14:paraId="7A1D8D6F"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2.3.1. İskeletsel Etkiler</w:t>
      </w:r>
      <w:r w:rsidRPr="000A40E6">
        <w:rPr>
          <w:rFonts w:eastAsia="Times New Roman" w:cs="Times New Roman"/>
          <w:noProof/>
          <w:webHidden/>
          <w:szCs w:val="24"/>
          <w:lang w:eastAsia="tr-TR"/>
        </w:rPr>
        <w:tab/>
        <w:t>16</w:t>
      </w:r>
    </w:p>
    <w:p w14:paraId="5AC7D07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2.3.2. Dentoalveolar Etkiler</w:t>
      </w:r>
      <w:r w:rsidRPr="000A40E6">
        <w:rPr>
          <w:rFonts w:eastAsia="Times New Roman" w:cs="Times New Roman"/>
          <w:noProof/>
          <w:webHidden/>
          <w:szCs w:val="24"/>
          <w:lang w:eastAsia="tr-TR"/>
        </w:rPr>
        <w:tab/>
        <w:t>18</w:t>
      </w:r>
    </w:p>
    <w:p w14:paraId="3E942EE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2.3.3. Nazal Kavite Üzerindeki Etkiler</w:t>
      </w:r>
      <w:r w:rsidRPr="000A40E6">
        <w:rPr>
          <w:rFonts w:eastAsia="Times New Roman" w:cs="Times New Roman"/>
          <w:noProof/>
          <w:webHidden/>
          <w:szCs w:val="24"/>
          <w:lang w:eastAsia="tr-TR"/>
        </w:rPr>
        <w:tab/>
        <w:t>19</w:t>
      </w:r>
    </w:p>
    <w:p w14:paraId="55D93CEC"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2.3.3.1. Nazal Kavite Boyutlarındaki Değişiklikler</w:t>
      </w:r>
      <w:r w:rsidRPr="000A40E6">
        <w:rPr>
          <w:rFonts w:eastAsia="Times New Roman" w:cs="Times New Roman"/>
          <w:noProof/>
          <w:webHidden/>
          <w:szCs w:val="24"/>
          <w:lang w:eastAsia="tr-TR"/>
        </w:rPr>
        <w:tab/>
        <w:t>19</w:t>
      </w:r>
    </w:p>
    <w:p w14:paraId="0A03091F"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2.3.3.2. Nazal Kavite Fonksiyonunda Değişiklikler</w:t>
      </w:r>
      <w:r w:rsidRPr="000A40E6">
        <w:rPr>
          <w:rFonts w:eastAsia="Times New Roman" w:cs="Times New Roman"/>
          <w:noProof/>
          <w:webHidden/>
          <w:szCs w:val="24"/>
          <w:lang w:eastAsia="tr-TR"/>
        </w:rPr>
        <w:tab/>
        <w:t>20</w:t>
      </w:r>
    </w:p>
    <w:p w14:paraId="3181A681"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2.3.4. Periodontal Etkiler</w:t>
      </w:r>
      <w:r w:rsidRPr="000A40E6">
        <w:rPr>
          <w:rFonts w:eastAsia="Times New Roman" w:cs="Times New Roman"/>
          <w:noProof/>
          <w:webHidden/>
          <w:szCs w:val="24"/>
          <w:lang w:eastAsia="tr-TR"/>
        </w:rPr>
        <w:tab/>
        <w:t>20</w:t>
      </w:r>
    </w:p>
    <w:p w14:paraId="55DD7E33"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 Diş Eti Oluğu Sıvısı (DOS)</w:t>
      </w:r>
      <w:r w:rsidRPr="000A40E6">
        <w:rPr>
          <w:rFonts w:eastAsia="Times New Roman" w:cs="Times New Roman"/>
          <w:noProof/>
          <w:webHidden/>
          <w:szCs w:val="24"/>
          <w:lang w:eastAsia="tr-TR"/>
        </w:rPr>
        <w:tab/>
        <w:t>21</w:t>
      </w:r>
    </w:p>
    <w:p w14:paraId="2D3F547A"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2.4.1. Diş Eti Oluğu Sıvısı Toplama Yöntemleri</w:t>
      </w:r>
      <w:r w:rsidRPr="000A40E6">
        <w:rPr>
          <w:rFonts w:eastAsia="Times New Roman" w:cs="Times New Roman"/>
          <w:noProof/>
          <w:webHidden/>
          <w:szCs w:val="24"/>
          <w:lang w:eastAsia="tr-TR"/>
        </w:rPr>
        <w:tab/>
        <w:t>22</w:t>
      </w:r>
    </w:p>
    <w:p w14:paraId="7198A003"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2.4.1.1. Emici Kâğıt Stripler</w:t>
      </w:r>
      <w:r w:rsidRPr="000A40E6">
        <w:rPr>
          <w:rFonts w:eastAsia="Times New Roman" w:cs="Times New Roman"/>
          <w:noProof/>
          <w:webHidden/>
          <w:szCs w:val="24"/>
          <w:lang w:eastAsia="tr-TR"/>
        </w:rPr>
        <w:tab/>
        <w:t>22</w:t>
      </w:r>
    </w:p>
    <w:p w14:paraId="073F8F2D"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2.4.1.2. Mikro Pipet veya Kapiller Tüp Kullanımı</w:t>
      </w:r>
      <w:r w:rsidRPr="000A40E6">
        <w:rPr>
          <w:rFonts w:eastAsia="Times New Roman" w:cs="Times New Roman"/>
          <w:noProof/>
          <w:webHidden/>
          <w:szCs w:val="24"/>
          <w:lang w:eastAsia="tr-TR"/>
        </w:rPr>
        <w:tab/>
        <w:t>23</w:t>
      </w:r>
    </w:p>
    <w:p w14:paraId="2C645D08"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2.4.1.3. Gingival Yıkama Tekniği</w:t>
      </w:r>
      <w:r w:rsidRPr="000A40E6">
        <w:rPr>
          <w:rFonts w:eastAsia="Times New Roman" w:cs="Times New Roman"/>
          <w:noProof/>
          <w:webHidden/>
          <w:szCs w:val="24"/>
          <w:lang w:eastAsia="tr-TR"/>
        </w:rPr>
        <w:tab/>
        <w:t>23</w:t>
      </w:r>
    </w:p>
    <w:p w14:paraId="2151D1C7"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2.4.2. Diş Eti Oluğu Sıvısında Ortodontik Diş Hareketinin Biyomarkerları</w:t>
      </w:r>
      <w:r w:rsidRPr="000A40E6">
        <w:rPr>
          <w:rFonts w:eastAsia="Times New Roman" w:cs="Times New Roman"/>
          <w:noProof/>
          <w:webHidden/>
          <w:szCs w:val="24"/>
          <w:lang w:eastAsia="tr-TR"/>
        </w:rPr>
        <w:tab/>
        <w:t>23</w:t>
      </w:r>
    </w:p>
    <w:p w14:paraId="5AE978E9"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2.4.2.1. İnflamasyon Biyomarkerları</w:t>
      </w:r>
      <w:r w:rsidRPr="000A40E6">
        <w:rPr>
          <w:rFonts w:eastAsia="Times New Roman" w:cs="Times New Roman"/>
          <w:noProof/>
          <w:webHidden/>
          <w:szCs w:val="24"/>
          <w:lang w:eastAsia="tr-TR"/>
        </w:rPr>
        <w:tab/>
        <w:t>24</w:t>
      </w:r>
    </w:p>
    <w:p w14:paraId="49D076A2"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2.4.2.1.1. TNF-alfa (Tümör Nekrozis Faktör -alfa)</w:t>
      </w:r>
      <w:r w:rsidRPr="000A40E6">
        <w:rPr>
          <w:rFonts w:eastAsia="Times New Roman" w:cs="Times New Roman"/>
          <w:noProof/>
          <w:webHidden/>
          <w:szCs w:val="24"/>
          <w:lang w:eastAsia="tr-TR"/>
        </w:rPr>
        <w:tab/>
        <w:t>26</w:t>
      </w:r>
    </w:p>
    <w:p w14:paraId="5D640595" w14:textId="7F556F41"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2.4.2.2. Hücre Yıkım Biyomarkerları</w:t>
      </w:r>
      <w:r w:rsidRPr="000A40E6">
        <w:rPr>
          <w:rFonts w:eastAsia="Times New Roman" w:cs="Times New Roman"/>
          <w:noProof/>
          <w:webHidden/>
          <w:szCs w:val="24"/>
          <w:lang w:eastAsia="tr-TR"/>
        </w:rPr>
        <w:tab/>
        <w:t>2</w:t>
      </w:r>
      <w:r w:rsidR="00D26696" w:rsidRPr="000A40E6">
        <w:rPr>
          <w:rFonts w:eastAsia="Times New Roman" w:cs="Times New Roman"/>
          <w:noProof/>
          <w:webHidden/>
          <w:szCs w:val="24"/>
          <w:lang w:eastAsia="tr-TR"/>
        </w:rPr>
        <w:t>7</w:t>
      </w:r>
    </w:p>
    <w:p w14:paraId="61371213"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2.4.2.3. Kemik Metabolizması Biyomarkerları</w:t>
      </w:r>
      <w:r w:rsidRPr="000A40E6">
        <w:rPr>
          <w:rFonts w:eastAsia="Times New Roman" w:cs="Times New Roman"/>
          <w:noProof/>
          <w:webHidden/>
          <w:szCs w:val="24"/>
          <w:lang w:eastAsia="tr-TR"/>
        </w:rPr>
        <w:tab/>
        <w:t>27</w:t>
      </w:r>
    </w:p>
    <w:p w14:paraId="18BD40CA"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2.4.2.3.1. Asit ve Kemik Alkalen Fosfataz</w:t>
      </w:r>
      <w:r w:rsidRPr="000A40E6">
        <w:rPr>
          <w:rFonts w:eastAsia="Times New Roman" w:cs="Times New Roman"/>
          <w:noProof/>
          <w:webHidden/>
          <w:szCs w:val="24"/>
          <w:lang w:eastAsia="tr-TR"/>
        </w:rPr>
        <w:tab/>
        <w:t>28</w:t>
      </w:r>
    </w:p>
    <w:p w14:paraId="2F6B4FB7"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2.4.2.3.2. RANK/RANKL/Osteoprotegerin (OPG) Sistemi</w:t>
      </w:r>
      <w:r w:rsidRPr="000A40E6">
        <w:rPr>
          <w:rFonts w:eastAsia="Times New Roman" w:cs="Times New Roman"/>
          <w:noProof/>
          <w:webHidden/>
          <w:szCs w:val="24"/>
          <w:lang w:eastAsia="tr-TR"/>
        </w:rPr>
        <w:tab/>
        <w:t>28</w:t>
      </w:r>
    </w:p>
    <w:p w14:paraId="42DDDA26"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 GEREÇ VE YÖNTEM</w:t>
      </w:r>
      <w:r w:rsidRPr="000A40E6">
        <w:rPr>
          <w:rFonts w:eastAsia="Times New Roman" w:cs="Times New Roman"/>
          <w:noProof/>
          <w:webHidden/>
          <w:szCs w:val="24"/>
          <w:lang w:eastAsia="tr-TR"/>
        </w:rPr>
        <w:tab/>
        <w:t>30</w:t>
      </w:r>
    </w:p>
    <w:p w14:paraId="5406C642"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3.1. Araştırmanın Türü</w:t>
      </w:r>
      <w:r w:rsidRPr="000A40E6">
        <w:rPr>
          <w:rFonts w:eastAsia="Times New Roman" w:cs="Times New Roman"/>
          <w:noProof/>
          <w:webHidden/>
          <w:szCs w:val="24"/>
          <w:lang w:eastAsia="tr-TR"/>
        </w:rPr>
        <w:tab/>
        <w:t>30</w:t>
      </w:r>
    </w:p>
    <w:p w14:paraId="22F0C5B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3.2. Hasta Seçimi</w:t>
      </w:r>
      <w:r w:rsidRPr="000A40E6">
        <w:rPr>
          <w:rFonts w:eastAsia="Times New Roman" w:cs="Times New Roman"/>
          <w:noProof/>
          <w:webHidden/>
          <w:szCs w:val="24"/>
          <w:lang w:eastAsia="tr-TR"/>
        </w:rPr>
        <w:tab/>
        <w:t>30</w:t>
      </w:r>
    </w:p>
    <w:p w14:paraId="09DED5DB"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3.3. Yöntem</w:t>
      </w:r>
      <w:r w:rsidRPr="000A40E6">
        <w:rPr>
          <w:rFonts w:eastAsia="Times New Roman" w:cs="Times New Roman"/>
          <w:noProof/>
          <w:webHidden/>
          <w:szCs w:val="24"/>
          <w:lang w:eastAsia="tr-TR"/>
        </w:rPr>
        <w:tab/>
        <w:t>31</w:t>
      </w:r>
    </w:p>
    <w:p w14:paraId="44BEDF24"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3.3.1. Ortodontik Kayıtların Toplanması</w:t>
      </w:r>
      <w:r w:rsidRPr="000A40E6">
        <w:rPr>
          <w:rFonts w:eastAsia="Times New Roman" w:cs="Times New Roman"/>
          <w:noProof/>
          <w:webHidden/>
          <w:szCs w:val="24"/>
          <w:lang w:eastAsia="tr-TR"/>
        </w:rPr>
        <w:tab/>
        <w:t>31</w:t>
      </w:r>
    </w:p>
    <w:p w14:paraId="698344D6"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3.3.2. Laboratuvar İşlemleri</w:t>
      </w:r>
      <w:r w:rsidRPr="000A40E6">
        <w:rPr>
          <w:rFonts w:eastAsia="Times New Roman" w:cs="Times New Roman"/>
          <w:noProof/>
          <w:webHidden/>
          <w:szCs w:val="24"/>
          <w:lang w:eastAsia="tr-TR"/>
        </w:rPr>
        <w:tab/>
        <w:t>32</w:t>
      </w:r>
    </w:p>
    <w:p w14:paraId="7096C0E9"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3.3.3. Apareyin Simantasyonu ve Aktive Edilmesi</w:t>
      </w:r>
      <w:r w:rsidRPr="000A40E6">
        <w:rPr>
          <w:rFonts w:eastAsia="Times New Roman" w:cs="Times New Roman"/>
          <w:noProof/>
          <w:webHidden/>
          <w:szCs w:val="24"/>
          <w:lang w:eastAsia="tr-TR"/>
        </w:rPr>
        <w:tab/>
        <w:t>33</w:t>
      </w:r>
    </w:p>
    <w:p w14:paraId="1551CE64"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3.4. Örneklerin Alınması</w:t>
      </w:r>
      <w:r w:rsidRPr="000A40E6">
        <w:rPr>
          <w:rFonts w:eastAsia="Times New Roman" w:cs="Times New Roman"/>
          <w:noProof/>
          <w:webHidden/>
          <w:szCs w:val="24"/>
          <w:lang w:eastAsia="tr-TR"/>
        </w:rPr>
        <w:tab/>
        <w:t>36</w:t>
      </w:r>
    </w:p>
    <w:p w14:paraId="7E678DB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3.4.1. Diş Eti Oluğu Sıvısı Örnekleri</w:t>
      </w:r>
      <w:r w:rsidRPr="000A40E6">
        <w:rPr>
          <w:rFonts w:eastAsia="Times New Roman" w:cs="Times New Roman"/>
          <w:noProof/>
          <w:webHidden/>
          <w:szCs w:val="24"/>
          <w:lang w:eastAsia="tr-TR"/>
        </w:rPr>
        <w:tab/>
        <w:t>37</w:t>
      </w:r>
    </w:p>
    <w:p w14:paraId="29079AF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3.4.2. Plak İndeksinin Ölçülmesi</w:t>
      </w:r>
      <w:r w:rsidRPr="000A40E6">
        <w:rPr>
          <w:rFonts w:eastAsia="Times New Roman" w:cs="Times New Roman"/>
          <w:noProof/>
          <w:webHidden/>
          <w:szCs w:val="24"/>
          <w:lang w:eastAsia="tr-TR"/>
        </w:rPr>
        <w:tab/>
        <w:t>39</w:t>
      </w:r>
    </w:p>
    <w:p w14:paraId="4346E99B"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3.4.3. Gingival İndeksin Ölçülmesi</w:t>
      </w:r>
      <w:r w:rsidRPr="000A40E6">
        <w:rPr>
          <w:rFonts w:eastAsia="Times New Roman" w:cs="Times New Roman"/>
          <w:noProof/>
          <w:webHidden/>
          <w:szCs w:val="24"/>
          <w:lang w:eastAsia="tr-TR"/>
        </w:rPr>
        <w:tab/>
        <w:t>40</w:t>
      </w:r>
    </w:p>
    <w:p w14:paraId="566D31C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3.4.4. Sondlama Derinliğinin Ölçülmesi</w:t>
      </w:r>
      <w:r w:rsidRPr="000A40E6">
        <w:rPr>
          <w:rFonts w:eastAsia="Times New Roman" w:cs="Times New Roman"/>
          <w:noProof/>
          <w:webHidden/>
          <w:szCs w:val="24"/>
          <w:lang w:eastAsia="tr-TR"/>
        </w:rPr>
        <w:tab/>
        <w:t>40</w:t>
      </w:r>
    </w:p>
    <w:p w14:paraId="3114D3E3"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3.4.5. Sondlama Sırasında Kanamanın Ölçülmesi</w:t>
      </w:r>
      <w:r w:rsidRPr="000A40E6">
        <w:rPr>
          <w:rFonts w:eastAsia="Times New Roman" w:cs="Times New Roman"/>
          <w:noProof/>
          <w:webHidden/>
          <w:szCs w:val="24"/>
          <w:lang w:eastAsia="tr-TR"/>
        </w:rPr>
        <w:tab/>
        <w:t>41</w:t>
      </w:r>
    </w:p>
    <w:p w14:paraId="4564DC52"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3.5. Biyokimyasal Analizler</w:t>
      </w:r>
      <w:r w:rsidRPr="000A40E6">
        <w:rPr>
          <w:rFonts w:eastAsia="Times New Roman" w:cs="Times New Roman"/>
          <w:noProof/>
          <w:webHidden/>
          <w:szCs w:val="24"/>
          <w:lang w:eastAsia="tr-TR"/>
        </w:rPr>
        <w:tab/>
        <w:t>41</w:t>
      </w:r>
    </w:p>
    <w:p w14:paraId="437D3786"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3.5.1. Diş Eti Oluğu Sıvısı Örneklerinin Analizi</w:t>
      </w:r>
      <w:r w:rsidRPr="000A40E6">
        <w:rPr>
          <w:rFonts w:eastAsia="Times New Roman" w:cs="Times New Roman"/>
          <w:noProof/>
          <w:webHidden/>
          <w:szCs w:val="24"/>
          <w:lang w:eastAsia="tr-TR"/>
        </w:rPr>
        <w:tab/>
        <w:t>42</w:t>
      </w:r>
    </w:p>
    <w:p w14:paraId="52BAD4F3"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3.5.1.1.  OPG, RANKL, BALP ve TNF-alfa Düzeylerinin Belirlenmesi</w:t>
      </w:r>
      <w:r w:rsidRPr="000A40E6">
        <w:rPr>
          <w:rFonts w:eastAsia="Times New Roman" w:cs="Times New Roman"/>
          <w:noProof/>
          <w:webHidden/>
          <w:szCs w:val="24"/>
          <w:lang w:eastAsia="tr-TR"/>
        </w:rPr>
        <w:tab/>
        <w:t>43</w:t>
      </w:r>
    </w:p>
    <w:p w14:paraId="648861BD"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3.5.1.1.1. Standartların Hazırlanması</w:t>
      </w:r>
      <w:r w:rsidRPr="000A40E6">
        <w:rPr>
          <w:rFonts w:eastAsia="Times New Roman" w:cs="Times New Roman"/>
          <w:noProof/>
          <w:webHidden/>
          <w:szCs w:val="24"/>
          <w:lang w:eastAsia="tr-TR"/>
        </w:rPr>
        <w:tab/>
        <w:t>44</w:t>
      </w:r>
    </w:p>
    <w:p w14:paraId="1886C90A"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3.5.1.1.2. Ölçüm yöntemi</w:t>
      </w:r>
      <w:r w:rsidRPr="000A40E6">
        <w:rPr>
          <w:rFonts w:eastAsia="Times New Roman" w:cs="Times New Roman"/>
          <w:noProof/>
          <w:webHidden/>
          <w:szCs w:val="24"/>
          <w:lang w:eastAsia="tr-TR"/>
        </w:rPr>
        <w:tab/>
        <w:t>44</w:t>
      </w:r>
    </w:p>
    <w:p w14:paraId="05092801"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3.6. İstatistiksel Analizler</w:t>
      </w:r>
      <w:r w:rsidRPr="000A40E6">
        <w:rPr>
          <w:rFonts w:eastAsia="Times New Roman" w:cs="Times New Roman"/>
          <w:noProof/>
          <w:webHidden/>
          <w:szCs w:val="24"/>
          <w:lang w:eastAsia="tr-TR"/>
        </w:rPr>
        <w:tab/>
        <w:t>47</w:t>
      </w:r>
    </w:p>
    <w:p w14:paraId="4B505D91"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4. BULGULAR</w:t>
      </w:r>
      <w:r w:rsidRPr="000A40E6">
        <w:rPr>
          <w:rFonts w:eastAsia="Times New Roman" w:cs="Times New Roman"/>
          <w:noProof/>
          <w:webHidden/>
          <w:szCs w:val="24"/>
          <w:lang w:eastAsia="tr-TR"/>
        </w:rPr>
        <w:tab/>
        <w:t>48</w:t>
      </w:r>
    </w:p>
    <w:p w14:paraId="35B351E9"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5. TARTIŞMA</w:t>
      </w:r>
      <w:r w:rsidRPr="000A40E6">
        <w:rPr>
          <w:rFonts w:eastAsia="Times New Roman" w:cs="Times New Roman"/>
          <w:noProof/>
          <w:webHidden/>
          <w:szCs w:val="24"/>
          <w:lang w:eastAsia="tr-TR"/>
        </w:rPr>
        <w:tab/>
        <w:t>55</w:t>
      </w:r>
    </w:p>
    <w:p w14:paraId="3B5A1FE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5.1. Çalışmanın Amacının Tartışması</w:t>
      </w:r>
      <w:r w:rsidRPr="000A40E6">
        <w:rPr>
          <w:rFonts w:eastAsia="Times New Roman" w:cs="Times New Roman"/>
          <w:noProof/>
          <w:webHidden/>
          <w:szCs w:val="24"/>
          <w:lang w:eastAsia="tr-TR"/>
        </w:rPr>
        <w:tab/>
        <w:t>55</w:t>
      </w:r>
    </w:p>
    <w:p w14:paraId="0B85B21D"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5.2. Çalışma Yönteminin Tartışması</w:t>
      </w:r>
      <w:r w:rsidRPr="000A40E6">
        <w:rPr>
          <w:rFonts w:eastAsia="Times New Roman" w:cs="Times New Roman"/>
          <w:noProof/>
          <w:webHidden/>
          <w:szCs w:val="24"/>
          <w:lang w:eastAsia="tr-TR"/>
        </w:rPr>
        <w:tab/>
        <w:t>57</w:t>
      </w:r>
    </w:p>
    <w:p w14:paraId="230EBEE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5.3. Bulguların Tartışması</w:t>
      </w:r>
      <w:r w:rsidRPr="000A40E6">
        <w:rPr>
          <w:rFonts w:eastAsia="Times New Roman" w:cs="Times New Roman"/>
          <w:noProof/>
          <w:webHidden/>
          <w:szCs w:val="24"/>
          <w:lang w:eastAsia="tr-TR"/>
        </w:rPr>
        <w:tab/>
        <w:t>61</w:t>
      </w:r>
    </w:p>
    <w:p w14:paraId="07BF736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5.3.1. Periodontal İndeks Bulgularının Tartışması</w:t>
      </w:r>
      <w:r w:rsidRPr="000A40E6">
        <w:rPr>
          <w:rFonts w:eastAsia="Times New Roman" w:cs="Times New Roman"/>
          <w:noProof/>
          <w:webHidden/>
          <w:szCs w:val="24"/>
          <w:lang w:eastAsia="tr-TR"/>
        </w:rPr>
        <w:tab/>
        <w:t>61</w:t>
      </w:r>
    </w:p>
    <w:p w14:paraId="56B9E538"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5.3.2. Diş Eti Oluğu Sıvısı Hacim Değişikliklerine İlişkin Bulguların Tartışması</w:t>
      </w:r>
      <w:r w:rsidRPr="000A40E6">
        <w:rPr>
          <w:rFonts w:eastAsia="Times New Roman" w:cs="Times New Roman"/>
          <w:noProof/>
          <w:webHidden/>
          <w:szCs w:val="24"/>
          <w:lang w:eastAsia="tr-TR"/>
        </w:rPr>
        <w:tab/>
        <w:t>63</w:t>
      </w:r>
    </w:p>
    <w:p w14:paraId="349B69CA"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5.3.3. Biyomarker Bulgularının Tartışması</w:t>
      </w:r>
      <w:r w:rsidRPr="000A40E6">
        <w:rPr>
          <w:rFonts w:eastAsia="Times New Roman" w:cs="Times New Roman"/>
          <w:noProof/>
          <w:webHidden/>
          <w:szCs w:val="24"/>
          <w:lang w:eastAsia="tr-TR"/>
        </w:rPr>
        <w:tab/>
        <w:t>64</w:t>
      </w:r>
    </w:p>
    <w:p w14:paraId="4936390F"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6. SONUÇ VE ÖNERİLER</w:t>
      </w:r>
      <w:r w:rsidRPr="000A40E6">
        <w:rPr>
          <w:rFonts w:eastAsia="Times New Roman" w:cs="Times New Roman"/>
          <w:noProof/>
          <w:webHidden/>
          <w:szCs w:val="24"/>
          <w:lang w:eastAsia="tr-TR"/>
        </w:rPr>
        <w:tab/>
        <w:t>70</w:t>
      </w:r>
    </w:p>
    <w:p w14:paraId="4037C3A6"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KAYNAKLAR</w:t>
      </w:r>
      <w:r w:rsidRPr="000A40E6">
        <w:rPr>
          <w:rFonts w:eastAsia="Times New Roman" w:cs="Times New Roman"/>
          <w:noProof/>
          <w:webHidden/>
          <w:szCs w:val="24"/>
          <w:lang w:eastAsia="tr-TR"/>
        </w:rPr>
        <w:tab/>
        <w:t>72</w:t>
      </w:r>
    </w:p>
    <w:p w14:paraId="365990EB"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EKLER</w:t>
      </w:r>
      <w:r w:rsidRPr="000A40E6">
        <w:rPr>
          <w:rFonts w:eastAsia="Times New Roman" w:cs="Times New Roman"/>
          <w:noProof/>
          <w:webHidden/>
          <w:szCs w:val="24"/>
          <w:lang w:eastAsia="tr-TR"/>
        </w:rPr>
        <w:tab/>
        <w:t>103</w:t>
      </w:r>
    </w:p>
    <w:p w14:paraId="25196A81"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Ek 1. Etik Kurul Onayı</w:t>
      </w:r>
      <w:r w:rsidRPr="000A40E6">
        <w:rPr>
          <w:rFonts w:eastAsia="Times New Roman" w:cs="Times New Roman"/>
          <w:noProof/>
          <w:webHidden/>
          <w:szCs w:val="24"/>
          <w:lang w:eastAsia="tr-TR"/>
        </w:rPr>
        <w:tab/>
        <w:t>103</w:t>
      </w:r>
    </w:p>
    <w:p w14:paraId="5B17964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Ek 2. Sağlık bakanlığı 2021-105 Onay</w:t>
      </w:r>
      <w:r w:rsidRPr="000A40E6">
        <w:rPr>
          <w:rFonts w:eastAsia="Times New Roman" w:cs="Times New Roman"/>
          <w:noProof/>
          <w:webHidden/>
          <w:szCs w:val="24"/>
          <w:lang w:eastAsia="tr-TR"/>
        </w:rPr>
        <w:tab/>
        <w:t>104</w:t>
      </w:r>
    </w:p>
    <w:p w14:paraId="32EC08B7"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Ek 3. Form 15 BGOF (ÇOCUK)</w:t>
      </w:r>
      <w:r w:rsidRPr="000A40E6">
        <w:rPr>
          <w:rFonts w:eastAsia="Times New Roman" w:cs="Times New Roman"/>
          <w:noProof/>
          <w:webHidden/>
          <w:szCs w:val="24"/>
          <w:lang w:eastAsia="tr-TR"/>
        </w:rPr>
        <w:tab/>
        <w:t>106</w:t>
      </w:r>
    </w:p>
    <w:p w14:paraId="24172ACD"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Ek 4. Form 15 BGOF (EBEVEYN)</w:t>
      </w:r>
      <w:r w:rsidRPr="000A40E6">
        <w:rPr>
          <w:rFonts w:eastAsia="Times New Roman" w:cs="Times New Roman"/>
          <w:noProof/>
          <w:webHidden/>
          <w:szCs w:val="24"/>
          <w:lang w:eastAsia="tr-TR"/>
        </w:rPr>
        <w:tab/>
        <w:t>110</w:t>
      </w:r>
    </w:p>
    <w:p w14:paraId="27D1B78B"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cs="Times New Roman"/>
          <w:noProof/>
          <w:szCs w:val="24"/>
          <w:lang w:eastAsia="tr-TR"/>
        </w:rPr>
        <w:t>BİLİMSEL ETİK BEYANI</w:t>
      </w:r>
      <w:r w:rsidRPr="000A40E6">
        <w:rPr>
          <w:rFonts w:eastAsia="Times New Roman" w:cs="Times New Roman"/>
          <w:noProof/>
          <w:webHidden/>
          <w:szCs w:val="24"/>
          <w:lang w:eastAsia="tr-TR"/>
        </w:rPr>
        <w:tab/>
        <w:t>114</w:t>
      </w:r>
    </w:p>
    <w:p w14:paraId="337B0466"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noProof/>
          <w:szCs w:val="24"/>
          <w:lang w:eastAsia="tr-TR"/>
        </w:rPr>
        <w:t>ÖZ GEÇMİŞ</w:t>
      </w:r>
      <w:r w:rsidRPr="000A40E6">
        <w:rPr>
          <w:rFonts w:eastAsia="Times New Roman" w:cs="Times New Roman"/>
          <w:noProof/>
          <w:webHidden/>
          <w:szCs w:val="24"/>
          <w:lang w:eastAsia="tr-TR"/>
        </w:rPr>
        <w:tab/>
        <w:t>115</w:t>
      </w:r>
    </w:p>
    <w:p w14:paraId="14B7554B" w14:textId="77777777" w:rsidR="000D3022" w:rsidRPr="000A40E6" w:rsidRDefault="000D3022" w:rsidP="001C4767">
      <w:pPr>
        <w:tabs>
          <w:tab w:val="right" w:leader="dot" w:pos="8892"/>
        </w:tabs>
        <w:suppressAutoHyphens/>
        <w:spacing w:after="120"/>
        <w:ind w:left="567" w:right="284" w:hanging="567"/>
        <w:rPr>
          <w:rFonts w:eastAsia="Times New Roman" w:cs="Times New Roman"/>
          <w:noProof/>
          <w:szCs w:val="24"/>
          <w:lang w:eastAsia="tr-TR"/>
        </w:rPr>
      </w:pPr>
    </w:p>
    <w:p w14:paraId="758A7684" w14:textId="77777777" w:rsidR="000D3022" w:rsidRPr="000A40E6" w:rsidRDefault="000D3022" w:rsidP="00F756C3">
      <w:pPr>
        <w:suppressAutoHyphens/>
        <w:spacing w:after="120"/>
        <w:rPr>
          <w:rFonts w:cs="Times New Roman"/>
          <w:b/>
          <w:szCs w:val="24"/>
        </w:rPr>
      </w:pPr>
    </w:p>
    <w:p w14:paraId="5BF1A3FB" w14:textId="77777777" w:rsidR="000D3022" w:rsidRPr="000A40E6" w:rsidRDefault="000D3022" w:rsidP="00F756C3">
      <w:pPr>
        <w:suppressAutoHyphens/>
        <w:spacing w:after="120"/>
        <w:rPr>
          <w:rFonts w:cs="Times New Roman"/>
          <w:b/>
          <w:szCs w:val="24"/>
        </w:rPr>
      </w:pPr>
    </w:p>
    <w:p w14:paraId="602CC21A" w14:textId="77777777" w:rsidR="000D3022" w:rsidRPr="000A40E6" w:rsidRDefault="000D3022" w:rsidP="00F756C3">
      <w:pPr>
        <w:suppressAutoHyphens/>
        <w:spacing w:after="120"/>
        <w:rPr>
          <w:rFonts w:cs="Times New Roman"/>
          <w:b/>
          <w:szCs w:val="24"/>
        </w:rPr>
      </w:pPr>
    </w:p>
    <w:p w14:paraId="301F4B32" w14:textId="77777777" w:rsidR="000D3022" w:rsidRPr="000A40E6" w:rsidRDefault="000D3022" w:rsidP="00F756C3">
      <w:pPr>
        <w:suppressAutoHyphens/>
        <w:spacing w:after="120"/>
        <w:rPr>
          <w:rFonts w:cs="Times New Roman"/>
          <w:b/>
          <w:szCs w:val="24"/>
        </w:rPr>
      </w:pPr>
    </w:p>
    <w:p w14:paraId="3E6A6C46" w14:textId="77777777" w:rsidR="002003A3" w:rsidRPr="000A40E6" w:rsidRDefault="002003A3" w:rsidP="00F756C3">
      <w:pPr>
        <w:suppressAutoHyphens/>
        <w:spacing w:after="120"/>
        <w:rPr>
          <w:rFonts w:cs="Times New Roman"/>
          <w:b/>
          <w:szCs w:val="24"/>
        </w:rPr>
      </w:pPr>
    </w:p>
    <w:p w14:paraId="4B496F79" w14:textId="77777777" w:rsidR="000D3022" w:rsidRPr="000A40E6" w:rsidRDefault="000D3022" w:rsidP="00F756C3">
      <w:pPr>
        <w:suppressAutoHyphens/>
        <w:spacing w:after="200" w:line="276" w:lineRule="auto"/>
        <w:ind w:firstLine="0"/>
        <w:jc w:val="left"/>
        <w:rPr>
          <w:rFonts w:cs="Times New Roman"/>
          <w:b/>
          <w:szCs w:val="24"/>
        </w:rPr>
      </w:pPr>
      <w:r w:rsidRPr="000A40E6">
        <w:rPr>
          <w:rFonts w:cs="Times New Roman"/>
          <w:b/>
          <w:szCs w:val="24"/>
        </w:rPr>
        <w:br w:type="page"/>
      </w:r>
    </w:p>
    <w:p w14:paraId="1D3CD444" w14:textId="6FB9F06D" w:rsidR="00C44C5D" w:rsidRPr="000A40E6" w:rsidRDefault="00486E92" w:rsidP="00F756C3">
      <w:pPr>
        <w:suppressAutoHyphens/>
        <w:spacing w:after="120"/>
        <w:ind w:firstLine="0"/>
        <w:jc w:val="center"/>
        <w:rPr>
          <w:rFonts w:eastAsia="Calibri" w:cs="Times New Roman"/>
          <w:b/>
          <w:sz w:val="28"/>
          <w:szCs w:val="24"/>
          <w:lang w:eastAsia="tr-TR"/>
        </w:rPr>
      </w:pPr>
      <w:r w:rsidRPr="000A40E6">
        <w:rPr>
          <w:rFonts w:eastAsia="Calibri" w:cs="Times New Roman"/>
          <w:b/>
          <w:sz w:val="28"/>
          <w:szCs w:val="24"/>
          <w:lang w:eastAsia="tr-TR"/>
        </w:rPr>
        <w:t>SİMGELER VE KISALTMALAR DİZİNİ</w:t>
      </w:r>
    </w:p>
    <w:p w14:paraId="6DFDF194" w14:textId="77777777" w:rsidR="000D3022" w:rsidRPr="000A40E6" w:rsidRDefault="000D3022" w:rsidP="00F756C3">
      <w:pPr>
        <w:suppressAutoHyphens/>
        <w:spacing w:after="120"/>
        <w:ind w:firstLine="0"/>
        <w:jc w:val="center"/>
        <w:rPr>
          <w:rFonts w:eastAsia="Calibri" w:cs="Times New Roman"/>
          <w:b/>
          <w:szCs w:val="24"/>
          <w:lang w:eastAsia="tr-TR"/>
        </w:rPr>
      </w:pPr>
    </w:p>
    <w:p w14:paraId="4229B234" w14:textId="77777777" w:rsidR="000D3022" w:rsidRPr="000A40E6" w:rsidRDefault="000D3022" w:rsidP="00F756C3">
      <w:pPr>
        <w:suppressAutoHyphens/>
        <w:spacing w:after="120"/>
        <w:ind w:firstLine="0"/>
        <w:jc w:val="center"/>
        <w:rPr>
          <w:rFonts w:eastAsia="Calibri" w:cs="Times New Roman"/>
          <w:b/>
          <w:szCs w:val="24"/>
          <w:lang w:eastAsia="tr-TR"/>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7296"/>
      </w:tblGrid>
      <w:tr w:rsidR="000D3022" w:rsidRPr="000A40E6" w14:paraId="17422CF0" w14:textId="77777777" w:rsidTr="000D3022">
        <w:trPr>
          <w:trHeight w:val="490"/>
        </w:trPr>
        <w:tc>
          <w:tcPr>
            <w:tcW w:w="1944" w:type="dxa"/>
          </w:tcPr>
          <w:p w14:paraId="4AC2354B" w14:textId="77777777" w:rsidR="000D3022" w:rsidRPr="000A40E6" w:rsidRDefault="000D3022" w:rsidP="00F756C3">
            <w:pPr>
              <w:suppressAutoHyphens/>
              <w:spacing w:after="120"/>
              <w:ind w:firstLine="0"/>
              <w:rPr>
                <w:rFonts w:eastAsia="Times New Roman" w:cs="Times New Roman"/>
                <w:b/>
                <w:bCs/>
                <w:color w:val="000000"/>
                <w:szCs w:val="24"/>
                <w:lang w:eastAsia="tr-TR"/>
              </w:rPr>
            </w:pPr>
            <w:bookmarkStart w:id="15" w:name="_Hlk9814767"/>
            <w:r w:rsidRPr="000A40E6">
              <w:rPr>
                <w:rFonts w:eastAsia="Times New Roman" w:cs="Times New Roman"/>
                <w:b/>
                <w:bCs/>
                <w:color w:val="000000"/>
                <w:szCs w:val="24"/>
                <w:lang w:eastAsia="tr-TR"/>
              </w:rPr>
              <w:t>ACP</w:t>
            </w:r>
          </w:p>
          <w:p w14:paraId="17835577" w14:textId="77777777" w:rsidR="000D3022" w:rsidRPr="000A40E6" w:rsidRDefault="000D3022" w:rsidP="00F756C3">
            <w:pPr>
              <w:suppressAutoHyphens/>
              <w:spacing w:after="120"/>
              <w:ind w:firstLine="0"/>
              <w:rPr>
                <w:rFonts w:eastAsia="Times New Roman" w:cs="Times New Roman"/>
                <w:b/>
                <w:bCs/>
                <w:color w:val="000000"/>
                <w:szCs w:val="24"/>
                <w:lang w:eastAsia="tr-TR"/>
              </w:rPr>
            </w:pPr>
            <w:r w:rsidRPr="000A40E6">
              <w:rPr>
                <w:rFonts w:eastAsia="Times New Roman" w:cs="Times New Roman"/>
                <w:b/>
                <w:bCs/>
                <w:szCs w:val="24"/>
                <w:lang w:eastAsia="tr-TR"/>
              </w:rPr>
              <w:t>ANS</w:t>
            </w:r>
          </w:p>
        </w:tc>
        <w:tc>
          <w:tcPr>
            <w:tcW w:w="7124" w:type="dxa"/>
          </w:tcPr>
          <w:p w14:paraId="24727A31"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Asit Fosfataz</w:t>
            </w:r>
          </w:p>
          <w:p w14:paraId="56C679F9"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 xml:space="preserve">: </w:t>
            </w:r>
            <w:r w:rsidRPr="000A40E6">
              <w:rPr>
                <w:rFonts w:eastAsia="Times New Roman" w:cs="Times New Roman"/>
                <w:szCs w:val="24"/>
                <w:lang w:eastAsia="tr-TR"/>
              </w:rPr>
              <w:t>Anterior Nazal Spina</w:t>
            </w:r>
          </w:p>
        </w:tc>
      </w:tr>
      <w:tr w:rsidR="000D3022" w:rsidRPr="000A40E6" w14:paraId="26D03CFD" w14:textId="77777777" w:rsidTr="000D3022">
        <w:trPr>
          <w:trHeight w:val="475"/>
        </w:trPr>
        <w:tc>
          <w:tcPr>
            <w:tcW w:w="1944" w:type="dxa"/>
          </w:tcPr>
          <w:p w14:paraId="60C2A0BE" w14:textId="77777777" w:rsidR="000D3022" w:rsidRPr="000A40E6" w:rsidRDefault="000D3022" w:rsidP="00F756C3">
            <w:pPr>
              <w:suppressAutoHyphens/>
              <w:spacing w:after="120"/>
              <w:ind w:firstLine="0"/>
              <w:rPr>
                <w:rFonts w:cs="Times New Roman"/>
                <w:b/>
                <w:bCs/>
                <w:szCs w:val="24"/>
              </w:rPr>
            </w:pPr>
            <w:r w:rsidRPr="000A40E6">
              <w:rPr>
                <w:rFonts w:eastAsia="Times New Roman" w:cs="Times New Roman"/>
                <w:b/>
                <w:bCs/>
                <w:szCs w:val="24"/>
                <w:lang w:eastAsia="tr-TR"/>
              </w:rPr>
              <w:t>%BOP</w:t>
            </w:r>
          </w:p>
        </w:tc>
        <w:tc>
          <w:tcPr>
            <w:tcW w:w="7124" w:type="dxa"/>
          </w:tcPr>
          <w:p w14:paraId="259D83A6"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Kanama Yüzdesi</w:t>
            </w:r>
          </w:p>
        </w:tc>
      </w:tr>
      <w:tr w:rsidR="000D3022" w:rsidRPr="000A40E6" w14:paraId="4082D25F" w14:textId="77777777" w:rsidTr="000D3022">
        <w:trPr>
          <w:trHeight w:val="475"/>
        </w:trPr>
        <w:tc>
          <w:tcPr>
            <w:tcW w:w="1944" w:type="dxa"/>
          </w:tcPr>
          <w:p w14:paraId="1DC08CE8"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lang w:eastAsia="tr-TR"/>
              </w:rPr>
              <w:t>AST</w:t>
            </w:r>
          </w:p>
          <w:p w14:paraId="7EEA4F55" w14:textId="77777777" w:rsidR="000D3022" w:rsidRPr="000A40E6" w:rsidRDefault="000D3022" w:rsidP="00F756C3">
            <w:pPr>
              <w:suppressAutoHyphens/>
              <w:spacing w:after="120"/>
              <w:ind w:firstLine="0"/>
              <w:rPr>
                <w:rFonts w:eastAsia="Times New Roman" w:cs="Times New Roman"/>
                <w:b/>
                <w:szCs w:val="24"/>
              </w:rPr>
            </w:pPr>
            <w:r w:rsidRPr="000A40E6">
              <w:rPr>
                <w:rFonts w:eastAsia="Times New Roman" w:cs="Times New Roman"/>
                <w:b/>
                <w:szCs w:val="24"/>
              </w:rPr>
              <w:t>ATİ</w:t>
            </w:r>
          </w:p>
        </w:tc>
        <w:tc>
          <w:tcPr>
            <w:tcW w:w="7124" w:type="dxa"/>
          </w:tcPr>
          <w:p w14:paraId="7DF272C6"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Aspartat Aminotransferaz</w:t>
            </w:r>
          </w:p>
          <w:p w14:paraId="592A22B8"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szCs w:val="24"/>
                <w:lang w:eastAsia="tr-TR"/>
              </w:rPr>
              <w:t>: ANOVA-tipi test istatiği</w:t>
            </w:r>
          </w:p>
        </w:tc>
      </w:tr>
      <w:tr w:rsidR="000D3022" w:rsidRPr="000A40E6" w14:paraId="3CB1B4BA" w14:textId="77777777" w:rsidTr="000D3022">
        <w:trPr>
          <w:trHeight w:val="490"/>
        </w:trPr>
        <w:tc>
          <w:tcPr>
            <w:tcW w:w="1944" w:type="dxa"/>
          </w:tcPr>
          <w:p w14:paraId="75CD6511" w14:textId="77777777" w:rsidR="000D3022" w:rsidRPr="000A40E6" w:rsidRDefault="000D3022" w:rsidP="00F756C3">
            <w:pPr>
              <w:suppressAutoHyphens/>
              <w:spacing w:after="120"/>
              <w:ind w:firstLine="0"/>
              <w:rPr>
                <w:rFonts w:eastAsia="Times New Roman" w:cs="Times New Roman"/>
                <w:b/>
                <w:szCs w:val="24"/>
              </w:rPr>
            </w:pPr>
            <w:r w:rsidRPr="000A40E6">
              <w:rPr>
                <w:rFonts w:eastAsia="Times New Roman" w:cs="Times New Roman"/>
                <w:b/>
                <w:szCs w:val="24"/>
              </w:rPr>
              <w:t>BALP</w:t>
            </w:r>
          </w:p>
        </w:tc>
        <w:tc>
          <w:tcPr>
            <w:tcW w:w="7124" w:type="dxa"/>
          </w:tcPr>
          <w:p w14:paraId="63AB4638"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Kemik Alkalen Fosfataz</w:t>
            </w:r>
          </w:p>
        </w:tc>
      </w:tr>
      <w:tr w:rsidR="000D3022" w:rsidRPr="000A40E6" w14:paraId="6AE307A2" w14:textId="77777777" w:rsidTr="000D3022">
        <w:trPr>
          <w:trHeight w:val="490"/>
        </w:trPr>
        <w:tc>
          <w:tcPr>
            <w:tcW w:w="1944" w:type="dxa"/>
          </w:tcPr>
          <w:p w14:paraId="086F0A02" w14:textId="77777777" w:rsidR="000D3022" w:rsidRPr="000A40E6" w:rsidRDefault="000D3022" w:rsidP="00F756C3">
            <w:pPr>
              <w:suppressAutoHyphens/>
              <w:spacing w:after="120"/>
              <w:ind w:firstLine="0"/>
              <w:rPr>
                <w:rFonts w:cs="Times New Roman"/>
                <w:b/>
                <w:bCs/>
                <w:szCs w:val="24"/>
              </w:rPr>
            </w:pPr>
            <w:r w:rsidRPr="000A40E6">
              <w:rPr>
                <w:rFonts w:cs="Times New Roman"/>
                <w:b/>
                <w:bCs/>
                <w:szCs w:val="24"/>
              </w:rPr>
              <w:t>BT</w:t>
            </w:r>
          </w:p>
        </w:tc>
        <w:tc>
          <w:tcPr>
            <w:tcW w:w="7124" w:type="dxa"/>
          </w:tcPr>
          <w:p w14:paraId="26DF9850"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Bilgisayarlı Tomografi</w:t>
            </w:r>
          </w:p>
        </w:tc>
      </w:tr>
      <w:tr w:rsidR="000D3022" w:rsidRPr="000A40E6" w14:paraId="6D115B23" w14:textId="77777777" w:rsidTr="000D3022">
        <w:trPr>
          <w:trHeight w:val="475"/>
        </w:trPr>
        <w:tc>
          <w:tcPr>
            <w:tcW w:w="1944" w:type="dxa"/>
          </w:tcPr>
          <w:p w14:paraId="22A8B223"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szCs w:val="24"/>
                <w:lang w:eastAsia="tr-TR"/>
              </w:rPr>
              <w:t>CGRP</w:t>
            </w:r>
          </w:p>
          <w:p w14:paraId="3CC6ABED" w14:textId="77777777" w:rsidR="000D3022" w:rsidRPr="000A40E6" w:rsidRDefault="000D3022" w:rsidP="00F756C3">
            <w:pPr>
              <w:suppressAutoHyphens/>
              <w:spacing w:after="120"/>
              <w:ind w:firstLine="0"/>
              <w:rPr>
                <w:rFonts w:eastAsia="Times New Roman" w:cs="Times New Roman"/>
                <w:b/>
                <w:szCs w:val="24"/>
              </w:rPr>
            </w:pPr>
            <w:r w:rsidRPr="000A40E6">
              <w:rPr>
                <w:rFonts w:eastAsia="Times New Roman" w:cs="Times New Roman"/>
                <w:b/>
                <w:szCs w:val="24"/>
              </w:rPr>
              <w:t>Col-1</w:t>
            </w:r>
          </w:p>
        </w:tc>
        <w:tc>
          <w:tcPr>
            <w:tcW w:w="7124" w:type="dxa"/>
          </w:tcPr>
          <w:p w14:paraId="2CBE7A51"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Kalsitonin Gen-İlişkili Peptid</w:t>
            </w:r>
          </w:p>
          <w:p w14:paraId="22673963" w14:textId="77777777" w:rsidR="000D3022" w:rsidRPr="000A40E6" w:rsidRDefault="000D3022" w:rsidP="00F756C3">
            <w:pPr>
              <w:suppressAutoHyphens/>
              <w:spacing w:after="120"/>
              <w:ind w:firstLine="0"/>
              <w:rPr>
                <w:rFonts w:eastAsia="Times New Roman" w:cs="Times New Roman"/>
                <w:b/>
                <w:szCs w:val="24"/>
                <w:lang w:eastAsia="tr-TR"/>
              </w:rPr>
            </w:pPr>
            <w:r w:rsidRPr="000A40E6">
              <w:rPr>
                <w:rFonts w:eastAsia="Times New Roman" w:cs="Times New Roman"/>
                <w:b/>
                <w:szCs w:val="24"/>
                <w:lang w:eastAsia="tr-TR"/>
              </w:rPr>
              <w:t xml:space="preserve">: </w:t>
            </w:r>
            <w:r w:rsidRPr="000A40E6">
              <w:rPr>
                <w:rFonts w:eastAsia="Times New Roman" w:cs="Times New Roman"/>
                <w:szCs w:val="24"/>
                <w:lang w:eastAsia="tr-TR"/>
              </w:rPr>
              <w:t>Kolajen 1</w:t>
            </w:r>
          </w:p>
        </w:tc>
      </w:tr>
      <w:tr w:rsidR="000D3022" w:rsidRPr="000A40E6" w14:paraId="229D9957" w14:textId="77777777" w:rsidTr="000D3022">
        <w:trPr>
          <w:trHeight w:val="490"/>
        </w:trPr>
        <w:tc>
          <w:tcPr>
            <w:tcW w:w="1944" w:type="dxa"/>
          </w:tcPr>
          <w:p w14:paraId="4DE23531"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color w:val="000000"/>
                <w:szCs w:val="24"/>
                <w:lang w:eastAsia="tr-TR"/>
              </w:rPr>
              <w:t>ÇAG</w:t>
            </w:r>
          </w:p>
        </w:tc>
        <w:tc>
          <w:tcPr>
            <w:tcW w:w="7124" w:type="dxa"/>
          </w:tcPr>
          <w:p w14:paraId="7A1F6CCB"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w:t>
            </w:r>
            <w:r w:rsidRPr="000A40E6">
              <w:rPr>
                <w:rFonts w:cs="Times New Roman"/>
                <w:color w:val="000000"/>
                <w:szCs w:val="24"/>
              </w:rPr>
              <w:t>Çeyrekler Arası Genişlik</w:t>
            </w:r>
          </w:p>
        </w:tc>
      </w:tr>
      <w:tr w:rsidR="000D3022" w:rsidRPr="000A40E6" w14:paraId="7C9F43CE" w14:textId="77777777" w:rsidTr="000D3022">
        <w:trPr>
          <w:trHeight w:val="475"/>
        </w:trPr>
        <w:tc>
          <w:tcPr>
            <w:tcW w:w="1944" w:type="dxa"/>
          </w:tcPr>
          <w:p w14:paraId="1310602C"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bCs/>
                <w:szCs w:val="24"/>
                <w:lang w:eastAsia="tr-TR"/>
              </w:rPr>
              <w:t>ELISA</w:t>
            </w:r>
          </w:p>
        </w:tc>
        <w:tc>
          <w:tcPr>
            <w:tcW w:w="7124" w:type="dxa"/>
          </w:tcPr>
          <w:p w14:paraId="764628FC"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Enzyme Linked-Immuno Sorbent Assay</w:t>
            </w:r>
          </w:p>
        </w:tc>
      </w:tr>
      <w:tr w:rsidR="000D3022" w:rsidRPr="000A40E6" w14:paraId="3867CA9E" w14:textId="77777777" w:rsidTr="000D3022">
        <w:trPr>
          <w:trHeight w:val="490"/>
        </w:trPr>
        <w:tc>
          <w:tcPr>
            <w:tcW w:w="1944" w:type="dxa"/>
          </w:tcPr>
          <w:p w14:paraId="04F92436" w14:textId="77777777" w:rsidR="000D3022" w:rsidRPr="000A40E6" w:rsidRDefault="000D3022" w:rsidP="00F756C3">
            <w:pPr>
              <w:suppressAutoHyphens/>
              <w:spacing w:after="120"/>
              <w:ind w:firstLine="0"/>
              <w:rPr>
                <w:rFonts w:eastAsia="Times New Roman" w:cs="Times New Roman"/>
                <w:b/>
                <w:bCs/>
                <w:szCs w:val="24"/>
                <w:lang w:eastAsia="tr-TR"/>
              </w:rPr>
            </w:pPr>
            <w:r w:rsidRPr="000A40E6">
              <w:rPr>
                <w:rFonts w:eastAsia="Times New Roman" w:cs="Times New Roman"/>
                <w:b/>
                <w:bCs/>
                <w:szCs w:val="24"/>
                <w:lang w:eastAsia="tr-TR"/>
              </w:rPr>
              <w:t>G-CSF</w:t>
            </w:r>
          </w:p>
        </w:tc>
        <w:tc>
          <w:tcPr>
            <w:tcW w:w="7124" w:type="dxa"/>
          </w:tcPr>
          <w:p w14:paraId="64EECE28"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Granülosit Koloni Uyarıcı Faktör</w:t>
            </w:r>
          </w:p>
        </w:tc>
      </w:tr>
      <w:tr w:rsidR="000D3022" w:rsidRPr="000A40E6" w14:paraId="781CF7E6" w14:textId="77777777" w:rsidTr="000D3022">
        <w:trPr>
          <w:trHeight w:val="490"/>
        </w:trPr>
        <w:tc>
          <w:tcPr>
            <w:tcW w:w="1944" w:type="dxa"/>
          </w:tcPr>
          <w:p w14:paraId="00D4F36F" w14:textId="77777777" w:rsidR="000D3022" w:rsidRPr="000A40E6" w:rsidRDefault="000D3022" w:rsidP="00F756C3">
            <w:pPr>
              <w:suppressAutoHyphens/>
              <w:spacing w:after="120"/>
              <w:ind w:firstLine="0"/>
              <w:rPr>
                <w:rFonts w:eastAsia="Times New Roman" w:cs="Times New Roman"/>
                <w:b/>
                <w:bCs/>
                <w:szCs w:val="24"/>
                <w:lang w:eastAsia="tr-TR"/>
              </w:rPr>
            </w:pPr>
            <w:r w:rsidRPr="000A40E6">
              <w:rPr>
                <w:rFonts w:eastAsia="Times New Roman" w:cs="Times New Roman"/>
                <w:b/>
                <w:bCs/>
                <w:szCs w:val="24"/>
                <w:lang w:eastAsia="tr-TR"/>
              </w:rPr>
              <w:t>GI</w:t>
            </w:r>
          </w:p>
        </w:tc>
        <w:tc>
          <w:tcPr>
            <w:tcW w:w="7124" w:type="dxa"/>
          </w:tcPr>
          <w:p w14:paraId="048B893F"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Gingival İndeks</w:t>
            </w:r>
          </w:p>
        </w:tc>
      </w:tr>
      <w:tr w:rsidR="000D3022" w:rsidRPr="000A40E6" w14:paraId="10DF3751" w14:textId="77777777" w:rsidTr="000D3022">
        <w:trPr>
          <w:trHeight w:val="475"/>
        </w:trPr>
        <w:tc>
          <w:tcPr>
            <w:tcW w:w="1944" w:type="dxa"/>
          </w:tcPr>
          <w:p w14:paraId="0A5F18DE"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GM-CSF</w:t>
            </w:r>
          </w:p>
        </w:tc>
        <w:tc>
          <w:tcPr>
            <w:tcW w:w="7124" w:type="dxa"/>
          </w:tcPr>
          <w:p w14:paraId="7D49BCDC"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Granülosit Makrofaj Koloni Uyarıcı Faktör</w:t>
            </w:r>
          </w:p>
        </w:tc>
      </w:tr>
      <w:tr w:rsidR="000D3022" w:rsidRPr="000A40E6" w14:paraId="0A28FD8E" w14:textId="77777777" w:rsidTr="000D3022">
        <w:trPr>
          <w:trHeight w:val="490"/>
        </w:trPr>
        <w:tc>
          <w:tcPr>
            <w:tcW w:w="1944" w:type="dxa"/>
          </w:tcPr>
          <w:p w14:paraId="5E59C769"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HRP</w:t>
            </w:r>
          </w:p>
        </w:tc>
        <w:tc>
          <w:tcPr>
            <w:tcW w:w="7124" w:type="dxa"/>
          </w:tcPr>
          <w:p w14:paraId="3543EEB2"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w:t>
            </w:r>
            <w:r w:rsidRPr="000A40E6">
              <w:rPr>
                <w:rFonts w:cs="Times New Roman"/>
                <w:szCs w:val="24"/>
              </w:rPr>
              <w:t>Horseradish peroxidase</w:t>
            </w:r>
          </w:p>
        </w:tc>
      </w:tr>
      <w:tr w:rsidR="000D3022" w:rsidRPr="000A40E6" w14:paraId="66BE54F5" w14:textId="77777777" w:rsidTr="000D3022">
        <w:trPr>
          <w:trHeight w:val="475"/>
        </w:trPr>
        <w:tc>
          <w:tcPr>
            <w:tcW w:w="1944" w:type="dxa"/>
          </w:tcPr>
          <w:p w14:paraId="6193F0B9"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IL-1</w:t>
            </w:r>
            <w:r w:rsidRPr="000A40E6">
              <w:rPr>
                <w:rFonts w:eastAsia="Times New Roman" w:cs="Times New Roman"/>
                <w:b/>
                <w:bCs/>
                <w:szCs w:val="24"/>
                <w:lang w:eastAsia="tr-TR"/>
              </w:rPr>
              <w:t>β</w:t>
            </w:r>
          </w:p>
        </w:tc>
        <w:tc>
          <w:tcPr>
            <w:tcW w:w="7124" w:type="dxa"/>
          </w:tcPr>
          <w:p w14:paraId="0386D5A2"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İnterlökin-1</w:t>
            </w:r>
            <w:r w:rsidRPr="000A40E6">
              <w:rPr>
                <w:rFonts w:eastAsia="Times New Roman" w:cs="Times New Roman"/>
                <w:bCs/>
                <w:szCs w:val="24"/>
                <w:lang w:eastAsia="tr-TR"/>
              </w:rPr>
              <w:t>β</w:t>
            </w:r>
          </w:p>
        </w:tc>
      </w:tr>
      <w:tr w:rsidR="000D3022" w:rsidRPr="000A40E6" w14:paraId="2D240302" w14:textId="77777777" w:rsidTr="000D3022">
        <w:trPr>
          <w:trHeight w:val="490"/>
        </w:trPr>
        <w:tc>
          <w:tcPr>
            <w:tcW w:w="1944" w:type="dxa"/>
          </w:tcPr>
          <w:p w14:paraId="2ECE222E"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IL-6</w:t>
            </w:r>
          </w:p>
        </w:tc>
        <w:tc>
          <w:tcPr>
            <w:tcW w:w="7124" w:type="dxa"/>
          </w:tcPr>
          <w:p w14:paraId="35021D1F"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İnterlökin-6</w:t>
            </w:r>
          </w:p>
        </w:tc>
      </w:tr>
      <w:tr w:rsidR="000D3022" w:rsidRPr="000A40E6" w14:paraId="635E6651" w14:textId="77777777" w:rsidTr="000D3022">
        <w:trPr>
          <w:trHeight w:val="475"/>
        </w:trPr>
        <w:tc>
          <w:tcPr>
            <w:tcW w:w="1944" w:type="dxa"/>
          </w:tcPr>
          <w:p w14:paraId="599427E9" w14:textId="77777777" w:rsidR="000D3022" w:rsidRPr="000A40E6" w:rsidRDefault="000D3022" w:rsidP="00F756C3">
            <w:pPr>
              <w:suppressAutoHyphens/>
              <w:spacing w:after="120"/>
              <w:ind w:firstLine="0"/>
              <w:rPr>
                <w:rFonts w:eastAsia="Times New Roman" w:cs="Times New Roman"/>
                <w:b/>
                <w:szCs w:val="24"/>
                <w:lang w:eastAsia="tr-TR"/>
              </w:rPr>
            </w:pPr>
            <w:r w:rsidRPr="000A40E6">
              <w:rPr>
                <w:rFonts w:eastAsia="Times New Roman" w:cs="Times New Roman"/>
                <w:b/>
                <w:szCs w:val="24"/>
                <w:lang w:eastAsia="tr-TR"/>
              </w:rPr>
              <w:t>IL-8</w:t>
            </w:r>
          </w:p>
        </w:tc>
        <w:tc>
          <w:tcPr>
            <w:tcW w:w="7124" w:type="dxa"/>
          </w:tcPr>
          <w:p w14:paraId="23CBFABA"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İnterlökin-8</w:t>
            </w:r>
          </w:p>
        </w:tc>
      </w:tr>
      <w:tr w:rsidR="000D3022" w:rsidRPr="000A40E6" w14:paraId="16EBE849" w14:textId="77777777" w:rsidTr="000D3022">
        <w:trPr>
          <w:trHeight w:val="490"/>
        </w:trPr>
        <w:tc>
          <w:tcPr>
            <w:tcW w:w="1944" w:type="dxa"/>
          </w:tcPr>
          <w:p w14:paraId="37882CD5" w14:textId="77777777" w:rsidR="000D3022" w:rsidRPr="000A40E6" w:rsidRDefault="000D3022" w:rsidP="00F756C3">
            <w:pPr>
              <w:suppressAutoHyphens/>
              <w:spacing w:after="120"/>
              <w:ind w:firstLine="0"/>
              <w:rPr>
                <w:rFonts w:eastAsia="Times New Roman" w:cs="Times New Roman"/>
                <w:b/>
                <w:szCs w:val="24"/>
                <w:lang w:eastAsia="tr-TR"/>
              </w:rPr>
            </w:pPr>
            <w:r w:rsidRPr="000A40E6">
              <w:rPr>
                <w:rFonts w:eastAsia="Times New Roman" w:cs="Times New Roman"/>
                <w:b/>
                <w:szCs w:val="24"/>
                <w:lang w:eastAsia="tr-TR"/>
              </w:rPr>
              <w:t>LDH</w:t>
            </w:r>
          </w:p>
        </w:tc>
        <w:tc>
          <w:tcPr>
            <w:tcW w:w="7124" w:type="dxa"/>
          </w:tcPr>
          <w:p w14:paraId="7E2CC76F"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Laktat Dehidrojenaz</w:t>
            </w:r>
          </w:p>
        </w:tc>
      </w:tr>
      <w:tr w:rsidR="000D3022" w:rsidRPr="000A40E6" w14:paraId="3C07D2EF" w14:textId="77777777" w:rsidTr="000D3022">
        <w:trPr>
          <w:trHeight w:val="490"/>
        </w:trPr>
        <w:tc>
          <w:tcPr>
            <w:tcW w:w="1944" w:type="dxa"/>
          </w:tcPr>
          <w:p w14:paraId="733AEED7" w14:textId="77777777" w:rsidR="000D3022" w:rsidRPr="000A40E6" w:rsidRDefault="000D3022" w:rsidP="00F756C3">
            <w:pPr>
              <w:suppressAutoHyphens/>
              <w:spacing w:after="120"/>
              <w:ind w:firstLine="0"/>
              <w:rPr>
                <w:rFonts w:eastAsia="Times New Roman" w:cs="Times New Roman"/>
                <w:b/>
                <w:szCs w:val="24"/>
                <w:lang w:eastAsia="tr-TR"/>
              </w:rPr>
            </w:pPr>
            <w:r w:rsidRPr="000A40E6">
              <w:rPr>
                <w:rFonts w:eastAsia="Times New Roman" w:cs="Times New Roman"/>
                <w:b/>
                <w:szCs w:val="24"/>
                <w:lang w:eastAsia="tr-TR"/>
              </w:rPr>
              <w:t>M-CSF</w:t>
            </w:r>
          </w:p>
        </w:tc>
        <w:tc>
          <w:tcPr>
            <w:tcW w:w="7124" w:type="dxa"/>
          </w:tcPr>
          <w:p w14:paraId="36E9A265"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Makrofaj Koloni Uyarıcı Faktör</w:t>
            </w:r>
          </w:p>
        </w:tc>
      </w:tr>
      <w:tr w:rsidR="000D3022" w:rsidRPr="000A40E6" w14:paraId="35B7A286" w14:textId="77777777" w:rsidTr="000D3022">
        <w:trPr>
          <w:trHeight w:val="533"/>
        </w:trPr>
        <w:tc>
          <w:tcPr>
            <w:tcW w:w="1944" w:type="dxa"/>
          </w:tcPr>
          <w:p w14:paraId="1333F74A" w14:textId="77777777" w:rsidR="000D3022" w:rsidRPr="000A40E6" w:rsidRDefault="000D3022" w:rsidP="00F756C3">
            <w:pPr>
              <w:suppressAutoHyphens/>
              <w:spacing w:after="120"/>
              <w:ind w:firstLine="0"/>
              <w:rPr>
                <w:rFonts w:eastAsia="Times New Roman" w:cs="Times New Roman"/>
                <w:b/>
                <w:szCs w:val="24"/>
                <w:lang w:eastAsia="tr-TR"/>
              </w:rPr>
            </w:pPr>
            <w:r w:rsidRPr="000A40E6">
              <w:rPr>
                <w:rFonts w:eastAsia="Times New Roman" w:cs="Times New Roman"/>
                <w:b/>
                <w:szCs w:val="24"/>
                <w:lang w:eastAsia="tr-TR"/>
              </w:rPr>
              <w:t>MMP1</w:t>
            </w:r>
          </w:p>
        </w:tc>
        <w:tc>
          <w:tcPr>
            <w:tcW w:w="7124" w:type="dxa"/>
          </w:tcPr>
          <w:p w14:paraId="4BA28AE7"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Matriks Metalloproteinaz 1</w:t>
            </w:r>
          </w:p>
        </w:tc>
      </w:tr>
      <w:bookmarkEnd w:id="15"/>
      <w:tr w:rsidR="000D3022" w:rsidRPr="000A40E6" w14:paraId="27A9741D" w14:textId="77777777" w:rsidTr="000D3022">
        <w:trPr>
          <w:trHeight w:val="490"/>
        </w:trPr>
        <w:tc>
          <w:tcPr>
            <w:tcW w:w="1944" w:type="dxa"/>
          </w:tcPr>
          <w:p w14:paraId="60E2CA04" w14:textId="77777777" w:rsidR="000D3022" w:rsidRPr="000A40E6" w:rsidRDefault="000D3022" w:rsidP="00F756C3">
            <w:pPr>
              <w:suppressAutoHyphens/>
              <w:spacing w:after="120"/>
              <w:ind w:firstLine="0"/>
              <w:rPr>
                <w:rFonts w:eastAsia="Times New Roman" w:cs="Times New Roman"/>
                <w:b/>
                <w:szCs w:val="24"/>
                <w:lang w:eastAsia="tr-TR"/>
              </w:rPr>
            </w:pPr>
            <w:r w:rsidRPr="000A40E6">
              <w:rPr>
                <w:rFonts w:eastAsia="Times New Roman" w:cs="Times New Roman"/>
                <w:b/>
                <w:szCs w:val="24"/>
                <w:lang w:eastAsia="tr-TR"/>
              </w:rPr>
              <w:t>NE</w:t>
            </w:r>
          </w:p>
        </w:tc>
        <w:tc>
          <w:tcPr>
            <w:tcW w:w="7124" w:type="dxa"/>
          </w:tcPr>
          <w:p w14:paraId="776CE566"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Nokturnal Enürezis</w:t>
            </w:r>
          </w:p>
        </w:tc>
      </w:tr>
      <w:tr w:rsidR="000D3022" w:rsidRPr="000A40E6" w14:paraId="403AE827" w14:textId="77777777" w:rsidTr="000D3022">
        <w:trPr>
          <w:trHeight w:val="238"/>
        </w:trPr>
        <w:tc>
          <w:tcPr>
            <w:tcW w:w="1944" w:type="dxa"/>
          </w:tcPr>
          <w:p w14:paraId="2AD85254" w14:textId="77777777" w:rsidR="000D3022" w:rsidRPr="000A40E6" w:rsidRDefault="000D3022" w:rsidP="00F756C3">
            <w:pPr>
              <w:suppressAutoHyphens/>
              <w:spacing w:after="120"/>
              <w:ind w:firstLine="0"/>
              <w:rPr>
                <w:rFonts w:eastAsia="Times New Roman" w:cs="Times New Roman"/>
                <w:b/>
                <w:szCs w:val="24"/>
                <w:lang w:eastAsia="tr-TR"/>
              </w:rPr>
            </w:pPr>
            <w:r w:rsidRPr="000A40E6">
              <w:rPr>
                <w:rFonts w:eastAsia="Times New Roman" w:cs="Times New Roman"/>
                <w:b/>
                <w:szCs w:val="24"/>
                <w:lang w:eastAsia="tr-TR"/>
              </w:rPr>
              <w:t>OPG</w:t>
            </w:r>
          </w:p>
        </w:tc>
        <w:tc>
          <w:tcPr>
            <w:tcW w:w="7124" w:type="dxa"/>
          </w:tcPr>
          <w:p w14:paraId="47DB3988" w14:textId="77777777" w:rsidR="000D3022" w:rsidRPr="000A40E6" w:rsidRDefault="000D3022" w:rsidP="00F756C3">
            <w:pPr>
              <w:suppressAutoHyphens/>
              <w:spacing w:after="120"/>
              <w:ind w:firstLine="0"/>
              <w:rPr>
                <w:rFonts w:eastAsia="Times New Roman" w:cs="Times New Roman"/>
                <w:b/>
                <w:szCs w:val="24"/>
                <w:lang w:eastAsia="tr-TR"/>
              </w:rPr>
            </w:pPr>
            <w:r w:rsidRPr="000A40E6">
              <w:rPr>
                <w:rFonts w:eastAsia="Times New Roman" w:cs="Times New Roman"/>
                <w:b/>
                <w:szCs w:val="24"/>
                <w:lang w:eastAsia="tr-TR"/>
              </w:rPr>
              <w:t xml:space="preserve">: </w:t>
            </w:r>
            <w:r w:rsidRPr="000A40E6">
              <w:rPr>
                <w:rFonts w:eastAsia="Times New Roman" w:cs="Times New Roman"/>
                <w:szCs w:val="24"/>
                <w:lang w:eastAsia="tr-TR"/>
              </w:rPr>
              <w:t>Osteoprotegerin</w:t>
            </w:r>
          </w:p>
        </w:tc>
      </w:tr>
      <w:tr w:rsidR="000D3022" w:rsidRPr="000A40E6" w14:paraId="36C04EEF" w14:textId="77777777" w:rsidTr="000D3022">
        <w:trPr>
          <w:trHeight w:val="393"/>
        </w:trPr>
        <w:tc>
          <w:tcPr>
            <w:tcW w:w="1944" w:type="dxa"/>
          </w:tcPr>
          <w:p w14:paraId="2EE90087" w14:textId="77777777" w:rsidR="000D3022" w:rsidRPr="000A40E6" w:rsidRDefault="000D3022" w:rsidP="00F756C3">
            <w:pPr>
              <w:suppressAutoHyphens/>
              <w:spacing w:after="120"/>
              <w:ind w:firstLine="0"/>
              <w:rPr>
                <w:rFonts w:eastAsia="Times New Roman" w:cs="Times New Roman"/>
                <w:b/>
                <w:bCs/>
                <w:szCs w:val="24"/>
                <w:lang w:eastAsia="tr-TR"/>
              </w:rPr>
            </w:pPr>
            <w:r w:rsidRPr="000A40E6">
              <w:rPr>
                <w:rFonts w:eastAsia="Times New Roman" w:cs="Times New Roman"/>
                <w:b/>
                <w:bCs/>
                <w:szCs w:val="24"/>
                <w:lang w:eastAsia="tr-TR"/>
              </w:rPr>
              <w:t>PA</w:t>
            </w:r>
          </w:p>
        </w:tc>
        <w:tc>
          <w:tcPr>
            <w:tcW w:w="7124" w:type="dxa"/>
          </w:tcPr>
          <w:p w14:paraId="3BC60526"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Posteroanterior</w:t>
            </w:r>
          </w:p>
        </w:tc>
      </w:tr>
      <w:tr w:rsidR="000D3022" w:rsidRPr="000A40E6" w14:paraId="6CC19DB7" w14:textId="77777777" w:rsidTr="000D3022">
        <w:trPr>
          <w:trHeight w:val="382"/>
        </w:trPr>
        <w:tc>
          <w:tcPr>
            <w:tcW w:w="1944" w:type="dxa"/>
          </w:tcPr>
          <w:p w14:paraId="0AA0EF49"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PD</w:t>
            </w:r>
          </w:p>
        </w:tc>
        <w:tc>
          <w:tcPr>
            <w:tcW w:w="7124" w:type="dxa"/>
          </w:tcPr>
          <w:p w14:paraId="5B08696F"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Sondlanabilir Cep Derinliği</w:t>
            </w:r>
          </w:p>
        </w:tc>
      </w:tr>
      <w:tr w:rsidR="000D3022" w:rsidRPr="000A40E6" w14:paraId="71C5C817" w14:textId="77777777" w:rsidTr="000D3022">
        <w:trPr>
          <w:trHeight w:val="393"/>
        </w:trPr>
        <w:tc>
          <w:tcPr>
            <w:tcW w:w="1944" w:type="dxa"/>
          </w:tcPr>
          <w:p w14:paraId="5ACC5FE1" w14:textId="77777777" w:rsidR="000D3022" w:rsidRPr="000A40E6" w:rsidRDefault="000D3022" w:rsidP="00F756C3">
            <w:pPr>
              <w:suppressAutoHyphens/>
              <w:spacing w:after="120"/>
              <w:ind w:firstLine="0"/>
              <w:rPr>
                <w:rFonts w:eastAsia="Times New Roman" w:cs="Times New Roman"/>
                <w:b/>
                <w:szCs w:val="24"/>
              </w:rPr>
            </w:pPr>
            <w:r w:rsidRPr="000A40E6">
              <w:rPr>
                <w:rFonts w:eastAsia="Times New Roman" w:cs="Times New Roman"/>
                <w:b/>
                <w:szCs w:val="24"/>
              </w:rPr>
              <w:t>PGE2</w:t>
            </w:r>
          </w:p>
        </w:tc>
        <w:tc>
          <w:tcPr>
            <w:tcW w:w="7124" w:type="dxa"/>
          </w:tcPr>
          <w:p w14:paraId="6D8711E1"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Prostaglandin E2</w:t>
            </w:r>
          </w:p>
        </w:tc>
      </w:tr>
      <w:tr w:rsidR="000D3022" w:rsidRPr="000A40E6" w14:paraId="0F5511E6" w14:textId="77777777" w:rsidTr="000D3022">
        <w:trPr>
          <w:trHeight w:val="382"/>
        </w:trPr>
        <w:tc>
          <w:tcPr>
            <w:tcW w:w="1944" w:type="dxa"/>
          </w:tcPr>
          <w:p w14:paraId="4B9A152A" w14:textId="77777777" w:rsidR="000D3022" w:rsidRPr="000A40E6" w:rsidRDefault="000D3022" w:rsidP="00F756C3">
            <w:pPr>
              <w:suppressAutoHyphens/>
              <w:spacing w:after="120"/>
              <w:ind w:firstLine="0"/>
              <w:rPr>
                <w:rFonts w:cs="Times New Roman"/>
                <w:b/>
                <w:bCs/>
                <w:szCs w:val="24"/>
              </w:rPr>
            </w:pPr>
            <w:r w:rsidRPr="000A40E6">
              <w:rPr>
                <w:rFonts w:cs="Times New Roman"/>
                <w:b/>
                <w:bCs/>
                <w:szCs w:val="24"/>
              </w:rPr>
              <w:t>PI</w:t>
            </w:r>
          </w:p>
        </w:tc>
        <w:tc>
          <w:tcPr>
            <w:tcW w:w="7124" w:type="dxa"/>
          </w:tcPr>
          <w:p w14:paraId="712ABB01"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Plak İndeksi</w:t>
            </w:r>
          </w:p>
        </w:tc>
      </w:tr>
      <w:tr w:rsidR="000D3022" w:rsidRPr="000A40E6" w14:paraId="69246947" w14:textId="77777777" w:rsidTr="000D3022">
        <w:trPr>
          <w:trHeight w:val="393"/>
        </w:trPr>
        <w:tc>
          <w:tcPr>
            <w:tcW w:w="1944" w:type="dxa"/>
          </w:tcPr>
          <w:p w14:paraId="4D9C53D5" w14:textId="77777777" w:rsidR="000D3022" w:rsidRPr="000A40E6" w:rsidRDefault="000D3022" w:rsidP="00F756C3">
            <w:pPr>
              <w:suppressAutoHyphens/>
              <w:spacing w:after="120"/>
              <w:ind w:firstLine="0"/>
              <w:rPr>
                <w:rFonts w:cs="Times New Roman"/>
                <w:b/>
                <w:bCs/>
                <w:szCs w:val="24"/>
              </w:rPr>
            </w:pPr>
            <w:r w:rsidRPr="000A40E6">
              <w:rPr>
                <w:rFonts w:cs="Times New Roman"/>
                <w:b/>
                <w:bCs/>
                <w:szCs w:val="24"/>
              </w:rPr>
              <w:t>PNS</w:t>
            </w:r>
          </w:p>
        </w:tc>
        <w:tc>
          <w:tcPr>
            <w:tcW w:w="7124" w:type="dxa"/>
          </w:tcPr>
          <w:p w14:paraId="014903D3"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Posterior Nazal Spina</w:t>
            </w:r>
          </w:p>
        </w:tc>
      </w:tr>
      <w:tr w:rsidR="000D3022" w:rsidRPr="000A40E6" w14:paraId="10887DDE" w14:textId="77777777" w:rsidTr="000D3022">
        <w:trPr>
          <w:trHeight w:val="393"/>
        </w:trPr>
        <w:tc>
          <w:tcPr>
            <w:tcW w:w="1944" w:type="dxa"/>
          </w:tcPr>
          <w:p w14:paraId="34E7A867"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RANK</w:t>
            </w:r>
          </w:p>
        </w:tc>
        <w:tc>
          <w:tcPr>
            <w:tcW w:w="7124" w:type="dxa"/>
          </w:tcPr>
          <w:p w14:paraId="36345408"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Nükleer Faktör Kappa-B’nin Reseptör Aktivatörü</w:t>
            </w:r>
          </w:p>
        </w:tc>
      </w:tr>
      <w:tr w:rsidR="000D3022" w:rsidRPr="000A40E6" w14:paraId="5C3B543B" w14:textId="77777777" w:rsidTr="000D3022">
        <w:trPr>
          <w:trHeight w:val="393"/>
        </w:trPr>
        <w:tc>
          <w:tcPr>
            <w:tcW w:w="1944" w:type="dxa"/>
          </w:tcPr>
          <w:p w14:paraId="5F5161A6"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RANKL</w:t>
            </w:r>
          </w:p>
        </w:tc>
        <w:tc>
          <w:tcPr>
            <w:tcW w:w="7124" w:type="dxa"/>
          </w:tcPr>
          <w:p w14:paraId="501BF964" w14:textId="77777777" w:rsidR="000D3022" w:rsidRPr="000A40E6" w:rsidRDefault="000D3022" w:rsidP="00F756C3">
            <w:pPr>
              <w:suppressAutoHyphens/>
              <w:spacing w:after="120"/>
              <w:ind w:firstLine="0"/>
              <w:jc w:val="left"/>
              <w:rPr>
                <w:rFonts w:eastAsia="Times New Roman" w:cs="Times New Roman"/>
                <w:b/>
                <w:szCs w:val="24"/>
                <w:lang w:eastAsia="tr-TR"/>
              </w:rPr>
            </w:pPr>
            <w:r w:rsidRPr="000A40E6">
              <w:rPr>
                <w:rFonts w:eastAsia="Times New Roman" w:cs="Times New Roman"/>
                <w:b/>
                <w:bCs/>
                <w:szCs w:val="24"/>
              </w:rPr>
              <w:t xml:space="preserve">: </w:t>
            </w:r>
            <w:r w:rsidRPr="000A40E6">
              <w:rPr>
                <w:rFonts w:eastAsia="Times New Roman" w:cs="Times New Roman"/>
                <w:szCs w:val="24"/>
                <w:lang w:eastAsia="tr-TR"/>
              </w:rPr>
              <w:t>Nükleer Faktör Kappa-B Ligandının Reseptör Aktivatörü</w:t>
            </w:r>
          </w:p>
        </w:tc>
      </w:tr>
      <w:tr w:rsidR="000D3022" w:rsidRPr="000A40E6" w14:paraId="7D92341F" w14:textId="77777777" w:rsidTr="000D3022">
        <w:trPr>
          <w:trHeight w:val="266"/>
        </w:trPr>
        <w:tc>
          <w:tcPr>
            <w:tcW w:w="1944" w:type="dxa"/>
          </w:tcPr>
          <w:p w14:paraId="6B1B52A4"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RME</w:t>
            </w:r>
          </w:p>
        </w:tc>
        <w:tc>
          <w:tcPr>
            <w:tcW w:w="7124" w:type="dxa"/>
          </w:tcPr>
          <w:p w14:paraId="123E5D69"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Rapid Maksiller Ekspansiyon</w:t>
            </w:r>
          </w:p>
        </w:tc>
      </w:tr>
      <w:tr w:rsidR="000D3022" w:rsidRPr="000A40E6" w14:paraId="5F74825B" w14:textId="77777777" w:rsidTr="000D3022">
        <w:trPr>
          <w:trHeight w:val="274"/>
        </w:trPr>
        <w:tc>
          <w:tcPr>
            <w:tcW w:w="1944" w:type="dxa"/>
          </w:tcPr>
          <w:p w14:paraId="6CE68531"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SARME</w:t>
            </w:r>
          </w:p>
        </w:tc>
        <w:tc>
          <w:tcPr>
            <w:tcW w:w="7124" w:type="dxa"/>
          </w:tcPr>
          <w:p w14:paraId="6290936C"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Cerrahi Destekli Rapid Maksiller Ekspansiyon</w:t>
            </w:r>
          </w:p>
        </w:tc>
      </w:tr>
      <w:tr w:rsidR="000D3022" w:rsidRPr="000A40E6" w14:paraId="1367B573" w14:textId="77777777" w:rsidTr="000D3022">
        <w:trPr>
          <w:trHeight w:val="213"/>
        </w:trPr>
        <w:tc>
          <w:tcPr>
            <w:tcW w:w="1944" w:type="dxa"/>
          </w:tcPr>
          <w:p w14:paraId="13B9BB06" w14:textId="77777777" w:rsidR="000D3022" w:rsidRPr="000A40E6" w:rsidRDefault="000D3022" w:rsidP="00F756C3">
            <w:pPr>
              <w:suppressAutoHyphens/>
              <w:spacing w:after="120"/>
              <w:ind w:firstLine="0"/>
              <w:rPr>
                <w:rFonts w:eastAsia="Times New Roman" w:cs="Times New Roman"/>
                <w:b/>
                <w:bCs/>
                <w:szCs w:val="24"/>
                <w:lang w:eastAsia="tr-TR"/>
              </w:rPr>
            </w:pPr>
            <w:r w:rsidRPr="000A40E6">
              <w:rPr>
                <w:rFonts w:eastAsia="Times New Roman" w:cs="Times New Roman"/>
                <w:b/>
                <w:bCs/>
                <w:szCs w:val="24"/>
                <w:lang w:eastAsia="tr-TR"/>
              </w:rPr>
              <w:t>SME</w:t>
            </w:r>
          </w:p>
        </w:tc>
        <w:tc>
          <w:tcPr>
            <w:tcW w:w="7124" w:type="dxa"/>
          </w:tcPr>
          <w:p w14:paraId="5748801D"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Slow Maksiller Ekspansiyon</w:t>
            </w:r>
          </w:p>
        </w:tc>
      </w:tr>
      <w:tr w:rsidR="000D3022" w:rsidRPr="000A40E6" w14:paraId="46E78FCA" w14:textId="77777777" w:rsidTr="000D3022">
        <w:trPr>
          <w:trHeight w:val="235"/>
        </w:trPr>
        <w:tc>
          <w:tcPr>
            <w:tcW w:w="1944" w:type="dxa"/>
          </w:tcPr>
          <w:p w14:paraId="0CA8B93F" w14:textId="77777777" w:rsidR="000D3022" w:rsidRPr="000A40E6" w:rsidRDefault="000D3022" w:rsidP="00F756C3">
            <w:pPr>
              <w:suppressAutoHyphens/>
              <w:spacing w:after="120"/>
              <w:ind w:firstLine="0"/>
              <w:rPr>
                <w:rFonts w:eastAsia="Times New Roman" w:cs="Times New Roman"/>
                <w:b/>
                <w:bCs/>
                <w:szCs w:val="24"/>
                <w:lang w:eastAsia="tr-TR"/>
              </w:rPr>
            </w:pPr>
            <w:r w:rsidRPr="000A40E6">
              <w:rPr>
                <w:rFonts w:eastAsia="Times New Roman" w:cs="Times New Roman"/>
                <w:b/>
                <w:bCs/>
                <w:szCs w:val="24"/>
                <w:lang w:eastAsia="tr-TR"/>
              </w:rPr>
              <w:t>SRME</w:t>
            </w:r>
          </w:p>
        </w:tc>
        <w:tc>
          <w:tcPr>
            <w:tcW w:w="7124" w:type="dxa"/>
          </w:tcPr>
          <w:p w14:paraId="3FD76FC4"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Semirapid Maksiller Ekspansiyon</w:t>
            </w:r>
          </w:p>
        </w:tc>
      </w:tr>
      <w:tr w:rsidR="000D3022" w:rsidRPr="000A40E6" w14:paraId="2B03C083" w14:textId="77777777" w:rsidTr="000D3022">
        <w:trPr>
          <w:trHeight w:val="274"/>
        </w:trPr>
        <w:tc>
          <w:tcPr>
            <w:tcW w:w="1944" w:type="dxa"/>
          </w:tcPr>
          <w:p w14:paraId="3C840D34" w14:textId="77777777" w:rsidR="000D3022" w:rsidRPr="000A40E6" w:rsidRDefault="000D3022" w:rsidP="00F756C3">
            <w:pPr>
              <w:suppressAutoHyphens/>
              <w:spacing w:after="120"/>
              <w:ind w:firstLine="0"/>
              <w:rPr>
                <w:rFonts w:eastAsia="Times New Roman" w:cs="Times New Roman"/>
                <w:b/>
                <w:bCs/>
                <w:szCs w:val="24"/>
                <w:lang w:eastAsia="tr-TR"/>
              </w:rPr>
            </w:pPr>
            <w:r w:rsidRPr="000A40E6">
              <w:rPr>
                <w:rFonts w:eastAsia="Times New Roman" w:cs="Times New Roman"/>
                <w:b/>
                <w:bCs/>
                <w:szCs w:val="24"/>
                <w:lang w:eastAsia="tr-TR"/>
              </w:rPr>
              <w:t>SS</w:t>
            </w:r>
          </w:p>
          <w:p w14:paraId="30FB4F0C" w14:textId="77777777" w:rsidR="000D3022" w:rsidRPr="000A40E6" w:rsidRDefault="000D3022" w:rsidP="00F756C3">
            <w:pPr>
              <w:suppressAutoHyphens/>
              <w:spacing w:after="120"/>
              <w:ind w:firstLine="0"/>
              <w:rPr>
                <w:rFonts w:eastAsia="Times New Roman" w:cs="Times New Roman"/>
                <w:b/>
                <w:szCs w:val="24"/>
                <w:lang w:eastAsia="tr-TR"/>
              </w:rPr>
            </w:pPr>
            <w:r w:rsidRPr="000A40E6">
              <w:rPr>
                <w:rFonts w:eastAsia="Times New Roman" w:cs="Times New Roman"/>
                <w:b/>
                <w:szCs w:val="24"/>
                <w:lang w:eastAsia="tr-TR"/>
              </w:rPr>
              <w:t>TIMP-1</w:t>
            </w:r>
          </w:p>
        </w:tc>
        <w:tc>
          <w:tcPr>
            <w:tcW w:w="7124" w:type="dxa"/>
          </w:tcPr>
          <w:p w14:paraId="341439F4"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Standart Sapma</w:t>
            </w:r>
          </w:p>
          <w:p w14:paraId="07002122"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 xml:space="preserve">: </w:t>
            </w:r>
            <w:r w:rsidRPr="000A40E6">
              <w:rPr>
                <w:rFonts w:eastAsia="Times New Roman" w:cs="Times New Roman"/>
                <w:szCs w:val="24"/>
                <w:lang w:eastAsia="tr-TR"/>
              </w:rPr>
              <w:t>Matriks Metalloproteinaz-1'in doku inhibitörü</w:t>
            </w:r>
          </w:p>
        </w:tc>
      </w:tr>
      <w:tr w:rsidR="000D3022" w:rsidRPr="000A40E6" w14:paraId="2ACB013C" w14:textId="77777777" w:rsidTr="000D3022">
        <w:trPr>
          <w:trHeight w:val="199"/>
        </w:trPr>
        <w:tc>
          <w:tcPr>
            <w:tcW w:w="1944" w:type="dxa"/>
          </w:tcPr>
          <w:p w14:paraId="49FD2D0B"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TMB</w:t>
            </w:r>
          </w:p>
        </w:tc>
        <w:tc>
          <w:tcPr>
            <w:tcW w:w="7124" w:type="dxa"/>
          </w:tcPr>
          <w:p w14:paraId="10B5D577"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Tetramethylbenzidine</w:t>
            </w:r>
          </w:p>
        </w:tc>
      </w:tr>
      <w:tr w:rsidR="000D3022" w:rsidRPr="000A40E6" w14:paraId="5A8293CD" w14:textId="77777777" w:rsidTr="000D3022">
        <w:trPr>
          <w:trHeight w:val="274"/>
        </w:trPr>
        <w:tc>
          <w:tcPr>
            <w:tcW w:w="1944" w:type="dxa"/>
          </w:tcPr>
          <w:p w14:paraId="48FB2DD1"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szCs w:val="24"/>
                <w:lang w:eastAsia="tr-TR"/>
              </w:rPr>
              <w:t>TNF-α</w:t>
            </w:r>
          </w:p>
        </w:tc>
        <w:tc>
          <w:tcPr>
            <w:tcW w:w="7124" w:type="dxa"/>
          </w:tcPr>
          <w:p w14:paraId="67198EA7"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Tümör Nekrozis Faktör-alfa</w:t>
            </w:r>
          </w:p>
        </w:tc>
      </w:tr>
      <w:tr w:rsidR="000D3022" w:rsidRPr="000A40E6" w14:paraId="56039B6B" w14:textId="77777777" w:rsidTr="000D3022">
        <w:trPr>
          <w:trHeight w:val="266"/>
        </w:trPr>
        <w:tc>
          <w:tcPr>
            <w:tcW w:w="1944" w:type="dxa"/>
          </w:tcPr>
          <w:p w14:paraId="5E6D1855"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rPr>
              <w:t>VEGF</w:t>
            </w:r>
          </w:p>
        </w:tc>
        <w:tc>
          <w:tcPr>
            <w:tcW w:w="7124" w:type="dxa"/>
          </w:tcPr>
          <w:p w14:paraId="1A4B4E32"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Vasküler Endotelyal Büyüme Faktörü</w:t>
            </w:r>
          </w:p>
        </w:tc>
      </w:tr>
      <w:tr w:rsidR="000D3022" w:rsidRPr="000A40E6" w14:paraId="2915B756" w14:textId="77777777" w:rsidTr="000D3022">
        <w:trPr>
          <w:trHeight w:val="490"/>
        </w:trPr>
        <w:tc>
          <w:tcPr>
            <w:tcW w:w="1944" w:type="dxa"/>
          </w:tcPr>
          <w:p w14:paraId="636E4E1B" w14:textId="77777777" w:rsidR="000D3022" w:rsidRPr="000A40E6" w:rsidRDefault="000D3022" w:rsidP="00F756C3">
            <w:pPr>
              <w:suppressAutoHyphens/>
              <w:spacing w:after="120"/>
              <w:ind w:firstLine="0"/>
              <w:rPr>
                <w:rFonts w:eastAsia="Times New Roman" w:cs="Times New Roman"/>
                <w:b/>
                <w:bCs/>
                <w:szCs w:val="24"/>
              </w:rPr>
            </w:pPr>
            <w:r w:rsidRPr="000A40E6">
              <w:rPr>
                <w:rFonts w:eastAsia="Times New Roman" w:cs="Times New Roman"/>
                <w:b/>
                <w:bCs/>
                <w:szCs w:val="24"/>
                <w:lang w:eastAsia="tr-TR"/>
              </w:rPr>
              <w:t>βG</w:t>
            </w:r>
          </w:p>
        </w:tc>
        <w:tc>
          <w:tcPr>
            <w:tcW w:w="7124" w:type="dxa"/>
          </w:tcPr>
          <w:p w14:paraId="19B753C7" w14:textId="77777777" w:rsidR="000D3022" w:rsidRPr="000A40E6" w:rsidRDefault="000D3022" w:rsidP="00F756C3">
            <w:pPr>
              <w:suppressAutoHyphens/>
              <w:spacing w:after="120"/>
              <w:ind w:firstLine="0"/>
              <w:rPr>
                <w:rFonts w:eastAsia="Times New Roman" w:cs="Times New Roman"/>
                <w:szCs w:val="24"/>
                <w:lang w:eastAsia="tr-TR"/>
              </w:rPr>
            </w:pPr>
            <w:r w:rsidRPr="000A40E6">
              <w:rPr>
                <w:rFonts w:eastAsia="Times New Roman" w:cs="Times New Roman"/>
                <w:b/>
                <w:szCs w:val="24"/>
                <w:lang w:eastAsia="tr-TR"/>
              </w:rPr>
              <w:t>:</w:t>
            </w:r>
            <w:r w:rsidRPr="000A40E6">
              <w:rPr>
                <w:rFonts w:eastAsia="Times New Roman" w:cs="Times New Roman"/>
                <w:szCs w:val="24"/>
                <w:lang w:eastAsia="tr-TR"/>
              </w:rPr>
              <w:t xml:space="preserve"> </w:t>
            </w:r>
            <w:r w:rsidRPr="000A40E6">
              <w:rPr>
                <w:rFonts w:eastAsia="Times New Roman" w:cs="Times New Roman"/>
                <w:bCs/>
                <w:szCs w:val="24"/>
                <w:lang w:eastAsia="tr-TR"/>
              </w:rPr>
              <w:t>β-Glukoronidaz</w:t>
            </w:r>
          </w:p>
        </w:tc>
      </w:tr>
    </w:tbl>
    <w:p w14:paraId="68F063BC" w14:textId="77777777" w:rsidR="00486E92" w:rsidRPr="000A40E6" w:rsidRDefault="00486E92" w:rsidP="00F756C3">
      <w:pPr>
        <w:suppressAutoHyphens/>
        <w:spacing w:after="120"/>
        <w:rPr>
          <w:rFonts w:cs="Times New Roman"/>
          <w:b/>
          <w:szCs w:val="24"/>
        </w:rPr>
      </w:pPr>
    </w:p>
    <w:p w14:paraId="29AEBEC5" w14:textId="77777777" w:rsidR="000D3022" w:rsidRPr="000A40E6" w:rsidRDefault="000D3022" w:rsidP="00F756C3">
      <w:pPr>
        <w:suppressAutoHyphens/>
        <w:spacing w:after="120"/>
        <w:rPr>
          <w:rFonts w:cs="Times New Roman"/>
          <w:b/>
          <w:szCs w:val="24"/>
        </w:rPr>
      </w:pPr>
    </w:p>
    <w:p w14:paraId="7E7FB69C" w14:textId="77777777" w:rsidR="000D3022" w:rsidRPr="000A40E6" w:rsidRDefault="000D3022" w:rsidP="00F756C3">
      <w:pPr>
        <w:suppressAutoHyphens/>
        <w:spacing w:after="120"/>
        <w:rPr>
          <w:rFonts w:cs="Times New Roman"/>
          <w:b/>
          <w:szCs w:val="24"/>
        </w:rPr>
      </w:pPr>
    </w:p>
    <w:p w14:paraId="048D6B52" w14:textId="77777777" w:rsidR="000D3022" w:rsidRPr="000A40E6" w:rsidRDefault="000D3022" w:rsidP="00F756C3">
      <w:pPr>
        <w:suppressAutoHyphens/>
        <w:spacing w:after="120"/>
        <w:rPr>
          <w:rFonts w:cs="Times New Roman"/>
          <w:b/>
          <w:szCs w:val="24"/>
        </w:rPr>
      </w:pPr>
    </w:p>
    <w:p w14:paraId="405AEAF3" w14:textId="77777777" w:rsidR="000D3022" w:rsidRPr="000A40E6" w:rsidRDefault="000D3022" w:rsidP="00F756C3">
      <w:pPr>
        <w:suppressAutoHyphens/>
        <w:spacing w:after="120"/>
        <w:rPr>
          <w:rFonts w:cs="Times New Roman"/>
          <w:b/>
          <w:szCs w:val="24"/>
        </w:rPr>
      </w:pPr>
    </w:p>
    <w:p w14:paraId="7AF45506" w14:textId="77777777" w:rsidR="000D3022" w:rsidRPr="000A40E6" w:rsidRDefault="000D3022" w:rsidP="00F756C3">
      <w:pPr>
        <w:suppressAutoHyphens/>
        <w:spacing w:after="120"/>
        <w:rPr>
          <w:rFonts w:cs="Times New Roman"/>
          <w:b/>
          <w:szCs w:val="24"/>
        </w:rPr>
      </w:pPr>
    </w:p>
    <w:p w14:paraId="0A6EC4D7" w14:textId="77777777" w:rsidR="000D3022" w:rsidRPr="000A40E6" w:rsidRDefault="000D3022" w:rsidP="00F756C3">
      <w:pPr>
        <w:suppressAutoHyphens/>
        <w:spacing w:after="120"/>
        <w:rPr>
          <w:rFonts w:cs="Times New Roman"/>
          <w:b/>
          <w:szCs w:val="24"/>
        </w:rPr>
      </w:pPr>
    </w:p>
    <w:p w14:paraId="0EC5DD16" w14:textId="70F2FE36" w:rsidR="000D3022" w:rsidRPr="000A40E6" w:rsidRDefault="000D3022" w:rsidP="00F756C3">
      <w:pPr>
        <w:tabs>
          <w:tab w:val="left" w:pos="1395"/>
        </w:tabs>
        <w:suppressAutoHyphens/>
        <w:spacing w:after="120"/>
        <w:rPr>
          <w:rFonts w:cs="Times New Roman"/>
          <w:b/>
          <w:szCs w:val="24"/>
        </w:rPr>
      </w:pPr>
      <w:bookmarkStart w:id="16" w:name="_Toc488176616"/>
      <w:bookmarkEnd w:id="14"/>
    </w:p>
    <w:p w14:paraId="350F61B7" w14:textId="77777777" w:rsidR="000D3022" w:rsidRPr="000A40E6" w:rsidRDefault="000D3022" w:rsidP="00F756C3">
      <w:pPr>
        <w:suppressAutoHyphens/>
        <w:spacing w:after="200" w:line="276" w:lineRule="auto"/>
        <w:ind w:firstLine="0"/>
        <w:jc w:val="left"/>
        <w:rPr>
          <w:rFonts w:cs="Times New Roman"/>
          <w:b/>
          <w:szCs w:val="24"/>
        </w:rPr>
      </w:pPr>
      <w:r w:rsidRPr="000A40E6">
        <w:rPr>
          <w:rFonts w:cs="Times New Roman"/>
          <w:b/>
          <w:szCs w:val="24"/>
        </w:rPr>
        <w:br w:type="page"/>
      </w:r>
    </w:p>
    <w:p w14:paraId="1AB990E9" w14:textId="77777777" w:rsidR="00AA65D4" w:rsidRPr="000A40E6" w:rsidRDefault="00540E08" w:rsidP="00F756C3">
      <w:pPr>
        <w:suppressAutoHyphens/>
        <w:spacing w:after="120"/>
        <w:ind w:firstLine="0"/>
        <w:jc w:val="center"/>
        <w:rPr>
          <w:rFonts w:eastAsia="Calibri" w:cs="Times New Roman"/>
          <w:b/>
          <w:sz w:val="28"/>
          <w:szCs w:val="24"/>
          <w:lang w:eastAsia="tr-TR"/>
        </w:rPr>
      </w:pPr>
      <w:bookmarkStart w:id="17" w:name="_Toc136443369"/>
      <w:bookmarkEnd w:id="16"/>
      <w:r w:rsidRPr="000A40E6">
        <w:rPr>
          <w:rFonts w:eastAsia="Calibri" w:cs="Times New Roman"/>
          <w:b/>
          <w:sz w:val="28"/>
          <w:szCs w:val="24"/>
          <w:lang w:eastAsia="tr-TR"/>
        </w:rPr>
        <w:t>ŞEKİLLER DİZİNİ</w:t>
      </w:r>
      <w:bookmarkEnd w:id="17"/>
    </w:p>
    <w:p w14:paraId="5BF90712" w14:textId="77777777" w:rsidR="00FA7E25" w:rsidRPr="000A40E6" w:rsidRDefault="00FA7E25" w:rsidP="00F756C3">
      <w:pPr>
        <w:suppressAutoHyphens/>
        <w:spacing w:after="120"/>
        <w:rPr>
          <w:rFonts w:cs="Times New Roman"/>
          <w:szCs w:val="24"/>
        </w:rPr>
      </w:pPr>
    </w:p>
    <w:p w14:paraId="5B3B4714" w14:textId="77777777" w:rsidR="0030314B" w:rsidRPr="000A40E6" w:rsidRDefault="0030314B" w:rsidP="00F756C3">
      <w:pPr>
        <w:suppressAutoHyphens/>
        <w:spacing w:after="120"/>
        <w:rPr>
          <w:rFonts w:cs="Times New Roman"/>
          <w:szCs w:val="24"/>
        </w:rPr>
      </w:pPr>
    </w:p>
    <w:p w14:paraId="231184EF"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Şekil 1.</w:t>
      </w:r>
      <w:r w:rsidRPr="000A40E6">
        <w:rPr>
          <w:rFonts w:eastAsia="Times New Roman" w:cs="Times New Roman"/>
          <w:noProof/>
          <w:szCs w:val="24"/>
          <w:lang w:eastAsia="tr-TR"/>
        </w:rPr>
        <w:t xml:space="preserve"> DOS hacminin zamana ve bölgelere göre dağılımı.</w:t>
      </w:r>
      <w:r w:rsidRPr="000A40E6">
        <w:rPr>
          <w:rFonts w:eastAsia="Times New Roman" w:cs="Times New Roman"/>
          <w:noProof/>
          <w:webHidden/>
          <w:szCs w:val="24"/>
          <w:lang w:eastAsia="tr-TR"/>
        </w:rPr>
        <w:tab/>
        <w:t>50</w:t>
      </w:r>
    </w:p>
    <w:p w14:paraId="72259478"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Şekil 2.</w:t>
      </w:r>
      <w:r w:rsidRPr="000A40E6">
        <w:rPr>
          <w:rFonts w:eastAsia="Times New Roman" w:cs="Times New Roman"/>
          <w:noProof/>
          <w:szCs w:val="24"/>
          <w:lang w:eastAsia="tr-TR"/>
        </w:rPr>
        <w:t xml:space="preserve"> BALP ölçümlerinin zamana ve bölgelere göre dağılımı.</w:t>
      </w:r>
      <w:r w:rsidRPr="000A40E6">
        <w:rPr>
          <w:rFonts w:eastAsia="Times New Roman" w:cs="Times New Roman"/>
          <w:noProof/>
          <w:webHidden/>
          <w:szCs w:val="24"/>
          <w:lang w:eastAsia="tr-TR"/>
        </w:rPr>
        <w:tab/>
        <w:t>51</w:t>
      </w:r>
    </w:p>
    <w:p w14:paraId="26BDC305"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Şekil 3.</w:t>
      </w:r>
      <w:r w:rsidRPr="000A40E6">
        <w:rPr>
          <w:rFonts w:eastAsia="Times New Roman" w:cs="Times New Roman"/>
          <w:noProof/>
          <w:szCs w:val="24"/>
          <w:lang w:eastAsia="tr-TR"/>
        </w:rPr>
        <w:t xml:space="preserve"> RANKL ölçümlerinin zamana ve bölgelere göre dağılımı.</w:t>
      </w:r>
      <w:r w:rsidRPr="000A40E6">
        <w:rPr>
          <w:rFonts w:eastAsia="Times New Roman" w:cs="Times New Roman"/>
          <w:noProof/>
          <w:webHidden/>
          <w:szCs w:val="24"/>
          <w:lang w:eastAsia="tr-TR"/>
        </w:rPr>
        <w:tab/>
        <w:t>52</w:t>
      </w:r>
    </w:p>
    <w:p w14:paraId="58EF615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Şekil 4.</w:t>
      </w:r>
      <w:r w:rsidRPr="000A40E6">
        <w:rPr>
          <w:rFonts w:eastAsia="Times New Roman" w:cs="Times New Roman"/>
          <w:noProof/>
          <w:szCs w:val="24"/>
          <w:lang w:eastAsia="tr-TR"/>
        </w:rPr>
        <w:t xml:space="preserve"> OPG ölçümlerinin zamana ve bölgelere göre dağılımı.</w:t>
      </w:r>
      <w:r w:rsidRPr="000A40E6">
        <w:rPr>
          <w:rFonts w:eastAsia="Times New Roman" w:cs="Times New Roman"/>
          <w:noProof/>
          <w:webHidden/>
          <w:szCs w:val="24"/>
          <w:lang w:eastAsia="tr-TR"/>
        </w:rPr>
        <w:tab/>
        <w:t>53</w:t>
      </w:r>
    </w:p>
    <w:p w14:paraId="72774915"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Şekil 5.</w:t>
      </w:r>
      <w:r w:rsidRPr="000A40E6">
        <w:rPr>
          <w:rFonts w:eastAsia="Times New Roman" w:cs="Times New Roman"/>
          <w:noProof/>
          <w:szCs w:val="24"/>
          <w:lang w:eastAsia="tr-TR"/>
        </w:rPr>
        <w:t xml:space="preserve"> TNF-α ölçümlerinin zamana ve bölgelere göre dağılımı.</w:t>
      </w:r>
      <w:r w:rsidRPr="000A40E6">
        <w:rPr>
          <w:rFonts w:eastAsia="Times New Roman" w:cs="Times New Roman"/>
          <w:noProof/>
          <w:webHidden/>
          <w:szCs w:val="24"/>
          <w:lang w:eastAsia="tr-TR"/>
        </w:rPr>
        <w:tab/>
        <w:t>54</w:t>
      </w:r>
    </w:p>
    <w:p w14:paraId="7B9121DD" w14:textId="18244F06" w:rsidR="00AC38E0" w:rsidRPr="000A40E6" w:rsidRDefault="00AC38E0" w:rsidP="00F756C3">
      <w:pPr>
        <w:suppressAutoHyphens/>
        <w:spacing w:after="120"/>
        <w:rPr>
          <w:rFonts w:cs="Times New Roman"/>
          <w:szCs w:val="24"/>
        </w:rPr>
      </w:pPr>
    </w:p>
    <w:p w14:paraId="30B20F3B" w14:textId="77777777" w:rsidR="002D7525" w:rsidRPr="000A40E6" w:rsidRDefault="002D7525" w:rsidP="00F756C3">
      <w:pPr>
        <w:suppressAutoHyphens/>
        <w:spacing w:after="120"/>
        <w:rPr>
          <w:rFonts w:cs="Times New Roman"/>
          <w:szCs w:val="24"/>
        </w:rPr>
      </w:pPr>
    </w:p>
    <w:p w14:paraId="39FF2612" w14:textId="77777777" w:rsidR="002D7525" w:rsidRPr="000A40E6" w:rsidRDefault="002D7525" w:rsidP="00F756C3">
      <w:pPr>
        <w:suppressAutoHyphens/>
        <w:spacing w:after="120"/>
        <w:rPr>
          <w:rFonts w:cs="Times New Roman"/>
          <w:szCs w:val="24"/>
        </w:rPr>
      </w:pPr>
    </w:p>
    <w:p w14:paraId="0C646000" w14:textId="77777777" w:rsidR="002D7525" w:rsidRPr="000A40E6" w:rsidRDefault="002D7525" w:rsidP="00F756C3">
      <w:pPr>
        <w:suppressAutoHyphens/>
        <w:spacing w:after="120"/>
        <w:rPr>
          <w:rFonts w:cs="Times New Roman"/>
          <w:szCs w:val="24"/>
        </w:rPr>
      </w:pPr>
    </w:p>
    <w:p w14:paraId="01C3A337" w14:textId="77777777" w:rsidR="002D7525" w:rsidRPr="000A40E6" w:rsidRDefault="002D7525" w:rsidP="00F756C3">
      <w:pPr>
        <w:suppressAutoHyphens/>
        <w:spacing w:after="120"/>
        <w:rPr>
          <w:rFonts w:cs="Times New Roman"/>
          <w:szCs w:val="24"/>
        </w:rPr>
      </w:pPr>
    </w:p>
    <w:p w14:paraId="495925D5" w14:textId="77777777" w:rsidR="00540E08" w:rsidRPr="000A40E6" w:rsidRDefault="00540E08" w:rsidP="00F756C3">
      <w:pPr>
        <w:suppressAutoHyphens/>
        <w:spacing w:after="120"/>
        <w:rPr>
          <w:rFonts w:cs="Times New Roman"/>
          <w:szCs w:val="24"/>
        </w:rPr>
      </w:pPr>
    </w:p>
    <w:p w14:paraId="7C0D46B3" w14:textId="77777777" w:rsidR="008C1525" w:rsidRPr="000A40E6" w:rsidRDefault="008C1525" w:rsidP="00F756C3">
      <w:pPr>
        <w:suppressAutoHyphens/>
        <w:spacing w:after="120"/>
        <w:rPr>
          <w:rFonts w:eastAsiaTheme="majorEastAsia" w:cs="Times New Roman"/>
          <w:b/>
          <w:bCs/>
          <w:szCs w:val="24"/>
        </w:rPr>
      </w:pPr>
    </w:p>
    <w:p w14:paraId="245E4E92" w14:textId="77777777" w:rsidR="00250038" w:rsidRPr="000A40E6" w:rsidRDefault="00250038" w:rsidP="00F756C3">
      <w:pPr>
        <w:suppressAutoHyphens/>
        <w:spacing w:after="120"/>
        <w:rPr>
          <w:rFonts w:cs="Times New Roman"/>
          <w:szCs w:val="24"/>
        </w:rPr>
      </w:pPr>
      <w:bookmarkStart w:id="18" w:name="_Toc488176617"/>
    </w:p>
    <w:p w14:paraId="50F8EF29" w14:textId="77777777" w:rsidR="007441D4" w:rsidRPr="000A40E6" w:rsidRDefault="007441D4" w:rsidP="00F756C3">
      <w:pPr>
        <w:suppressAutoHyphens/>
        <w:spacing w:after="120"/>
        <w:rPr>
          <w:rFonts w:cs="Times New Roman"/>
          <w:szCs w:val="24"/>
        </w:rPr>
      </w:pPr>
    </w:p>
    <w:p w14:paraId="78FBD39B" w14:textId="77777777" w:rsidR="007441D4" w:rsidRPr="000A40E6" w:rsidRDefault="007441D4" w:rsidP="00F756C3">
      <w:pPr>
        <w:suppressAutoHyphens/>
        <w:spacing w:after="120"/>
        <w:rPr>
          <w:rFonts w:cs="Times New Roman"/>
          <w:szCs w:val="24"/>
        </w:rPr>
      </w:pPr>
    </w:p>
    <w:p w14:paraId="6FF1C7BC" w14:textId="77777777" w:rsidR="007441D4" w:rsidRPr="000A40E6" w:rsidRDefault="007441D4" w:rsidP="00F756C3">
      <w:pPr>
        <w:suppressAutoHyphens/>
        <w:spacing w:after="120"/>
        <w:rPr>
          <w:rFonts w:cs="Times New Roman"/>
          <w:szCs w:val="24"/>
        </w:rPr>
      </w:pPr>
    </w:p>
    <w:p w14:paraId="29885CD4" w14:textId="77777777" w:rsidR="007441D4" w:rsidRPr="000A40E6" w:rsidRDefault="007441D4" w:rsidP="00F756C3">
      <w:pPr>
        <w:suppressAutoHyphens/>
        <w:spacing w:after="120"/>
        <w:rPr>
          <w:rFonts w:cs="Times New Roman"/>
          <w:szCs w:val="24"/>
        </w:rPr>
      </w:pPr>
    </w:p>
    <w:p w14:paraId="24951BF2" w14:textId="77777777" w:rsidR="007441D4" w:rsidRPr="000A40E6" w:rsidRDefault="007441D4" w:rsidP="00F756C3">
      <w:pPr>
        <w:suppressAutoHyphens/>
        <w:spacing w:after="120"/>
        <w:rPr>
          <w:rFonts w:cs="Times New Roman"/>
          <w:szCs w:val="24"/>
        </w:rPr>
      </w:pPr>
    </w:p>
    <w:p w14:paraId="5417CD56" w14:textId="77777777" w:rsidR="000D3022" w:rsidRPr="000A40E6" w:rsidRDefault="000D3022" w:rsidP="00F756C3">
      <w:pPr>
        <w:suppressAutoHyphens/>
        <w:spacing w:after="200" w:line="276" w:lineRule="auto"/>
        <w:ind w:firstLine="0"/>
        <w:jc w:val="left"/>
        <w:rPr>
          <w:rFonts w:eastAsia="Calibri" w:cs="Times New Roman"/>
          <w:b/>
          <w:sz w:val="28"/>
          <w:szCs w:val="24"/>
          <w:lang w:eastAsia="tr-TR"/>
        </w:rPr>
      </w:pPr>
      <w:bookmarkStart w:id="19" w:name="_Toc136443370"/>
      <w:r w:rsidRPr="000A40E6">
        <w:rPr>
          <w:rFonts w:eastAsia="Calibri" w:cs="Times New Roman"/>
          <w:b/>
          <w:sz w:val="28"/>
          <w:szCs w:val="24"/>
          <w:lang w:eastAsia="tr-TR"/>
        </w:rPr>
        <w:br w:type="page"/>
      </w:r>
    </w:p>
    <w:p w14:paraId="075DD3A8" w14:textId="24866D32" w:rsidR="007441D4" w:rsidRPr="000A40E6" w:rsidRDefault="007441D4" w:rsidP="00F756C3">
      <w:pPr>
        <w:suppressAutoHyphens/>
        <w:spacing w:after="120"/>
        <w:ind w:firstLine="0"/>
        <w:jc w:val="center"/>
        <w:rPr>
          <w:rFonts w:eastAsia="Calibri" w:cs="Times New Roman"/>
          <w:b/>
          <w:sz w:val="28"/>
          <w:szCs w:val="24"/>
          <w:lang w:eastAsia="tr-TR"/>
        </w:rPr>
      </w:pPr>
      <w:r w:rsidRPr="000A40E6">
        <w:rPr>
          <w:rFonts w:eastAsia="Calibri" w:cs="Times New Roman"/>
          <w:b/>
          <w:sz w:val="28"/>
          <w:szCs w:val="24"/>
          <w:lang w:eastAsia="tr-TR"/>
        </w:rPr>
        <w:t>RESİMLER DİZİNİ</w:t>
      </w:r>
      <w:bookmarkEnd w:id="19"/>
    </w:p>
    <w:p w14:paraId="358D851C" w14:textId="77777777" w:rsidR="007441D4" w:rsidRPr="000A40E6" w:rsidRDefault="007441D4" w:rsidP="00F756C3">
      <w:pPr>
        <w:suppressAutoHyphens/>
        <w:spacing w:after="120"/>
        <w:rPr>
          <w:rFonts w:cs="Times New Roman"/>
          <w:b/>
          <w:szCs w:val="24"/>
        </w:rPr>
      </w:pPr>
    </w:p>
    <w:p w14:paraId="6CAD1F11" w14:textId="63FA08CA" w:rsidR="00B962B0" w:rsidRPr="000A40E6" w:rsidRDefault="00B962B0" w:rsidP="00F756C3">
      <w:pPr>
        <w:suppressAutoHyphens/>
        <w:spacing w:after="120"/>
        <w:rPr>
          <w:rFonts w:cs="Times New Roman"/>
          <w:b/>
          <w:szCs w:val="24"/>
        </w:rPr>
      </w:pPr>
    </w:p>
    <w:p w14:paraId="0CE631D9"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w:t>
      </w:r>
      <w:r w:rsidRPr="000A40E6">
        <w:rPr>
          <w:rFonts w:eastAsia="Times New Roman" w:cs="Times New Roman"/>
          <w:noProof/>
          <w:szCs w:val="24"/>
          <w:lang w:eastAsia="tr-TR"/>
        </w:rPr>
        <w:t xml:space="preserve"> Maksilladan alınan bantlı ölçü.</w:t>
      </w:r>
      <w:r w:rsidRPr="000A40E6">
        <w:rPr>
          <w:rFonts w:eastAsia="Times New Roman" w:cs="Times New Roman"/>
          <w:noProof/>
          <w:webHidden/>
          <w:szCs w:val="24"/>
          <w:lang w:eastAsia="tr-TR"/>
        </w:rPr>
        <w:tab/>
        <w:t>32</w:t>
      </w:r>
    </w:p>
    <w:p w14:paraId="7613102B"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2.</w:t>
      </w:r>
      <w:r w:rsidRPr="000A40E6">
        <w:rPr>
          <w:rFonts w:eastAsia="Times New Roman" w:cs="Times New Roman"/>
          <w:noProof/>
          <w:szCs w:val="24"/>
          <w:lang w:eastAsia="tr-TR"/>
        </w:rPr>
        <w:t xml:space="preserve"> Alınan ölçüden elde edilen alçı model.</w:t>
      </w:r>
      <w:r w:rsidRPr="000A40E6">
        <w:rPr>
          <w:rFonts w:eastAsia="Times New Roman" w:cs="Times New Roman"/>
          <w:noProof/>
          <w:webHidden/>
          <w:szCs w:val="24"/>
          <w:lang w:eastAsia="tr-TR"/>
        </w:rPr>
        <w:tab/>
        <w:t>33</w:t>
      </w:r>
    </w:p>
    <w:p w14:paraId="5460469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3.</w:t>
      </w:r>
      <w:r w:rsidRPr="000A40E6">
        <w:rPr>
          <w:rFonts w:eastAsia="Times New Roman" w:cs="Times New Roman"/>
          <w:noProof/>
          <w:szCs w:val="24"/>
          <w:lang w:eastAsia="tr-TR"/>
        </w:rPr>
        <w:t xml:space="preserve"> Çalışmada kullanılan hyrax vidası (model AO-0620-11).</w:t>
      </w:r>
      <w:r w:rsidRPr="000A40E6">
        <w:rPr>
          <w:rFonts w:eastAsia="Times New Roman" w:cs="Times New Roman"/>
          <w:noProof/>
          <w:webHidden/>
          <w:szCs w:val="24"/>
          <w:lang w:eastAsia="tr-TR"/>
        </w:rPr>
        <w:tab/>
        <w:t>33</w:t>
      </w:r>
    </w:p>
    <w:p w14:paraId="0C82052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4.</w:t>
      </w:r>
      <w:r w:rsidRPr="000A40E6">
        <w:rPr>
          <w:rFonts w:eastAsia="Times New Roman" w:cs="Times New Roman"/>
          <w:noProof/>
          <w:szCs w:val="24"/>
          <w:lang w:eastAsia="tr-TR"/>
        </w:rPr>
        <w:t xml:space="preserve"> Apareyin tesviye ve cila işlemleri sonrası durumu.</w:t>
      </w:r>
      <w:r w:rsidRPr="000A40E6">
        <w:rPr>
          <w:rFonts w:eastAsia="Times New Roman" w:cs="Times New Roman"/>
          <w:noProof/>
          <w:webHidden/>
          <w:szCs w:val="24"/>
          <w:lang w:eastAsia="tr-TR"/>
        </w:rPr>
        <w:tab/>
        <w:t>33</w:t>
      </w:r>
    </w:p>
    <w:p w14:paraId="72FA2072"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5.</w:t>
      </w:r>
      <w:r w:rsidRPr="000A40E6">
        <w:rPr>
          <w:rFonts w:eastAsia="Times New Roman" w:cs="Times New Roman"/>
          <w:noProof/>
          <w:szCs w:val="24"/>
          <w:lang w:eastAsia="tr-TR"/>
        </w:rPr>
        <w:t xml:space="preserve"> Çalışmada kullanılan 3M Unitek marka cam iyonomer siman.</w:t>
      </w:r>
      <w:r w:rsidRPr="000A40E6">
        <w:rPr>
          <w:rFonts w:eastAsia="Times New Roman" w:cs="Times New Roman"/>
          <w:noProof/>
          <w:webHidden/>
          <w:szCs w:val="24"/>
          <w:lang w:eastAsia="tr-TR"/>
        </w:rPr>
        <w:tab/>
        <w:t>34</w:t>
      </w:r>
    </w:p>
    <w:p w14:paraId="730B5B6A"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6.</w:t>
      </w:r>
      <w:r w:rsidRPr="000A40E6">
        <w:rPr>
          <w:rFonts w:eastAsia="Times New Roman" w:cs="Times New Roman"/>
          <w:noProof/>
          <w:szCs w:val="24"/>
          <w:lang w:eastAsia="tr-TR"/>
        </w:rPr>
        <w:t xml:space="preserve"> Ağız içine uygulanan banded tip RME apareyi.</w:t>
      </w:r>
      <w:r w:rsidRPr="000A40E6">
        <w:rPr>
          <w:rFonts w:eastAsia="Times New Roman" w:cs="Times New Roman"/>
          <w:noProof/>
          <w:webHidden/>
          <w:szCs w:val="24"/>
          <w:lang w:eastAsia="tr-TR"/>
        </w:rPr>
        <w:tab/>
        <w:t>34</w:t>
      </w:r>
    </w:p>
    <w:p w14:paraId="15BED398"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7.</w:t>
      </w:r>
      <w:r w:rsidRPr="000A40E6">
        <w:rPr>
          <w:rFonts w:eastAsia="Times New Roman" w:cs="Times New Roman"/>
          <w:noProof/>
          <w:szCs w:val="24"/>
          <w:lang w:eastAsia="tr-TR"/>
        </w:rPr>
        <w:t xml:space="preserve"> Örnek vakanın ekspansiyon öncesi ağız içi fotoğraf kayıtları.</w:t>
      </w:r>
      <w:r w:rsidRPr="000A40E6">
        <w:rPr>
          <w:rFonts w:eastAsia="Times New Roman" w:cs="Times New Roman"/>
          <w:noProof/>
          <w:webHidden/>
          <w:szCs w:val="24"/>
          <w:lang w:eastAsia="tr-TR"/>
        </w:rPr>
        <w:tab/>
        <w:t>35</w:t>
      </w:r>
    </w:p>
    <w:p w14:paraId="54C818DA"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8.</w:t>
      </w:r>
      <w:r w:rsidRPr="000A40E6">
        <w:rPr>
          <w:rFonts w:eastAsia="Times New Roman" w:cs="Times New Roman"/>
          <w:noProof/>
          <w:szCs w:val="24"/>
          <w:lang w:eastAsia="tr-TR"/>
        </w:rPr>
        <w:t xml:space="preserve"> Örnek vakanın ekspansiyon sonrası ağız içi fotoğraf kayıtları.</w:t>
      </w:r>
      <w:r w:rsidRPr="000A40E6">
        <w:rPr>
          <w:rFonts w:eastAsia="Times New Roman" w:cs="Times New Roman"/>
          <w:noProof/>
          <w:webHidden/>
          <w:szCs w:val="24"/>
          <w:lang w:eastAsia="tr-TR"/>
        </w:rPr>
        <w:tab/>
        <w:t>35</w:t>
      </w:r>
    </w:p>
    <w:p w14:paraId="1B6E4A99"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9.</w:t>
      </w:r>
      <w:r w:rsidRPr="000A40E6">
        <w:rPr>
          <w:rFonts w:eastAsia="Times New Roman" w:cs="Times New Roman"/>
          <w:noProof/>
          <w:szCs w:val="24"/>
          <w:lang w:eastAsia="tr-TR"/>
        </w:rPr>
        <w:t xml:space="preserve"> Örnek vakanın 3. ay retansiyon sonrası ağız içi fotoğraf kayıtları.</w:t>
      </w:r>
      <w:r w:rsidRPr="000A40E6">
        <w:rPr>
          <w:rFonts w:eastAsia="Times New Roman" w:cs="Times New Roman"/>
          <w:noProof/>
          <w:webHidden/>
          <w:szCs w:val="24"/>
          <w:lang w:eastAsia="tr-TR"/>
        </w:rPr>
        <w:tab/>
        <w:t>36</w:t>
      </w:r>
    </w:p>
    <w:p w14:paraId="71309C88"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10.</w:t>
      </w:r>
      <w:r w:rsidRPr="000A40E6">
        <w:rPr>
          <w:rFonts w:eastAsia="Times New Roman" w:cs="Times New Roman"/>
          <w:noProof/>
          <w:szCs w:val="24"/>
          <w:lang w:eastAsia="tr-TR"/>
        </w:rPr>
        <w:t xml:space="preserve"> Örnek vakanın 6. ay retansiyon sonrası ağız içi fotoğraf kayıtları.</w:t>
      </w:r>
      <w:r w:rsidRPr="000A40E6">
        <w:rPr>
          <w:rFonts w:eastAsia="Times New Roman" w:cs="Times New Roman"/>
          <w:noProof/>
          <w:webHidden/>
          <w:szCs w:val="24"/>
          <w:lang w:eastAsia="tr-TR"/>
        </w:rPr>
        <w:tab/>
        <w:t>36</w:t>
      </w:r>
    </w:p>
    <w:p w14:paraId="70F1FC26"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11.</w:t>
      </w:r>
      <w:r w:rsidRPr="000A40E6">
        <w:rPr>
          <w:rFonts w:eastAsia="Times New Roman" w:cs="Times New Roman"/>
          <w:noProof/>
          <w:szCs w:val="24"/>
          <w:lang w:eastAsia="tr-TR"/>
        </w:rPr>
        <w:t xml:space="preserve"> Standart periopaper ve eppendorf tüpü.</w:t>
      </w:r>
      <w:r w:rsidRPr="000A40E6">
        <w:rPr>
          <w:rFonts w:eastAsia="Times New Roman" w:cs="Times New Roman"/>
          <w:noProof/>
          <w:webHidden/>
          <w:szCs w:val="24"/>
          <w:lang w:eastAsia="tr-TR"/>
        </w:rPr>
        <w:tab/>
        <w:t>37</w:t>
      </w:r>
    </w:p>
    <w:p w14:paraId="0E6329A1"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12.</w:t>
      </w:r>
      <w:r w:rsidRPr="000A40E6">
        <w:rPr>
          <w:rFonts w:eastAsia="Times New Roman" w:cs="Times New Roman"/>
          <w:noProof/>
          <w:szCs w:val="24"/>
          <w:lang w:eastAsia="tr-TR"/>
        </w:rPr>
        <w:t xml:space="preserve"> a. Aparey yerleştirilmeden hemen önce (T0); b. Aktif fazdan sonra (T1) sağ üst 1. molar dişin meziobukkal bölgesinden DOS örnek alımı.</w:t>
      </w:r>
      <w:r w:rsidRPr="000A40E6">
        <w:rPr>
          <w:rFonts w:eastAsia="Times New Roman" w:cs="Times New Roman"/>
          <w:noProof/>
          <w:webHidden/>
          <w:szCs w:val="24"/>
          <w:lang w:eastAsia="tr-TR"/>
        </w:rPr>
        <w:tab/>
        <w:t>38</w:t>
      </w:r>
    </w:p>
    <w:p w14:paraId="0D40C7A7"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13.</w:t>
      </w:r>
      <w:r w:rsidRPr="000A40E6">
        <w:rPr>
          <w:rFonts w:eastAsia="Times New Roman" w:cs="Times New Roman"/>
          <w:noProof/>
          <w:szCs w:val="24"/>
          <w:lang w:eastAsia="tr-TR"/>
        </w:rPr>
        <w:t xml:space="preserve"> Çalışmada kullanılan Periotron 8010 cihazı.</w:t>
      </w:r>
      <w:r w:rsidRPr="000A40E6">
        <w:rPr>
          <w:rFonts w:eastAsia="Times New Roman" w:cs="Times New Roman"/>
          <w:noProof/>
          <w:webHidden/>
          <w:szCs w:val="24"/>
          <w:lang w:eastAsia="tr-TR"/>
        </w:rPr>
        <w:tab/>
        <w:t>39</w:t>
      </w:r>
    </w:p>
    <w:p w14:paraId="0749CF57"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14.</w:t>
      </w:r>
      <w:r w:rsidRPr="000A40E6">
        <w:rPr>
          <w:rFonts w:eastAsia="Times New Roman" w:cs="Times New Roman"/>
          <w:noProof/>
          <w:szCs w:val="24"/>
          <w:lang w:eastAsia="tr-TR"/>
        </w:rPr>
        <w:t xml:space="preserve"> Çalışmada kullanılan Elisa kiti.</w:t>
      </w:r>
      <w:r w:rsidRPr="000A40E6">
        <w:rPr>
          <w:rFonts w:eastAsia="Times New Roman" w:cs="Times New Roman"/>
          <w:noProof/>
          <w:webHidden/>
          <w:szCs w:val="24"/>
          <w:lang w:eastAsia="tr-TR"/>
        </w:rPr>
        <w:tab/>
        <w:t>42</w:t>
      </w:r>
    </w:p>
    <w:p w14:paraId="35A3E6A4"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15.</w:t>
      </w:r>
      <w:r w:rsidRPr="000A40E6">
        <w:rPr>
          <w:rFonts w:eastAsia="Times New Roman" w:cs="Times New Roman"/>
          <w:noProof/>
          <w:szCs w:val="24"/>
          <w:lang w:eastAsia="tr-TR"/>
        </w:rPr>
        <w:t xml:space="preserve"> Çalışmada kullanılan santrifüj cihazı.</w:t>
      </w:r>
      <w:r w:rsidRPr="000A40E6">
        <w:rPr>
          <w:rFonts w:eastAsia="Times New Roman" w:cs="Times New Roman"/>
          <w:noProof/>
          <w:webHidden/>
          <w:szCs w:val="24"/>
          <w:lang w:eastAsia="tr-TR"/>
        </w:rPr>
        <w:tab/>
        <w:t>43</w:t>
      </w:r>
    </w:p>
    <w:p w14:paraId="6BD3F798"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16.</w:t>
      </w:r>
      <w:r w:rsidRPr="000A40E6">
        <w:rPr>
          <w:rFonts w:eastAsia="Times New Roman" w:cs="Times New Roman"/>
          <w:noProof/>
          <w:szCs w:val="24"/>
          <w:lang w:eastAsia="tr-TR"/>
        </w:rPr>
        <w:t xml:space="preserve"> Çalışmada kullanılan analitik terazi.</w:t>
      </w:r>
      <w:r w:rsidRPr="000A40E6">
        <w:rPr>
          <w:rFonts w:eastAsia="Times New Roman" w:cs="Times New Roman"/>
          <w:noProof/>
          <w:webHidden/>
          <w:szCs w:val="24"/>
          <w:lang w:eastAsia="tr-TR"/>
        </w:rPr>
        <w:tab/>
        <w:t>44</w:t>
      </w:r>
    </w:p>
    <w:p w14:paraId="3DCE7024"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17.</w:t>
      </w:r>
      <w:r w:rsidRPr="000A40E6">
        <w:rPr>
          <w:rFonts w:eastAsia="Times New Roman" w:cs="Times New Roman"/>
          <w:noProof/>
          <w:szCs w:val="24"/>
          <w:lang w:eastAsia="tr-TR"/>
        </w:rPr>
        <w:t xml:space="preserve"> Isıtma işlemlerinde kullanılan etüv.</w:t>
      </w:r>
      <w:r w:rsidRPr="000A40E6">
        <w:rPr>
          <w:rFonts w:eastAsia="Times New Roman" w:cs="Times New Roman"/>
          <w:noProof/>
          <w:webHidden/>
          <w:szCs w:val="24"/>
          <w:lang w:eastAsia="tr-TR"/>
        </w:rPr>
        <w:tab/>
        <w:t>45</w:t>
      </w:r>
    </w:p>
    <w:p w14:paraId="33B0DA8A"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18.</w:t>
      </w:r>
      <w:r w:rsidRPr="000A40E6">
        <w:rPr>
          <w:rFonts w:eastAsia="Times New Roman" w:cs="Times New Roman"/>
          <w:noProof/>
          <w:szCs w:val="24"/>
          <w:lang w:eastAsia="tr-TR"/>
        </w:rPr>
        <w:t xml:space="preserve"> Mikroplate hücrelerinin renklenmiş son hali.</w:t>
      </w:r>
      <w:r w:rsidRPr="000A40E6">
        <w:rPr>
          <w:rFonts w:eastAsia="Times New Roman" w:cs="Times New Roman"/>
          <w:noProof/>
          <w:webHidden/>
          <w:szCs w:val="24"/>
          <w:lang w:eastAsia="tr-TR"/>
        </w:rPr>
        <w:tab/>
        <w:t>46</w:t>
      </w:r>
    </w:p>
    <w:p w14:paraId="22BCA239"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Resim 19.</w:t>
      </w:r>
      <w:r w:rsidRPr="000A40E6">
        <w:rPr>
          <w:rFonts w:eastAsia="Times New Roman" w:cs="Times New Roman"/>
          <w:noProof/>
          <w:szCs w:val="24"/>
          <w:lang w:eastAsia="tr-TR"/>
        </w:rPr>
        <w:t xml:space="preserve"> Çalışmada kullanılan mikroplaka okuyucu.</w:t>
      </w:r>
      <w:r w:rsidRPr="000A40E6">
        <w:rPr>
          <w:rFonts w:eastAsia="Times New Roman" w:cs="Times New Roman"/>
          <w:noProof/>
          <w:webHidden/>
          <w:szCs w:val="24"/>
          <w:lang w:eastAsia="tr-TR"/>
        </w:rPr>
        <w:tab/>
        <w:t>46</w:t>
      </w:r>
    </w:p>
    <w:p w14:paraId="3E0C6777" w14:textId="77777777" w:rsidR="000D3022" w:rsidRPr="000A40E6" w:rsidRDefault="000D3022" w:rsidP="00F756C3">
      <w:pPr>
        <w:suppressAutoHyphens/>
        <w:spacing w:after="200" w:line="276" w:lineRule="auto"/>
        <w:ind w:firstLine="0"/>
        <w:jc w:val="left"/>
        <w:rPr>
          <w:rFonts w:eastAsia="Calibri" w:cs="Times New Roman"/>
          <w:b/>
          <w:sz w:val="28"/>
          <w:szCs w:val="24"/>
          <w:lang w:eastAsia="tr-TR"/>
        </w:rPr>
      </w:pPr>
      <w:bookmarkStart w:id="20" w:name="_Toc136443371"/>
      <w:r w:rsidRPr="000A40E6">
        <w:rPr>
          <w:rFonts w:eastAsia="Calibri" w:cs="Times New Roman"/>
          <w:b/>
          <w:sz w:val="28"/>
          <w:szCs w:val="24"/>
          <w:lang w:eastAsia="tr-TR"/>
        </w:rPr>
        <w:br w:type="page"/>
      </w:r>
    </w:p>
    <w:p w14:paraId="3DD14207" w14:textId="4F6703DF" w:rsidR="00B962B0" w:rsidRPr="000A40E6" w:rsidRDefault="0071787F" w:rsidP="00F756C3">
      <w:pPr>
        <w:suppressAutoHyphens/>
        <w:spacing w:after="120"/>
        <w:ind w:firstLine="0"/>
        <w:jc w:val="center"/>
        <w:rPr>
          <w:rFonts w:eastAsia="Calibri" w:cs="Times New Roman"/>
          <w:b/>
          <w:sz w:val="28"/>
          <w:szCs w:val="24"/>
          <w:lang w:eastAsia="tr-TR"/>
        </w:rPr>
      </w:pPr>
      <w:r w:rsidRPr="000A40E6">
        <w:rPr>
          <w:rFonts w:eastAsia="Calibri" w:cs="Times New Roman"/>
          <w:b/>
          <w:sz w:val="28"/>
          <w:szCs w:val="24"/>
          <w:lang w:eastAsia="tr-TR"/>
        </w:rPr>
        <w:t>TABLOLAR DİZİNİ</w:t>
      </w:r>
      <w:bookmarkEnd w:id="20"/>
    </w:p>
    <w:p w14:paraId="1FDED42C" w14:textId="10F996C3" w:rsidR="0070492E" w:rsidRPr="000A40E6" w:rsidRDefault="0070492E" w:rsidP="00F756C3">
      <w:pPr>
        <w:pStyle w:val="ResimYazs"/>
        <w:suppressAutoHyphens/>
        <w:spacing w:after="120" w:line="360" w:lineRule="auto"/>
        <w:jc w:val="both"/>
        <w:rPr>
          <w:rFonts w:cs="Times New Roman"/>
          <w:sz w:val="24"/>
          <w:szCs w:val="24"/>
        </w:rPr>
      </w:pPr>
    </w:p>
    <w:p w14:paraId="09DB4660" w14:textId="77777777" w:rsidR="00E96A98" w:rsidRPr="000A40E6" w:rsidRDefault="00E96A98" w:rsidP="00F756C3">
      <w:pPr>
        <w:suppressAutoHyphens/>
        <w:spacing w:after="120"/>
        <w:rPr>
          <w:rFonts w:cs="Times New Roman"/>
          <w:szCs w:val="24"/>
        </w:rPr>
      </w:pPr>
    </w:p>
    <w:p w14:paraId="43C105A3"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1.</w:t>
      </w:r>
      <w:r w:rsidRPr="000A40E6">
        <w:rPr>
          <w:rFonts w:eastAsia="Times New Roman" w:cs="Times New Roman"/>
          <w:noProof/>
          <w:szCs w:val="24"/>
          <w:lang w:eastAsia="tr-TR"/>
        </w:rPr>
        <w:t xml:space="preserve"> Silness-Löe plak indeksi.</w:t>
      </w:r>
      <w:r w:rsidRPr="000A40E6">
        <w:rPr>
          <w:rFonts w:eastAsia="Times New Roman" w:cs="Times New Roman"/>
          <w:noProof/>
          <w:webHidden/>
          <w:szCs w:val="24"/>
          <w:lang w:eastAsia="tr-TR"/>
        </w:rPr>
        <w:tab/>
        <w:t>39</w:t>
      </w:r>
    </w:p>
    <w:p w14:paraId="5F021E59"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2.</w:t>
      </w:r>
      <w:r w:rsidRPr="000A40E6">
        <w:rPr>
          <w:rFonts w:eastAsia="Times New Roman" w:cs="Times New Roman"/>
          <w:noProof/>
          <w:szCs w:val="24"/>
          <w:lang w:eastAsia="tr-TR"/>
        </w:rPr>
        <w:t xml:space="preserve"> Löe-Silness Gingival indeksi.</w:t>
      </w:r>
      <w:r w:rsidRPr="000A40E6">
        <w:rPr>
          <w:rFonts w:eastAsia="Times New Roman" w:cs="Times New Roman"/>
          <w:noProof/>
          <w:webHidden/>
          <w:szCs w:val="24"/>
          <w:lang w:eastAsia="tr-TR"/>
        </w:rPr>
        <w:tab/>
        <w:t>40</w:t>
      </w:r>
    </w:p>
    <w:p w14:paraId="6F5317E4"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3.</w:t>
      </w:r>
      <w:r w:rsidRPr="000A40E6">
        <w:rPr>
          <w:rFonts w:eastAsia="Times New Roman" w:cs="Times New Roman"/>
          <w:noProof/>
          <w:szCs w:val="24"/>
          <w:lang w:eastAsia="tr-TR"/>
        </w:rPr>
        <w:t xml:space="preserve"> Sondlanabilir cep derinliği evreleri.</w:t>
      </w:r>
      <w:r w:rsidRPr="000A40E6">
        <w:rPr>
          <w:rFonts w:eastAsia="Times New Roman" w:cs="Times New Roman"/>
          <w:noProof/>
          <w:webHidden/>
          <w:szCs w:val="24"/>
          <w:lang w:eastAsia="tr-TR"/>
        </w:rPr>
        <w:tab/>
        <w:t>41</w:t>
      </w:r>
    </w:p>
    <w:p w14:paraId="61C884AE"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4.</w:t>
      </w:r>
      <w:r w:rsidRPr="000A40E6">
        <w:rPr>
          <w:rFonts w:eastAsia="Times New Roman" w:cs="Times New Roman"/>
          <w:noProof/>
          <w:szCs w:val="24"/>
          <w:lang w:eastAsia="tr-TR"/>
        </w:rPr>
        <w:t xml:space="preserve"> Sondlamada sırasında kanama varlığı.</w:t>
      </w:r>
      <w:r w:rsidRPr="000A40E6">
        <w:rPr>
          <w:rFonts w:eastAsia="Times New Roman" w:cs="Times New Roman"/>
          <w:noProof/>
          <w:webHidden/>
          <w:szCs w:val="24"/>
          <w:lang w:eastAsia="tr-TR"/>
        </w:rPr>
        <w:tab/>
        <w:t>41</w:t>
      </w:r>
    </w:p>
    <w:p w14:paraId="6496F4FB"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5.</w:t>
      </w:r>
      <w:r w:rsidRPr="000A40E6">
        <w:rPr>
          <w:rFonts w:eastAsia="Times New Roman" w:cs="Times New Roman"/>
          <w:noProof/>
          <w:szCs w:val="24"/>
          <w:lang w:eastAsia="tr-TR"/>
        </w:rPr>
        <w:t xml:space="preserve"> PI, GI ve BOP’un zamana göre dağılımı.</w:t>
      </w:r>
      <w:r w:rsidRPr="000A40E6">
        <w:rPr>
          <w:rFonts w:eastAsia="Times New Roman" w:cs="Times New Roman"/>
          <w:noProof/>
          <w:webHidden/>
          <w:szCs w:val="24"/>
          <w:lang w:eastAsia="tr-TR"/>
        </w:rPr>
        <w:tab/>
        <w:t>48</w:t>
      </w:r>
    </w:p>
    <w:p w14:paraId="0E411EFF"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6.</w:t>
      </w:r>
      <w:r w:rsidRPr="000A40E6">
        <w:rPr>
          <w:rFonts w:eastAsia="Times New Roman" w:cs="Times New Roman"/>
          <w:noProof/>
          <w:szCs w:val="24"/>
          <w:lang w:eastAsia="tr-TR"/>
        </w:rPr>
        <w:t xml:space="preserve"> Cep derinliğinin zamana ve bölgelere göre dağılımı.</w:t>
      </w:r>
      <w:r w:rsidRPr="000A40E6">
        <w:rPr>
          <w:rFonts w:eastAsia="Times New Roman" w:cs="Times New Roman"/>
          <w:noProof/>
          <w:webHidden/>
          <w:szCs w:val="24"/>
          <w:lang w:eastAsia="tr-TR"/>
        </w:rPr>
        <w:tab/>
        <w:t>49</w:t>
      </w:r>
    </w:p>
    <w:p w14:paraId="734EDFFF"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7.</w:t>
      </w:r>
      <w:r w:rsidRPr="000A40E6">
        <w:rPr>
          <w:rFonts w:eastAsia="Times New Roman" w:cs="Times New Roman"/>
          <w:noProof/>
          <w:szCs w:val="24"/>
          <w:lang w:eastAsia="tr-TR"/>
        </w:rPr>
        <w:t xml:space="preserve"> DOS hacminin zamana ve bölgelere göre dağılımı.</w:t>
      </w:r>
      <w:r w:rsidRPr="000A40E6">
        <w:rPr>
          <w:rFonts w:eastAsia="Times New Roman" w:cs="Times New Roman"/>
          <w:noProof/>
          <w:webHidden/>
          <w:szCs w:val="24"/>
          <w:lang w:eastAsia="tr-TR"/>
        </w:rPr>
        <w:tab/>
        <w:t>50</w:t>
      </w:r>
    </w:p>
    <w:p w14:paraId="374E0D9D"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8.</w:t>
      </w:r>
      <w:r w:rsidRPr="000A40E6">
        <w:rPr>
          <w:rFonts w:eastAsia="Times New Roman" w:cs="Times New Roman"/>
          <w:noProof/>
          <w:szCs w:val="24"/>
          <w:lang w:eastAsia="tr-TR"/>
        </w:rPr>
        <w:t xml:space="preserve"> BALP düzeyinin zamana ve bölgelere göre dağılımı.</w:t>
      </w:r>
      <w:r w:rsidRPr="000A40E6">
        <w:rPr>
          <w:rFonts w:eastAsia="Times New Roman" w:cs="Times New Roman"/>
          <w:noProof/>
          <w:webHidden/>
          <w:szCs w:val="24"/>
          <w:lang w:eastAsia="tr-TR"/>
        </w:rPr>
        <w:tab/>
        <w:t>51</w:t>
      </w:r>
    </w:p>
    <w:p w14:paraId="1D470F62"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9.</w:t>
      </w:r>
      <w:r w:rsidRPr="000A40E6">
        <w:rPr>
          <w:rFonts w:eastAsia="Times New Roman" w:cs="Times New Roman"/>
          <w:noProof/>
          <w:szCs w:val="24"/>
          <w:lang w:eastAsia="tr-TR"/>
        </w:rPr>
        <w:t xml:space="preserve"> RANKL düzeyinin zamana ve bölgelere göre dağılımı.</w:t>
      </w:r>
      <w:r w:rsidRPr="000A40E6">
        <w:rPr>
          <w:rFonts w:eastAsia="Times New Roman" w:cs="Times New Roman"/>
          <w:noProof/>
          <w:webHidden/>
          <w:szCs w:val="24"/>
          <w:lang w:eastAsia="tr-TR"/>
        </w:rPr>
        <w:tab/>
        <w:t>52</w:t>
      </w:r>
    </w:p>
    <w:p w14:paraId="2D1EBA90"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 xml:space="preserve">Tablo 10. </w:t>
      </w:r>
      <w:r w:rsidRPr="000A40E6">
        <w:rPr>
          <w:rFonts w:eastAsia="Times New Roman" w:cs="Times New Roman"/>
          <w:noProof/>
          <w:szCs w:val="24"/>
          <w:lang w:eastAsia="tr-TR"/>
        </w:rPr>
        <w:t>OPG düzeyinin zamana ve bölgelere göre dağılımı.</w:t>
      </w:r>
      <w:r w:rsidRPr="000A40E6">
        <w:rPr>
          <w:rFonts w:eastAsia="Times New Roman" w:cs="Times New Roman"/>
          <w:noProof/>
          <w:webHidden/>
          <w:szCs w:val="24"/>
          <w:lang w:eastAsia="tr-TR"/>
        </w:rPr>
        <w:tab/>
        <w:t>53</w:t>
      </w:r>
    </w:p>
    <w:p w14:paraId="7260EC1C" w14:textId="77777777" w:rsidR="001C4767" w:rsidRPr="000A40E6" w:rsidRDefault="001C4767" w:rsidP="001C4767">
      <w:pPr>
        <w:tabs>
          <w:tab w:val="right" w:leader="dot" w:pos="8892"/>
        </w:tabs>
        <w:suppressAutoHyphens/>
        <w:spacing w:after="120"/>
        <w:ind w:left="567" w:right="284" w:hanging="567"/>
        <w:rPr>
          <w:rFonts w:eastAsia="Times New Roman" w:cs="Times New Roman"/>
          <w:noProof/>
          <w:szCs w:val="24"/>
          <w:lang w:eastAsia="tr-TR"/>
        </w:rPr>
      </w:pPr>
      <w:r w:rsidRPr="000A40E6">
        <w:rPr>
          <w:rFonts w:eastAsia="Times New Roman" w:cs="Times New Roman"/>
          <w:b/>
          <w:noProof/>
          <w:szCs w:val="24"/>
          <w:lang w:eastAsia="tr-TR"/>
        </w:rPr>
        <w:t>Tablo 11.</w:t>
      </w:r>
      <w:r w:rsidRPr="000A40E6">
        <w:rPr>
          <w:rFonts w:eastAsia="Times New Roman" w:cs="Times New Roman"/>
          <w:noProof/>
          <w:szCs w:val="24"/>
          <w:lang w:eastAsia="tr-TR"/>
        </w:rPr>
        <w:t xml:space="preserve"> TNF-α düzeyinin zamana ve bölgelere göre dağılımı.</w:t>
      </w:r>
      <w:r w:rsidRPr="000A40E6">
        <w:rPr>
          <w:rFonts w:eastAsia="Times New Roman" w:cs="Times New Roman"/>
          <w:noProof/>
          <w:webHidden/>
          <w:szCs w:val="24"/>
          <w:lang w:eastAsia="tr-TR"/>
        </w:rPr>
        <w:tab/>
        <w:t>54</w:t>
      </w:r>
    </w:p>
    <w:p w14:paraId="55E6B064" w14:textId="77777777" w:rsidR="0071787F" w:rsidRPr="000A40E6" w:rsidRDefault="0071787F" w:rsidP="00F756C3">
      <w:pPr>
        <w:suppressAutoHyphens/>
        <w:spacing w:after="120"/>
        <w:rPr>
          <w:rFonts w:cs="Times New Roman"/>
          <w:szCs w:val="24"/>
        </w:rPr>
      </w:pPr>
    </w:p>
    <w:p w14:paraId="0E09D6CE" w14:textId="77777777" w:rsidR="0071787F" w:rsidRPr="000A40E6" w:rsidRDefault="0071787F" w:rsidP="00F756C3">
      <w:pPr>
        <w:suppressAutoHyphens/>
        <w:spacing w:after="120"/>
        <w:rPr>
          <w:rFonts w:cs="Times New Roman"/>
          <w:szCs w:val="24"/>
        </w:rPr>
      </w:pPr>
    </w:p>
    <w:bookmarkEnd w:id="18"/>
    <w:p w14:paraId="2A825496" w14:textId="77777777" w:rsidR="00633770" w:rsidRPr="000A40E6" w:rsidRDefault="000E1143" w:rsidP="00F756C3">
      <w:pPr>
        <w:pStyle w:val="T1"/>
        <w:suppressAutoHyphens/>
        <w:spacing w:after="120"/>
        <w:ind w:firstLine="567"/>
        <w:jc w:val="both"/>
        <w:rPr>
          <w:color w:val="000000" w:themeColor="text1"/>
        </w:rPr>
      </w:pPr>
      <w:r w:rsidRPr="000A40E6">
        <w:br w:type="page"/>
      </w:r>
    </w:p>
    <w:p w14:paraId="64F3B75C" w14:textId="77777777" w:rsidR="002D7525" w:rsidRPr="000A40E6" w:rsidRDefault="002D7525" w:rsidP="00F756C3">
      <w:pPr>
        <w:suppressAutoHyphens/>
        <w:spacing w:after="120"/>
        <w:ind w:firstLine="0"/>
        <w:jc w:val="center"/>
        <w:rPr>
          <w:rFonts w:eastAsia="Calibri" w:cs="Times New Roman"/>
          <w:b/>
          <w:sz w:val="28"/>
          <w:szCs w:val="24"/>
          <w:lang w:eastAsia="tr-TR"/>
        </w:rPr>
      </w:pPr>
      <w:bookmarkStart w:id="21" w:name="_Toc136443372"/>
      <w:bookmarkStart w:id="22" w:name="_Hlk9799510"/>
      <w:r w:rsidRPr="000A40E6">
        <w:rPr>
          <w:rFonts w:eastAsia="Calibri" w:cs="Times New Roman"/>
          <w:b/>
          <w:sz w:val="28"/>
          <w:szCs w:val="24"/>
          <w:lang w:eastAsia="tr-TR"/>
        </w:rPr>
        <w:t>ÖZET</w:t>
      </w:r>
      <w:bookmarkEnd w:id="21"/>
    </w:p>
    <w:p w14:paraId="74CE3F74" w14:textId="77777777" w:rsidR="002D7525" w:rsidRPr="000A40E6" w:rsidRDefault="002D7525" w:rsidP="00F756C3">
      <w:pPr>
        <w:suppressAutoHyphens/>
        <w:spacing w:after="120"/>
        <w:rPr>
          <w:rFonts w:cs="Times New Roman"/>
          <w:b/>
          <w:szCs w:val="24"/>
        </w:rPr>
      </w:pPr>
    </w:p>
    <w:p w14:paraId="276528B9" w14:textId="77777777" w:rsidR="002D7525" w:rsidRPr="000A40E6" w:rsidRDefault="002D7525" w:rsidP="00F756C3">
      <w:pPr>
        <w:suppressAutoHyphens/>
        <w:spacing w:after="120"/>
        <w:rPr>
          <w:rFonts w:cs="Times New Roman"/>
          <w:b/>
          <w:szCs w:val="24"/>
        </w:rPr>
      </w:pPr>
    </w:p>
    <w:p w14:paraId="28B39F8E" w14:textId="0C949577" w:rsidR="00676A1A" w:rsidRPr="000A40E6" w:rsidRDefault="00676A1A" w:rsidP="00F756C3">
      <w:pPr>
        <w:suppressAutoHyphens/>
        <w:spacing w:after="120"/>
        <w:ind w:firstLine="0"/>
        <w:jc w:val="center"/>
        <w:rPr>
          <w:rFonts w:cs="Times New Roman"/>
          <w:b/>
          <w:szCs w:val="24"/>
        </w:rPr>
      </w:pPr>
      <w:r w:rsidRPr="000A40E6">
        <w:rPr>
          <w:rFonts w:cs="Times New Roman"/>
          <w:b/>
          <w:szCs w:val="24"/>
        </w:rPr>
        <w:t>PUBERTAL DÖNEMDE RAPİD MAKSİLLER EKSPANSİYON İLE TEDAVİ EDİLEN HASTALARDA KEMİK REMODELİNGİNİN DİŞ ETİ OLUĞU SIVISINDA İNCELENMESİ</w:t>
      </w:r>
    </w:p>
    <w:p w14:paraId="034312C2" w14:textId="77777777" w:rsidR="00211812" w:rsidRPr="000A40E6" w:rsidRDefault="00211812" w:rsidP="00F756C3">
      <w:pPr>
        <w:suppressAutoHyphens/>
        <w:spacing w:after="120"/>
        <w:ind w:firstLine="0"/>
        <w:jc w:val="center"/>
        <w:rPr>
          <w:rFonts w:cs="Times New Roman"/>
          <w:b/>
          <w:szCs w:val="24"/>
        </w:rPr>
      </w:pPr>
    </w:p>
    <w:p w14:paraId="31DB5CB4" w14:textId="35DE00AD" w:rsidR="00CE4BCF" w:rsidRPr="000A40E6" w:rsidRDefault="00995E3F" w:rsidP="00F756C3">
      <w:pPr>
        <w:suppressAutoHyphens/>
        <w:spacing w:after="120"/>
        <w:ind w:firstLine="0"/>
        <w:rPr>
          <w:rFonts w:cs="Times New Roman"/>
          <w:b/>
          <w:szCs w:val="24"/>
        </w:rPr>
      </w:pPr>
      <w:r w:rsidRPr="000A40E6">
        <w:rPr>
          <w:rFonts w:cs="Times New Roman"/>
          <w:b/>
          <w:szCs w:val="24"/>
        </w:rPr>
        <w:t>Güran Ç</w:t>
      </w:r>
      <w:r w:rsidR="00211812" w:rsidRPr="000A40E6">
        <w:rPr>
          <w:rFonts w:cs="Times New Roman"/>
          <w:b/>
          <w:szCs w:val="24"/>
        </w:rPr>
        <w:t>. Aydın Adnan Menderes Üniver</w:t>
      </w:r>
      <w:r w:rsidRPr="000A40E6">
        <w:rPr>
          <w:rFonts w:cs="Times New Roman"/>
          <w:b/>
          <w:szCs w:val="24"/>
        </w:rPr>
        <w:t>sitesi Sağlık Bilimleri Enstitüsü Ortodonti Doktora Programı, Doktora Tezi, Aydın, 2023.</w:t>
      </w:r>
    </w:p>
    <w:p w14:paraId="200FE64A" w14:textId="77777777" w:rsidR="000D3022" w:rsidRPr="000A40E6" w:rsidRDefault="000D3022" w:rsidP="00F756C3">
      <w:pPr>
        <w:suppressAutoHyphens/>
        <w:spacing w:after="120"/>
        <w:ind w:firstLine="0"/>
        <w:rPr>
          <w:rFonts w:eastAsia="Calibri" w:cs="Times New Roman"/>
          <w:b/>
          <w:szCs w:val="24"/>
        </w:rPr>
      </w:pPr>
    </w:p>
    <w:p w14:paraId="65B04385" w14:textId="3B36A31D" w:rsidR="00437702" w:rsidRPr="000A40E6" w:rsidRDefault="003B4316" w:rsidP="00F756C3">
      <w:pPr>
        <w:suppressAutoHyphens/>
        <w:spacing w:after="120"/>
        <w:ind w:firstLine="0"/>
        <w:rPr>
          <w:rFonts w:eastAsia="Calibri" w:cs="Times New Roman"/>
          <w:szCs w:val="24"/>
        </w:rPr>
      </w:pPr>
      <w:r w:rsidRPr="000A40E6">
        <w:rPr>
          <w:rFonts w:eastAsia="Calibri" w:cs="Times New Roman"/>
          <w:b/>
          <w:szCs w:val="24"/>
        </w:rPr>
        <w:t>Amaç:</w:t>
      </w:r>
      <w:r w:rsidRPr="000A40E6">
        <w:rPr>
          <w:rFonts w:eastAsia="Calibri" w:cs="Times New Roman"/>
          <w:szCs w:val="24"/>
        </w:rPr>
        <w:t xml:space="preserve"> </w:t>
      </w:r>
      <w:r w:rsidR="00437702" w:rsidRPr="000A40E6">
        <w:rPr>
          <w:rFonts w:eastAsia="Calibri" w:cs="Times New Roman"/>
          <w:szCs w:val="24"/>
        </w:rPr>
        <w:t xml:space="preserve">Bu prospektif klinik çalışmanın amacı, </w:t>
      </w:r>
      <w:r w:rsidR="00970065" w:rsidRPr="000A40E6">
        <w:rPr>
          <w:rFonts w:eastAsia="Calibri" w:cs="Times New Roman"/>
          <w:szCs w:val="24"/>
        </w:rPr>
        <w:t xml:space="preserve">rapid maksiller ekspansiyonun (RME) </w:t>
      </w:r>
      <w:r w:rsidR="00437702" w:rsidRPr="000A40E6">
        <w:rPr>
          <w:rFonts w:eastAsia="Calibri" w:cs="Times New Roman"/>
          <w:szCs w:val="24"/>
        </w:rPr>
        <w:t xml:space="preserve">3 aylık ve 6 aylık retansiyon dönemleri sonrasında kemik remodelingini </w:t>
      </w:r>
      <w:r w:rsidR="00F61FC6" w:rsidRPr="000A40E6">
        <w:rPr>
          <w:rFonts w:eastAsia="Calibri" w:cs="Times New Roman"/>
          <w:szCs w:val="24"/>
        </w:rPr>
        <w:t xml:space="preserve">diş eti oluğu sıvısında (DOS) </w:t>
      </w:r>
      <w:r w:rsidR="00437702" w:rsidRPr="000A40E6">
        <w:rPr>
          <w:rFonts w:eastAsia="Calibri" w:cs="Times New Roman"/>
          <w:szCs w:val="24"/>
        </w:rPr>
        <w:t>değerlendirmektir.</w:t>
      </w:r>
    </w:p>
    <w:p w14:paraId="361B2932" w14:textId="3A1C61CF" w:rsidR="00437702" w:rsidRPr="000A40E6" w:rsidRDefault="004F281B" w:rsidP="00F756C3">
      <w:pPr>
        <w:suppressAutoHyphens/>
        <w:spacing w:after="120"/>
        <w:ind w:firstLine="0"/>
        <w:rPr>
          <w:rFonts w:eastAsia="Calibri" w:cs="Times New Roman"/>
          <w:szCs w:val="24"/>
        </w:rPr>
      </w:pPr>
      <w:r w:rsidRPr="000A40E6">
        <w:rPr>
          <w:rFonts w:eastAsia="Times New Roman" w:cs="Times New Roman"/>
          <w:b/>
          <w:szCs w:val="24"/>
          <w:lang w:eastAsia="tr-TR"/>
        </w:rPr>
        <w:t>Gereç ve Yöntem:</w:t>
      </w:r>
      <w:r w:rsidRPr="000A40E6">
        <w:rPr>
          <w:rFonts w:eastAsia="Times New Roman" w:cs="Times New Roman"/>
          <w:szCs w:val="24"/>
          <w:lang w:eastAsia="tr-TR"/>
        </w:rPr>
        <w:t xml:space="preserve"> </w:t>
      </w:r>
      <w:r w:rsidR="00437702" w:rsidRPr="000A40E6">
        <w:rPr>
          <w:rFonts w:eastAsia="Times New Roman" w:cs="Times New Roman"/>
          <w:szCs w:val="24"/>
          <w:lang w:eastAsia="tr-TR"/>
        </w:rPr>
        <w:t xml:space="preserve">Çalışmaya maksiller darlığı bulunan, yaşları 12-15 arasında değişen pubertal dönemdeki 15 kız 8 erkek toplam 23 birey </w:t>
      </w:r>
      <w:proofErr w:type="gramStart"/>
      <w:r w:rsidR="00437702" w:rsidRPr="000A40E6">
        <w:rPr>
          <w:rFonts w:eastAsia="Times New Roman" w:cs="Times New Roman"/>
          <w:szCs w:val="24"/>
          <w:lang w:eastAsia="tr-TR"/>
        </w:rPr>
        <w:t>dahil</w:t>
      </w:r>
      <w:proofErr w:type="gramEnd"/>
      <w:r w:rsidR="00437702" w:rsidRPr="000A40E6">
        <w:rPr>
          <w:rFonts w:eastAsia="Times New Roman" w:cs="Times New Roman"/>
          <w:szCs w:val="24"/>
          <w:lang w:eastAsia="tr-TR"/>
        </w:rPr>
        <w:t xml:space="preserve"> edilmiştir. </w:t>
      </w:r>
      <w:r w:rsidR="00D57511" w:rsidRPr="000A40E6">
        <w:rPr>
          <w:rFonts w:eastAsia="Calibri" w:cs="Times New Roman"/>
          <w:szCs w:val="24"/>
          <w:lang w:val="en-GB"/>
        </w:rPr>
        <w:t>Modifiye h</w:t>
      </w:r>
      <w:r w:rsidR="00437702" w:rsidRPr="000A40E6">
        <w:rPr>
          <w:rFonts w:eastAsia="Calibri" w:cs="Times New Roman"/>
          <w:szCs w:val="24"/>
          <w:lang w:val="en-GB"/>
        </w:rPr>
        <w:t>yrax vidasından oluşan banded tip RME apareyi ağız i</w:t>
      </w:r>
      <w:r w:rsidR="00D57511" w:rsidRPr="000A40E6">
        <w:rPr>
          <w:rFonts w:eastAsia="Calibri" w:cs="Times New Roman"/>
          <w:szCs w:val="24"/>
          <w:lang w:val="en-GB"/>
        </w:rPr>
        <w:t>çine uygulandıktan hemen sonra h</w:t>
      </w:r>
      <w:r w:rsidR="00437702" w:rsidRPr="000A40E6">
        <w:rPr>
          <w:rFonts w:eastAsia="Calibri" w:cs="Times New Roman"/>
          <w:szCs w:val="24"/>
          <w:lang w:val="en-GB"/>
        </w:rPr>
        <w:t xml:space="preserve">yrax vidası </w:t>
      </w:r>
      <w:proofErr w:type="gramStart"/>
      <w:r w:rsidR="00437702" w:rsidRPr="000A40E6">
        <w:rPr>
          <w:rFonts w:eastAsia="Calibri" w:cs="Times New Roman"/>
          <w:szCs w:val="24"/>
          <w:lang w:val="en-GB"/>
        </w:rPr>
        <w:t>sabah</w:t>
      </w:r>
      <w:proofErr w:type="gramEnd"/>
      <w:r w:rsidR="00437702" w:rsidRPr="000A40E6">
        <w:rPr>
          <w:rFonts w:eastAsia="Calibri" w:cs="Times New Roman"/>
          <w:szCs w:val="24"/>
          <w:lang w:val="en-GB"/>
        </w:rPr>
        <w:t xml:space="preserve"> akşam ¼ dönüşle günde 2 kez çevrilerek RME protolü uygulanmaya başlanmıştır. Sağ maksiller 1. </w:t>
      </w:r>
      <w:proofErr w:type="gramStart"/>
      <w:r w:rsidR="00437702" w:rsidRPr="000A40E6">
        <w:rPr>
          <w:rFonts w:eastAsia="Calibri" w:cs="Times New Roman"/>
          <w:szCs w:val="24"/>
          <w:lang w:val="en-GB"/>
        </w:rPr>
        <w:t>molar</w:t>
      </w:r>
      <w:proofErr w:type="gramEnd"/>
      <w:r w:rsidR="00437702" w:rsidRPr="000A40E6">
        <w:rPr>
          <w:rFonts w:eastAsia="Calibri" w:cs="Times New Roman"/>
          <w:szCs w:val="24"/>
          <w:lang w:val="en-GB"/>
        </w:rPr>
        <w:t xml:space="preserve"> dişlerinden </w:t>
      </w:r>
      <w:r w:rsidR="00437702" w:rsidRPr="000A40E6">
        <w:rPr>
          <w:rFonts w:eastAsia="Calibri" w:cs="Times New Roman"/>
          <w:szCs w:val="24"/>
        </w:rPr>
        <w:t>kağıt stripler kullanılarak 4 farklı zaman diliminde (</w:t>
      </w:r>
      <w:r w:rsidR="00437702" w:rsidRPr="000A40E6">
        <w:rPr>
          <w:rFonts w:eastAsia="Calibri" w:cs="Times New Roman"/>
          <w:position w:val="-1"/>
          <w:szCs w:val="24"/>
          <w:lang w:val="en-US" w:eastAsia="ar-SA"/>
        </w:rPr>
        <w:t>T0: Aparey yerleştirilmeden önce, T1: Aktif fazdan sonra, T2: 3 aylık retansiyon dönemi sonu, T3: 6 aylık retansiyon dönemi sonu)</w:t>
      </w:r>
      <w:r w:rsidR="00437702" w:rsidRPr="000A40E6">
        <w:rPr>
          <w:rFonts w:eastAsia="Calibri" w:cs="Times New Roman"/>
          <w:szCs w:val="24"/>
        </w:rPr>
        <w:t xml:space="preserve"> DOS </w:t>
      </w:r>
      <w:r w:rsidR="00437702" w:rsidRPr="000A40E6">
        <w:rPr>
          <w:rFonts w:eastAsia="Calibri" w:cs="Times New Roman"/>
          <w:szCs w:val="24"/>
          <w:lang w:val="en-GB"/>
        </w:rPr>
        <w:t xml:space="preserve">örnekleri alınıp ardından sondlama derinliği, gingival indeks, plak indeksi ve sondlamada kanama yüzdesi kaydedilmiştir. </w:t>
      </w:r>
      <w:proofErr w:type="gramStart"/>
      <w:r w:rsidR="00437702" w:rsidRPr="000A40E6">
        <w:rPr>
          <w:rFonts w:eastAsia="Calibri" w:cs="Times New Roman"/>
          <w:szCs w:val="24"/>
          <w:lang w:val="en-GB"/>
        </w:rPr>
        <w:t xml:space="preserve">Elde edilen </w:t>
      </w:r>
      <w:r w:rsidR="00437702" w:rsidRPr="000A40E6">
        <w:rPr>
          <w:rFonts w:eastAsia="Calibri" w:cs="Times New Roman"/>
          <w:szCs w:val="24"/>
        </w:rPr>
        <w:t>DOS örneklerinde ELISA kitleri kullanılarak BALP, OPG, RANKL ve TNF-α düzeyleri belirlenmiştir.</w:t>
      </w:r>
      <w:proofErr w:type="gramEnd"/>
    </w:p>
    <w:p w14:paraId="4B0841E0" w14:textId="48DADEEB" w:rsidR="00437702" w:rsidRPr="000A40E6" w:rsidRDefault="002B4BB9" w:rsidP="00F756C3">
      <w:pPr>
        <w:suppressAutoHyphens/>
        <w:spacing w:after="120"/>
        <w:ind w:firstLine="0"/>
        <w:rPr>
          <w:rFonts w:eastAsia="Calibri" w:cs="Times New Roman"/>
          <w:szCs w:val="24"/>
        </w:rPr>
      </w:pPr>
      <w:r w:rsidRPr="000A40E6">
        <w:rPr>
          <w:rFonts w:eastAsia="Calibri" w:cs="Times New Roman"/>
          <w:b/>
          <w:kern w:val="2"/>
          <w:szCs w:val="24"/>
          <w14:ligatures w14:val="standardContextual"/>
        </w:rPr>
        <w:t>Bulgular:</w:t>
      </w:r>
      <w:r w:rsidR="00825641" w:rsidRPr="000A40E6">
        <w:rPr>
          <w:rFonts w:eastAsia="Calibri" w:cs="Times New Roman"/>
          <w:kern w:val="2"/>
          <w:szCs w:val="24"/>
          <w14:ligatures w14:val="standardContextual"/>
        </w:rPr>
        <w:t xml:space="preserve"> </w:t>
      </w:r>
      <w:r w:rsidR="00437702" w:rsidRPr="000A40E6">
        <w:rPr>
          <w:rFonts w:eastAsia="Calibri" w:cs="Times New Roman"/>
          <w:kern w:val="2"/>
          <w:szCs w:val="24"/>
          <w14:ligatures w14:val="standardContextual"/>
        </w:rPr>
        <w:t>Çalışmamızda DOS’taki BALP ve OPG seviyelerinin gerilim ve basınç bölgelerinde zaman içinde değişim göstermediği ve her bir zaman noktasında bölgeler arasında istatistiksel olarak anlamlı düzeyde bir fark olmadığı tespit edilmiştir (p&gt;0.05). RANKL seviyesinin T1 zamanında basınç bölgesi olan bukkal bölgede istatistiksel olarak anlamlı düzeyde arttığı bulunmuştur (p=0.042). T0, T2 ve T3 zamanlarında palatinal bölgenin TNF-α düzeyi, bukkal bölgeye göre istatistiksel olarak anlamlı düzeyde daha yüksek olduğu tespit edilmiştir (sırasıyla p=0.005, p=0.042 ve p=0.006).</w:t>
      </w:r>
    </w:p>
    <w:p w14:paraId="16D3F8A2" w14:textId="6DE1069B" w:rsidR="00437702" w:rsidRPr="000A40E6" w:rsidRDefault="00825641" w:rsidP="00F756C3">
      <w:pPr>
        <w:suppressAutoHyphens/>
        <w:spacing w:after="120"/>
        <w:ind w:firstLine="0"/>
        <w:rPr>
          <w:rFonts w:cs="Times New Roman"/>
          <w:szCs w:val="24"/>
        </w:rPr>
      </w:pPr>
      <w:r w:rsidRPr="000A40E6">
        <w:rPr>
          <w:rFonts w:eastAsia="Calibri" w:cs="Times New Roman"/>
          <w:b/>
          <w:szCs w:val="24"/>
        </w:rPr>
        <w:t>Sonuç:</w:t>
      </w:r>
      <w:r w:rsidRPr="000A40E6">
        <w:rPr>
          <w:rFonts w:eastAsia="Calibri" w:cs="Times New Roman"/>
          <w:szCs w:val="24"/>
        </w:rPr>
        <w:t xml:space="preserve"> </w:t>
      </w:r>
      <w:r w:rsidR="00437702" w:rsidRPr="000A40E6">
        <w:rPr>
          <w:rFonts w:eastAsia="Calibri" w:cs="Times New Roman"/>
          <w:szCs w:val="24"/>
        </w:rPr>
        <w:t xml:space="preserve">Çalışmamızda elde ettiğimiz sonuçlara göre, 3 aylık ve 6 aylık retansiyon dönemleri ile RME’nin kemik metabolik aktivitelerini gösteren biyomarkerlar arasında bir ilişki gözlenmemiştir. </w:t>
      </w:r>
      <w:r w:rsidR="00437702" w:rsidRPr="000A40E6">
        <w:rPr>
          <w:rFonts w:cs="Times New Roman"/>
          <w:szCs w:val="24"/>
        </w:rPr>
        <w:t xml:space="preserve">Farklı retansiyon süreleri ve </w:t>
      </w:r>
      <w:r w:rsidR="00437702" w:rsidRPr="000A40E6">
        <w:rPr>
          <w:rFonts w:eastAsia="Calibri" w:cs="Times New Roman"/>
          <w:kern w:val="2"/>
          <w:szCs w:val="24"/>
          <w14:ligatures w14:val="standardContextual"/>
        </w:rPr>
        <w:t>daha büyük örneklem hacmine sahip</w:t>
      </w:r>
      <w:r w:rsidR="00437702" w:rsidRPr="000A40E6">
        <w:rPr>
          <w:rFonts w:cs="Times New Roman"/>
          <w:szCs w:val="24"/>
        </w:rPr>
        <w:t xml:space="preserve"> ileri çalışmalar yapılması önerilebilir.</w:t>
      </w:r>
    </w:p>
    <w:p w14:paraId="5CF6128D" w14:textId="77777777" w:rsidR="00437702" w:rsidRPr="000A40E6" w:rsidRDefault="00437702" w:rsidP="00F756C3">
      <w:pPr>
        <w:suppressAutoHyphens/>
        <w:spacing w:after="120"/>
        <w:ind w:firstLine="0"/>
        <w:rPr>
          <w:rFonts w:cs="Times New Roman"/>
          <w:szCs w:val="24"/>
        </w:rPr>
      </w:pPr>
    </w:p>
    <w:p w14:paraId="673291CC" w14:textId="6CC7624A" w:rsidR="00437702" w:rsidRPr="000A40E6" w:rsidRDefault="00437702" w:rsidP="00F756C3">
      <w:pPr>
        <w:suppressAutoHyphens/>
        <w:spacing w:after="120"/>
        <w:ind w:firstLine="0"/>
        <w:rPr>
          <w:rFonts w:eastAsia="Calibri" w:cs="Times New Roman"/>
          <w:kern w:val="2"/>
          <w:szCs w:val="24"/>
          <w14:ligatures w14:val="standardContextual"/>
        </w:rPr>
      </w:pPr>
      <w:r w:rsidRPr="000A40E6">
        <w:rPr>
          <w:rFonts w:cs="Times New Roman"/>
          <w:b/>
          <w:szCs w:val="24"/>
        </w:rPr>
        <w:t>Anahtar kelimeler</w:t>
      </w:r>
      <w:r w:rsidR="00C60A42" w:rsidRPr="000A40E6">
        <w:rPr>
          <w:rFonts w:cs="Times New Roman"/>
          <w:b/>
          <w:szCs w:val="24"/>
        </w:rPr>
        <w:t xml:space="preserve">: </w:t>
      </w:r>
      <w:r w:rsidR="00C60A42" w:rsidRPr="000A40E6">
        <w:rPr>
          <w:rFonts w:cs="Times New Roman"/>
          <w:szCs w:val="24"/>
        </w:rPr>
        <w:t>Ekspansiyon, Remodeling, Retansiyon.</w:t>
      </w:r>
    </w:p>
    <w:p w14:paraId="73D1B57D" w14:textId="4334BE25" w:rsidR="00455CDF" w:rsidRPr="000A40E6" w:rsidRDefault="00455CDF" w:rsidP="00F756C3">
      <w:pPr>
        <w:tabs>
          <w:tab w:val="left" w:pos="567"/>
        </w:tabs>
        <w:suppressAutoHyphens/>
        <w:spacing w:after="120"/>
        <w:rPr>
          <w:rFonts w:cs="Times New Roman"/>
          <w:szCs w:val="24"/>
        </w:rPr>
      </w:pPr>
      <w:r w:rsidRPr="000A40E6">
        <w:rPr>
          <w:rFonts w:cs="Times New Roman"/>
          <w:bCs/>
          <w:szCs w:val="24"/>
        </w:rPr>
        <w:br w:type="page"/>
      </w:r>
    </w:p>
    <w:p w14:paraId="4F2C82A5" w14:textId="77777777" w:rsidR="00DF22F0" w:rsidRPr="000A40E6" w:rsidRDefault="00DF22F0" w:rsidP="00F756C3">
      <w:pPr>
        <w:suppressAutoHyphens/>
        <w:spacing w:after="120"/>
        <w:ind w:firstLine="0"/>
        <w:jc w:val="center"/>
        <w:rPr>
          <w:rFonts w:cs="Times New Roman"/>
          <w:b/>
          <w:sz w:val="28"/>
          <w:szCs w:val="24"/>
        </w:rPr>
      </w:pPr>
      <w:bookmarkStart w:id="23" w:name="_Toc136443373"/>
      <w:r w:rsidRPr="000A40E6">
        <w:rPr>
          <w:rFonts w:cs="Times New Roman"/>
          <w:b/>
          <w:sz w:val="28"/>
          <w:szCs w:val="24"/>
        </w:rPr>
        <w:t>ABSTRACT</w:t>
      </w:r>
      <w:bookmarkEnd w:id="23"/>
    </w:p>
    <w:p w14:paraId="799CCA55" w14:textId="77777777" w:rsidR="00DF22F0" w:rsidRPr="000A40E6" w:rsidRDefault="00DF22F0" w:rsidP="00F756C3">
      <w:pPr>
        <w:suppressAutoHyphens/>
        <w:spacing w:after="120"/>
        <w:ind w:firstLine="0"/>
        <w:rPr>
          <w:rFonts w:cs="Times New Roman"/>
          <w:b/>
          <w:szCs w:val="24"/>
        </w:rPr>
      </w:pPr>
    </w:p>
    <w:p w14:paraId="0F0B0948" w14:textId="77777777" w:rsidR="00DF22F0" w:rsidRPr="000A40E6" w:rsidRDefault="00DF22F0" w:rsidP="00F756C3">
      <w:pPr>
        <w:suppressAutoHyphens/>
        <w:spacing w:after="120"/>
        <w:ind w:firstLine="0"/>
        <w:rPr>
          <w:rFonts w:cs="Times New Roman"/>
          <w:b/>
          <w:szCs w:val="24"/>
        </w:rPr>
      </w:pPr>
    </w:p>
    <w:p w14:paraId="71E79E96" w14:textId="7FC3217D" w:rsidR="00355B2B" w:rsidRPr="000A40E6" w:rsidRDefault="00355B2B" w:rsidP="00F756C3">
      <w:pPr>
        <w:suppressAutoHyphens/>
        <w:spacing w:after="120"/>
        <w:ind w:firstLine="0"/>
        <w:jc w:val="center"/>
        <w:rPr>
          <w:rFonts w:cs="Times New Roman"/>
          <w:b/>
          <w:szCs w:val="24"/>
        </w:rPr>
      </w:pPr>
      <w:bookmarkStart w:id="24" w:name="_Toc488176620"/>
      <w:bookmarkEnd w:id="22"/>
      <w:r w:rsidRPr="000A40E6">
        <w:rPr>
          <w:rFonts w:cs="Times New Roman"/>
          <w:b/>
          <w:szCs w:val="24"/>
        </w:rPr>
        <w:t>INVESTIGATION OF B</w:t>
      </w:r>
      <w:r w:rsidR="00117A74">
        <w:rPr>
          <w:rFonts w:cs="Times New Roman"/>
          <w:b/>
          <w:szCs w:val="24"/>
        </w:rPr>
        <w:t xml:space="preserve">ONE REMODELING IN </w:t>
      </w:r>
      <w:r w:rsidR="0016761C">
        <w:rPr>
          <w:rFonts w:cs="Times New Roman"/>
          <w:b/>
          <w:szCs w:val="24"/>
        </w:rPr>
        <w:t xml:space="preserve">GINGIVAL CREVICULAR FLUID IN </w:t>
      </w:r>
      <w:r w:rsidR="00117A74">
        <w:rPr>
          <w:rFonts w:cs="Times New Roman"/>
          <w:b/>
          <w:szCs w:val="24"/>
        </w:rPr>
        <w:t xml:space="preserve">PATIENTS TREATED WITH RAPID MAXILLARY EXPANSION DURING </w:t>
      </w:r>
      <w:r w:rsidRPr="000A40E6">
        <w:rPr>
          <w:rFonts w:cs="Times New Roman"/>
          <w:b/>
          <w:szCs w:val="24"/>
        </w:rPr>
        <w:t>PUBERTAL PERIOD</w:t>
      </w:r>
    </w:p>
    <w:p w14:paraId="1CCD839B" w14:textId="77777777" w:rsidR="00AE4AAE" w:rsidRPr="000A40E6" w:rsidRDefault="00AE4AAE" w:rsidP="00F756C3">
      <w:pPr>
        <w:suppressAutoHyphens/>
        <w:spacing w:after="120"/>
        <w:ind w:firstLine="0"/>
        <w:rPr>
          <w:rFonts w:cs="Times New Roman"/>
          <w:b/>
          <w:bCs/>
          <w:szCs w:val="24"/>
        </w:rPr>
      </w:pPr>
    </w:p>
    <w:p w14:paraId="315FC92A" w14:textId="73C81C5E" w:rsidR="00AE4AAE" w:rsidRPr="000A40E6" w:rsidRDefault="009B3850" w:rsidP="00F756C3">
      <w:pPr>
        <w:suppressAutoHyphens/>
        <w:spacing w:after="120"/>
        <w:ind w:firstLine="0"/>
        <w:rPr>
          <w:rFonts w:cs="Times New Roman"/>
          <w:b/>
          <w:szCs w:val="24"/>
        </w:rPr>
      </w:pPr>
      <w:r w:rsidRPr="000A40E6">
        <w:rPr>
          <w:rFonts w:cs="Times New Roman"/>
          <w:b/>
          <w:szCs w:val="24"/>
        </w:rPr>
        <w:t>Güran Ç</w:t>
      </w:r>
      <w:r w:rsidR="00211812" w:rsidRPr="000A40E6">
        <w:rPr>
          <w:rFonts w:cs="Times New Roman"/>
          <w:b/>
          <w:szCs w:val="24"/>
        </w:rPr>
        <w:t xml:space="preserve">. </w:t>
      </w:r>
      <w:r w:rsidRPr="000A40E6">
        <w:rPr>
          <w:rFonts w:cs="Times New Roman"/>
          <w:b/>
          <w:szCs w:val="24"/>
        </w:rPr>
        <w:t>Aydın Adnan Menderes University Health Sciences Institute of Orthodontic Doctorate Program, Doctor of Philosophy Thesis, Aydın, 2023</w:t>
      </w:r>
      <w:r w:rsidR="00AE4AAE" w:rsidRPr="000A40E6">
        <w:rPr>
          <w:rFonts w:cs="Times New Roman"/>
          <w:b/>
          <w:szCs w:val="24"/>
        </w:rPr>
        <w:t>.</w:t>
      </w:r>
    </w:p>
    <w:p w14:paraId="5B3B3449" w14:textId="77777777" w:rsidR="00020057" w:rsidRPr="000A40E6" w:rsidRDefault="00020057" w:rsidP="00F756C3">
      <w:pPr>
        <w:suppressAutoHyphens/>
        <w:spacing w:after="120"/>
        <w:ind w:firstLine="0"/>
        <w:rPr>
          <w:rFonts w:cs="Times New Roman"/>
          <w:b/>
          <w:bCs/>
          <w:szCs w:val="24"/>
        </w:rPr>
      </w:pPr>
    </w:p>
    <w:p w14:paraId="78CD8463" w14:textId="31D0212D" w:rsidR="00AE4AAE" w:rsidRPr="000A40E6" w:rsidRDefault="001B249F" w:rsidP="00F756C3">
      <w:pPr>
        <w:suppressAutoHyphens/>
        <w:spacing w:after="120"/>
        <w:ind w:firstLine="0"/>
        <w:rPr>
          <w:rFonts w:cs="Times New Roman"/>
          <w:szCs w:val="24"/>
        </w:rPr>
      </w:pPr>
      <w:r w:rsidRPr="000A40E6">
        <w:rPr>
          <w:rFonts w:cs="Times New Roman"/>
          <w:b/>
          <w:bCs/>
          <w:szCs w:val="24"/>
        </w:rPr>
        <w:t xml:space="preserve">Aim: </w:t>
      </w:r>
      <w:r w:rsidR="00AE4AAE" w:rsidRPr="000A40E6">
        <w:rPr>
          <w:rFonts w:cs="Times New Roman"/>
          <w:szCs w:val="24"/>
        </w:rPr>
        <w:t>This prospective clinical study aimed to evaluate the bone remodeling following 3-month and 6-month retention periods of rapid maxillary expansion (RME) in gingival crevicular fluid (GCF).</w:t>
      </w:r>
    </w:p>
    <w:p w14:paraId="7F5CC2BF" w14:textId="4709C645" w:rsidR="00AE4AAE" w:rsidRPr="000A40E6" w:rsidRDefault="008F6F6D" w:rsidP="00F756C3">
      <w:pPr>
        <w:suppressAutoHyphens/>
        <w:spacing w:after="120"/>
        <w:ind w:firstLine="0"/>
        <w:rPr>
          <w:rFonts w:cs="Times New Roman"/>
          <w:szCs w:val="24"/>
        </w:rPr>
      </w:pPr>
      <w:r w:rsidRPr="000A40E6">
        <w:rPr>
          <w:rFonts w:cs="Times New Roman"/>
          <w:b/>
          <w:bCs/>
          <w:szCs w:val="24"/>
        </w:rPr>
        <w:t xml:space="preserve">Material and Methods: </w:t>
      </w:r>
      <w:r w:rsidR="00AE4AAE" w:rsidRPr="000A40E6">
        <w:rPr>
          <w:rFonts w:cs="Times New Roman"/>
          <w:szCs w:val="24"/>
        </w:rPr>
        <w:t>A total of 23 participants in the pubertal period, including 15 girls and 8 boys, aged between 12 and 15 years, with maxillary transversal deficiency, were enrolled in the study. Immediately after the banded type RME appliance</w:t>
      </w:r>
      <w:r w:rsidR="00D57511" w:rsidRPr="000A40E6">
        <w:rPr>
          <w:rFonts w:cs="Times New Roman"/>
          <w:szCs w:val="24"/>
        </w:rPr>
        <w:t xml:space="preserve"> consisting of a modified h</w:t>
      </w:r>
      <w:r w:rsidR="00AE4AAE" w:rsidRPr="000A40E6">
        <w:rPr>
          <w:rFonts w:cs="Times New Roman"/>
          <w:szCs w:val="24"/>
        </w:rPr>
        <w:t>yrax screw was introduced into the mouth, the RME protoco</w:t>
      </w:r>
      <w:r w:rsidR="00D57511" w:rsidRPr="000A40E6">
        <w:rPr>
          <w:rFonts w:cs="Times New Roman"/>
          <w:szCs w:val="24"/>
        </w:rPr>
        <w:t>l was initiated by turning the h</w:t>
      </w:r>
      <w:r w:rsidR="00AE4AAE" w:rsidRPr="000A40E6">
        <w:rPr>
          <w:rFonts w:cs="Times New Roman"/>
          <w:szCs w:val="24"/>
        </w:rPr>
        <w:t xml:space="preserve">yrax screw twice daily (in the morning and evening) with ¼ rotation. </w:t>
      </w:r>
      <w:proofErr w:type="gramStart"/>
      <w:r w:rsidR="00AE4AAE" w:rsidRPr="000A40E6">
        <w:rPr>
          <w:rFonts w:cs="Times New Roman"/>
          <w:szCs w:val="24"/>
        </w:rPr>
        <w:t xml:space="preserve">GCF samples were taken from the right maxillary first molars at four different time points (T0: before the appliance was deployed, T1: following the active phase, T2: at the end of the 3-month retention period, T3: at the end of the 6-month retention period) using paper strips and then, the probing depth, gingival index, plaque index and bleeding percentage at probing were recorded. </w:t>
      </w:r>
      <w:proofErr w:type="gramEnd"/>
      <w:r w:rsidR="00AE4AAE" w:rsidRPr="000A40E6">
        <w:rPr>
          <w:rFonts w:cs="Times New Roman"/>
          <w:szCs w:val="24"/>
        </w:rPr>
        <w:t>The BALP, OPG, RANKL, and TNF-α levels were measured in the obtained GCF samples using ELISA kits.</w:t>
      </w:r>
    </w:p>
    <w:p w14:paraId="06587318" w14:textId="3812A5FF" w:rsidR="005F1DBC" w:rsidRPr="000A40E6" w:rsidRDefault="005813D4" w:rsidP="00F756C3">
      <w:pPr>
        <w:suppressAutoHyphens/>
        <w:spacing w:after="120"/>
        <w:ind w:firstLine="0"/>
        <w:rPr>
          <w:rFonts w:cs="Times New Roman"/>
          <w:szCs w:val="24"/>
        </w:rPr>
      </w:pPr>
      <w:r w:rsidRPr="000A40E6">
        <w:rPr>
          <w:rFonts w:cs="Times New Roman"/>
          <w:b/>
          <w:bCs/>
          <w:szCs w:val="24"/>
        </w:rPr>
        <w:t xml:space="preserve">Results: </w:t>
      </w:r>
      <w:r w:rsidR="00AE4AAE" w:rsidRPr="000A40E6">
        <w:rPr>
          <w:rFonts w:cs="Times New Roman"/>
          <w:szCs w:val="24"/>
        </w:rPr>
        <w:t>Our study revealed that BALP and OPG levels in the GCF remained unchanged over time in the regions of tension and pressure, and there were no statistically significant differences among the regions at each time point (p&gt;0.05). The level of RANKL was statistically significantly increased in the buccal region, which is the region of pressure at time T1 (p=0.042). The TNF-α level of the palatinal region was statistically significantly higher than that of the buccal region at T0, T2, and T3 time points (p=0.005, p=0.042, and p=0.006, respectively).</w:t>
      </w:r>
    </w:p>
    <w:p w14:paraId="7ECDCCBC" w14:textId="46B27968" w:rsidR="00DF22F0" w:rsidRPr="000A40E6" w:rsidRDefault="00A365CE" w:rsidP="00F756C3">
      <w:pPr>
        <w:suppressAutoHyphens/>
        <w:spacing w:after="120"/>
        <w:ind w:firstLine="0"/>
        <w:rPr>
          <w:rFonts w:cs="Times New Roman"/>
          <w:szCs w:val="24"/>
        </w:rPr>
      </w:pPr>
      <w:r w:rsidRPr="000A40E6">
        <w:rPr>
          <w:rFonts w:cs="Times New Roman"/>
          <w:b/>
          <w:bCs/>
          <w:szCs w:val="24"/>
        </w:rPr>
        <w:t xml:space="preserve">Conclusion: </w:t>
      </w:r>
      <w:r w:rsidR="00AE4AAE" w:rsidRPr="000A40E6">
        <w:rPr>
          <w:rFonts w:cs="Times New Roman"/>
          <w:szCs w:val="24"/>
        </w:rPr>
        <w:t>Our study showed no correlation between 3-month and 6-month retention periods and the biomarkers indicating bone metabolic activities of RME.</w:t>
      </w:r>
      <w:r w:rsidR="005F1DBC" w:rsidRPr="000A40E6">
        <w:rPr>
          <w:rFonts w:cs="Times New Roman"/>
          <w:szCs w:val="24"/>
        </w:rPr>
        <w:t xml:space="preserve"> </w:t>
      </w:r>
      <w:r w:rsidR="00AE4AAE" w:rsidRPr="000A40E6">
        <w:rPr>
          <w:rFonts w:cs="Times New Roman"/>
          <w:szCs w:val="24"/>
        </w:rPr>
        <w:t>Further studies with different retention periods and larger sample sizes may be suggested.</w:t>
      </w:r>
    </w:p>
    <w:p w14:paraId="1FB0EDF5" w14:textId="77777777" w:rsidR="005F1DBC" w:rsidRPr="000A40E6" w:rsidRDefault="005F1DBC" w:rsidP="00F756C3">
      <w:pPr>
        <w:suppressAutoHyphens/>
        <w:spacing w:after="120"/>
        <w:ind w:firstLine="0"/>
        <w:rPr>
          <w:rFonts w:cs="Times New Roman"/>
          <w:szCs w:val="24"/>
        </w:rPr>
      </w:pPr>
    </w:p>
    <w:p w14:paraId="7252AC87" w14:textId="727FB1AA" w:rsidR="008C4340" w:rsidRPr="000A40E6" w:rsidRDefault="008C4340" w:rsidP="00F756C3">
      <w:pPr>
        <w:suppressAutoHyphens/>
        <w:spacing w:after="120"/>
        <w:ind w:firstLine="0"/>
        <w:rPr>
          <w:rFonts w:cs="Times New Roman"/>
          <w:b/>
          <w:szCs w:val="24"/>
        </w:rPr>
      </w:pPr>
      <w:r w:rsidRPr="000A40E6">
        <w:rPr>
          <w:rFonts w:cs="Times New Roman"/>
          <w:b/>
          <w:szCs w:val="24"/>
        </w:rPr>
        <w:t xml:space="preserve">Keywords: </w:t>
      </w:r>
      <w:r w:rsidR="004C21D7" w:rsidRPr="000A40E6">
        <w:rPr>
          <w:rFonts w:cs="Times New Roman"/>
          <w:szCs w:val="24"/>
        </w:rPr>
        <w:t>Expansion, Remodeling</w:t>
      </w:r>
      <w:r w:rsidR="00CD368A" w:rsidRPr="000A40E6">
        <w:rPr>
          <w:rFonts w:cs="Times New Roman"/>
          <w:szCs w:val="24"/>
        </w:rPr>
        <w:t>, Retention.</w:t>
      </w:r>
    </w:p>
    <w:p w14:paraId="47ABD562" w14:textId="77777777" w:rsidR="00DF22F0" w:rsidRPr="000A40E6" w:rsidRDefault="00DF22F0" w:rsidP="00F756C3">
      <w:pPr>
        <w:suppressAutoHyphens/>
        <w:spacing w:after="120"/>
        <w:rPr>
          <w:rFonts w:cs="Times New Roman"/>
          <w:szCs w:val="24"/>
        </w:rPr>
      </w:pPr>
    </w:p>
    <w:p w14:paraId="2625F229" w14:textId="77777777" w:rsidR="003136D5" w:rsidRPr="000A40E6" w:rsidRDefault="003136D5" w:rsidP="00F756C3">
      <w:pPr>
        <w:suppressAutoHyphens/>
        <w:spacing w:after="120"/>
        <w:rPr>
          <w:rFonts w:cs="Times New Roman"/>
          <w:b/>
          <w:szCs w:val="24"/>
        </w:rPr>
        <w:sectPr w:rsidR="003136D5" w:rsidRPr="000A40E6" w:rsidSect="0075746F">
          <w:footerReference w:type="default" r:id="rId10"/>
          <w:pgSz w:w="11906" w:h="16838"/>
          <w:pgMar w:top="1418" w:right="1134" w:bottom="1418" w:left="1701" w:header="850" w:footer="850" w:gutter="0"/>
          <w:pgNumType w:fmt="lowerRoman" w:start="1"/>
          <w:cols w:space="708"/>
          <w:docGrid w:linePitch="360"/>
        </w:sectPr>
      </w:pPr>
    </w:p>
    <w:p w14:paraId="18C7D568" w14:textId="4AC7429D" w:rsidR="00291BE2" w:rsidRPr="000A40E6" w:rsidRDefault="00BB3BE3" w:rsidP="00F756C3">
      <w:pPr>
        <w:suppressAutoHyphens/>
        <w:spacing w:after="120"/>
        <w:ind w:firstLine="0"/>
        <w:jc w:val="center"/>
        <w:rPr>
          <w:rFonts w:cs="Times New Roman"/>
          <w:b/>
          <w:sz w:val="28"/>
          <w:szCs w:val="24"/>
        </w:rPr>
      </w:pPr>
      <w:bookmarkStart w:id="25" w:name="_Toc136443374"/>
      <w:r w:rsidRPr="000A40E6">
        <w:rPr>
          <w:rFonts w:cs="Times New Roman"/>
          <w:b/>
          <w:sz w:val="28"/>
          <w:szCs w:val="24"/>
        </w:rPr>
        <w:t>1. GİRİŞ</w:t>
      </w:r>
      <w:bookmarkEnd w:id="24"/>
      <w:bookmarkEnd w:id="25"/>
    </w:p>
    <w:p w14:paraId="4552A756" w14:textId="77777777" w:rsidR="00BB3BE3" w:rsidRPr="000A40E6" w:rsidRDefault="00BB3BE3" w:rsidP="00F756C3">
      <w:pPr>
        <w:suppressAutoHyphens/>
        <w:spacing w:after="120"/>
        <w:ind w:firstLine="0"/>
        <w:rPr>
          <w:rFonts w:cs="Times New Roman"/>
          <w:szCs w:val="24"/>
        </w:rPr>
      </w:pPr>
    </w:p>
    <w:p w14:paraId="0EEA5CB2" w14:textId="77777777" w:rsidR="00BB3BE3" w:rsidRPr="000A40E6" w:rsidRDefault="00BB3BE3" w:rsidP="00F756C3">
      <w:pPr>
        <w:suppressAutoHyphens/>
        <w:spacing w:after="120"/>
        <w:ind w:firstLine="0"/>
        <w:rPr>
          <w:rFonts w:cs="Times New Roman"/>
          <w:szCs w:val="24"/>
        </w:rPr>
      </w:pPr>
    </w:p>
    <w:p w14:paraId="4FF2D2F5" w14:textId="3E76FDE1" w:rsidR="00010BE8" w:rsidRPr="000A40E6" w:rsidRDefault="00010BE8" w:rsidP="00F756C3">
      <w:pPr>
        <w:suppressAutoHyphens/>
        <w:spacing w:after="120"/>
        <w:rPr>
          <w:rFonts w:cs="Times New Roman"/>
          <w:szCs w:val="24"/>
        </w:rPr>
      </w:pPr>
      <w:r w:rsidRPr="000A40E6">
        <w:rPr>
          <w:rFonts w:cs="Times New Roman"/>
          <w:szCs w:val="24"/>
        </w:rPr>
        <w:t xml:space="preserve">Ortodontinin temel hedefi, stomatognatik sistemde genetik faktörler, çevresel faktörler veya bunların </w:t>
      </w:r>
      <w:proofErr w:type="gramStart"/>
      <w:r w:rsidRPr="000A40E6">
        <w:rPr>
          <w:rFonts w:cs="Times New Roman"/>
          <w:szCs w:val="24"/>
        </w:rPr>
        <w:t>kombinasyonuyla</w:t>
      </w:r>
      <w:proofErr w:type="gramEnd"/>
      <w:r w:rsidRPr="000A40E6">
        <w:rPr>
          <w:rFonts w:cs="Times New Roman"/>
          <w:szCs w:val="24"/>
        </w:rPr>
        <w:t xml:space="preserve"> oluşan anomalileri tedavi ederek hastalara ideal fonksiyonu ve estetiği kazandırmak ve sonucun kalıcı olmasını sağlamaktır. Bu düzensizlikler sagittal, vertikal ve transversal yönde olmak üzere uzayın üç boyutunda da oluşabilmektedir (McNamara</w:t>
      </w:r>
      <w:r w:rsidR="002564E4" w:rsidRPr="000A40E6">
        <w:rPr>
          <w:rFonts w:cs="Times New Roman"/>
          <w:szCs w:val="24"/>
        </w:rPr>
        <w:t>a</w:t>
      </w:r>
      <w:r w:rsidRPr="000A40E6">
        <w:rPr>
          <w:rFonts w:cs="Times New Roman"/>
          <w:szCs w:val="24"/>
        </w:rPr>
        <w:t>, 2000).</w:t>
      </w:r>
    </w:p>
    <w:p w14:paraId="3193E6FC" w14:textId="75F67D32" w:rsidR="00010BE8" w:rsidRPr="000A40E6" w:rsidRDefault="00010BE8" w:rsidP="00F756C3">
      <w:pPr>
        <w:suppressAutoHyphens/>
        <w:spacing w:after="120"/>
        <w:rPr>
          <w:rFonts w:cs="Times New Roman"/>
          <w:szCs w:val="24"/>
        </w:rPr>
      </w:pPr>
      <w:r w:rsidRPr="000A40E6">
        <w:rPr>
          <w:rFonts w:cs="Times New Roman"/>
          <w:szCs w:val="24"/>
        </w:rPr>
        <w:t xml:space="preserve">Transversal yöndeki </w:t>
      </w:r>
      <w:proofErr w:type="gramStart"/>
      <w:r w:rsidRPr="000A40E6">
        <w:rPr>
          <w:rFonts w:cs="Times New Roman"/>
          <w:szCs w:val="24"/>
        </w:rPr>
        <w:t>anomalilerde</w:t>
      </w:r>
      <w:proofErr w:type="gramEnd"/>
      <w:r w:rsidRPr="000A40E6">
        <w:rPr>
          <w:rFonts w:cs="Times New Roman"/>
          <w:szCs w:val="24"/>
        </w:rPr>
        <w:t xml:space="preserve"> sıklıkla iskeletsel ve/ veya dişsel, tek ya da çift taraflı posterior çapraz kapanış görülmekted</w:t>
      </w:r>
      <w:r w:rsidR="00841ACA" w:rsidRPr="000A40E6">
        <w:rPr>
          <w:rFonts w:cs="Times New Roman"/>
          <w:szCs w:val="24"/>
        </w:rPr>
        <w:t>ir (Haas, 1965).</w:t>
      </w:r>
      <w:r w:rsidR="00EB2787" w:rsidRPr="000A40E6">
        <w:rPr>
          <w:rFonts w:cs="Times New Roman"/>
          <w:szCs w:val="24"/>
        </w:rPr>
        <w:t xml:space="preserve"> </w:t>
      </w:r>
      <w:r w:rsidRPr="000A40E6">
        <w:rPr>
          <w:rFonts w:cs="Times New Roman"/>
          <w:szCs w:val="24"/>
        </w:rPr>
        <w:t xml:space="preserve">Posterior çapraz kapanış </w:t>
      </w:r>
      <w:r w:rsidR="005D65EB" w:rsidRPr="000A40E6">
        <w:rPr>
          <w:rFonts w:cs="Times New Roman"/>
          <w:szCs w:val="24"/>
        </w:rPr>
        <w:t>insidansı farklı toplumlarda %</w:t>
      </w:r>
      <w:proofErr w:type="gramStart"/>
      <w:r w:rsidR="005D65EB" w:rsidRPr="000A40E6">
        <w:rPr>
          <w:rFonts w:cs="Times New Roman"/>
          <w:szCs w:val="24"/>
        </w:rPr>
        <w:t>2.</w:t>
      </w:r>
      <w:r w:rsidRPr="000A40E6">
        <w:rPr>
          <w:rFonts w:cs="Times New Roman"/>
          <w:szCs w:val="24"/>
        </w:rPr>
        <w:t>7</w:t>
      </w:r>
      <w:proofErr w:type="gramEnd"/>
      <w:r w:rsidR="005D65EB" w:rsidRPr="000A40E6">
        <w:rPr>
          <w:rFonts w:cs="Times New Roman"/>
          <w:szCs w:val="24"/>
        </w:rPr>
        <w:t xml:space="preserve"> ile %18.</w:t>
      </w:r>
      <w:r w:rsidR="00841ACA" w:rsidRPr="000A40E6">
        <w:rPr>
          <w:rFonts w:cs="Times New Roman"/>
          <w:szCs w:val="24"/>
        </w:rPr>
        <w:t>2 arasında bulunmuştur</w:t>
      </w:r>
      <w:r w:rsidR="00EB2787" w:rsidRPr="000A40E6">
        <w:rPr>
          <w:rFonts w:cs="Times New Roman"/>
          <w:szCs w:val="24"/>
        </w:rPr>
        <w:t xml:space="preserve"> </w:t>
      </w:r>
      <w:r w:rsidRPr="000A40E6">
        <w:rPr>
          <w:rFonts w:cs="Times New Roman"/>
          <w:szCs w:val="24"/>
        </w:rPr>
        <w:t>(Ferrario ve diğerler</w:t>
      </w:r>
      <w:r w:rsidR="0073663B" w:rsidRPr="000A40E6">
        <w:rPr>
          <w:rFonts w:cs="Times New Roman"/>
          <w:szCs w:val="24"/>
        </w:rPr>
        <w:t>i, 2003).</w:t>
      </w:r>
      <w:r w:rsidR="00EB2787" w:rsidRPr="000A40E6">
        <w:rPr>
          <w:rFonts w:cs="Times New Roman"/>
          <w:szCs w:val="24"/>
        </w:rPr>
        <w:t xml:space="preserve"> </w:t>
      </w:r>
      <w:r w:rsidR="005D65EB" w:rsidRPr="000A40E6">
        <w:rPr>
          <w:rFonts w:cs="Times New Roman"/>
          <w:szCs w:val="24"/>
        </w:rPr>
        <w:t>Türk toplumunda ise bu oran %</w:t>
      </w:r>
      <w:proofErr w:type="gramStart"/>
      <w:r w:rsidR="005D65EB" w:rsidRPr="000A40E6">
        <w:rPr>
          <w:rFonts w:cs="Times New Roman"/>
          <w:szCs w:val="24"/>
        </w:rPr>
        <w:t>2.</w:t>
      </w:r>
      <w:r w:rsidRPr="000A40E6">
        <w:rPr>
          <w:rFonts w:cs="Times New Roman"/>
          <w:szCs w:val="24"/>
        </w:rPr>
        <w:t>7</w:t>
      </w:r>
      <w:proofErr w:type="gramEnd"/>
      <w:r w:rsidRPr="000A40E6">
        <w:rPr>
          <w:rFonts w:cs="Times New Roman"/>
          <w:szCs w:val="24"/>
        </w:rPr>
        <w:t xml:space="preserve"> ola</w:t>
      </w:r>
      <w:r w:rsidR="00CD11D0" w:rsidRPr="000A40E6">
        <w:rPr>
          <w:rFonts w:cs="Times New Roman"/>
          <w:szCs w:val="24"/>
        </w:rPr>
        <w:t>rak bildirilmiştir (Sandıkçıoğlu</w:t>
      </w:r>
      <w:r w:rsidR="0073663B" w:rsidRPr="000A40E6">
        <w:rPr>
          <w:rFonts w:cs="Times New Roman"/>
          <w:szCs w:val="24"/>
        </w:rPr>
        <w:t xml:space="preserve"> ve Hazar,  1997). </w:t>
      </w:r>
      <w:r w:rsidRPr="000A40E6">
        <w:rPr>
          <w:rFonts w:cs="Times New Roman"/>
          <w:szCs w:val="24"/>
        </w:rPr>
        <w:t>Posterior çapraz kapanış, süt v</w:t>
      </w:r>
      <w:r w:rsidR="005D65EB" w:rsidRPr="000A40E6">
        <w:rPr>
          <w:rFonts w:cs="Times New Roman"/>
          <w:szCs w:val="24"/>
        </w:rPr>
        <w:t>e karışık dişlenme döneminde %</w:t>
      </w:r>
      <w:proofErr w:type="gramStart"/>
      <w:r w:rsidR="005D65EB" w:rsidRPr="000A40E6">
        <w:rPr>
          <w:rFonts w:cs="Times New Roman"/>
          <w:szCs w:val="24"/>
        </w:rPr>
        <w:t>7.</w:t>
      </w:r>
      <w:r w:rsidRPr="000A40E6">
        <w:rPr>
          <w:rFonts w:cs="Times New Roman"/>
          <w:szCs w:val="24"/>
        </w:rPr>
        <w:t>5</w:t>
      </w:r>
      <w:proofErr w:type="gramEnd"/>
      <w:r w:rsidRPr="000A40E6">
        <w:rPr>
          <w:rFonts w:cs="Times New Roman"/>
          <w:szCs w:val="24"/>
        </w:rPr>
        <w:t xml:space="preserve"> (Keski-Nis</w:t>
      </w:r>
      <w:r w:rsidR="005D65EB" w:rsidRPr="000A40E6">
        <w:rPr>
          <w:rFonts w:cs="Times New Roman"/>
          <w:szCs w:val="24"/>
        </w:rPr>
        <w:t>ula ve diğerleri, 2003) ile %22.</w:t>
      </w:r>
      <w:r w:rsidRPr="000A40E6">
        <w:rPr>
          <w:rFonts w:cs="Times New Roman"/>
          <w:szCs w:val="24"/>
        </w:rPr>
        <w:t>2 (Tausche ve diğerleri, 2004</w:t>
      </w:r>
      <w:r w:rsidR="005D65EB" w:rsidRPr="000A40E6">
        <w:rPr>
          <w:rFonts w:cs="Times New Roman"/>
          <w:szCs w:val="24"/>
        </w:rPr>
        <w:t>), daimi dişlenme döneminde %10.2 ile %14.</w:t>
      </w:r>
      <w:r w:rsidRPr="000A40E6">
        <w:rPr>
          <w:rFonts w:cs="Times New Roman"/>
          <w:szCs w:val="24"/>
        </w:rPr>
        <w:t>4 prevalans oranlarıyla yayg</w:t>
      </w:r>
      <w:r w:rsidR="00D46DD2" w:rsidRPr="000A40E6">
        <w:rPr>
          <w:rFonts w:cs="Times New Roman"/>
          <w:szCs w:val="24"/>
        </w:rPr>
        <w:t>ın görülen bir maloklüzyondur (</w:t>
      </w:r>
      <w:r w:rsidR="0073663B" w:rsidRPr="000A40E6">
        <w:rPr>
          <w:rFonts w:cs="Times New Roman"/>
          <w:szCs w:val="24"/>
        </w:rPr>
        <w:t>Jonsson ve diğerleri, 2007).</w:t>
      </w:r>
      <w:r w:rsidR="00141C8A" w:rsidRPr="000A40E6">
        <w:rPr>
          <w:rFonts w:cs="Times New Roman"/>
          <w:szCs w:val="24"/>
        </w:rPr>
        <w:t xml:space="preserve"> </w:t>
      </w:r>
      <w:proofErr w:type="gramStart"/>
      <w:r w:rsidRPr="000A40E6">
        <w:rPr>
          <w:rFonts w:cs="Times New Roman"/>
          <w:szCs w:val="24"/>
        </w:rPr>
        <w:t>Transversal  yöndeki</w:t>
      </w:r>
      <w:proofErr w:type="gramEnd"/>
      <w:r w:rsidRPr="000A40E6">
        <w:rPr>
          <w:rFonts w:cs="Times New Roman"/>
          <w:szCs w:val="24"/>
        </w:rPr>
        <w:t xml:space="preserve"> anomalilerin klinikte görülme şekli ve etiyolojisi ne olursa olsun erken dönemde tedavi edilmesi gereken anomaliler olduğu birçok araştırmacı tarafından </w:t>
      </w:r>
      <w:r w:rsidR="001339C3" w:rsidRPr="000A40E6">
        <w:rPr>
          <w:rFonts w:cs="Times New Roman"/>
          <w:szCs w:val="24"/>
        </w:rPr>
        <w:t xml:space="preserve">öne sürülmüştür </w:t>
      </w:r>
      <w:r w:rsidRPr="000A40E6">
        <w:rPr>
          <w:rFonts w:cs="Times New Roman"/>
          <w:szCs w:val="24"/>
        </w:rPr>
        <w:t>(</w:t>
      </w:r>
      <w:r w:rsidR="00B725CD" w:rsidRPr="000A40E6">
        <w:rPr>
          <w:rFonts w:cs="Times New Roman"/>
          <w:szCs w:val="24"/>
        </w:rPr>
        <w:t>d</w:t>
      </w:r>
      <w:r w:rsidR="00D15924" w:rsidRPr="000A40E6">
        <w:rPr>
          <w:rFonts w:cs="Times New Roman"/>
          <w:szCs w:val="24"/>
        </w:rPr>
        <w:t>a Silva Filh</w:t>
      </w:r>
      <w:r w:rsidR="009F6407" w:rsidRPr="000A40E6">
        <w:rPr>
          <w:rFonts w:cs="Times New Roman"/>
          <w:szCs w:val="24"/>
        </w:rPr>
        <w:t>o ve diğerleri, 1991;</w:t>
      </w:r>
      <w:r w:rsidRPr="000A40E6">
        <w:rPr>
          <w:rFonts w:cs="Times New Roman"/>
          <w:szCs w:val="24"/>
        </w:rPr>
        <w:t xml:space="preserve"> </w:t>
      </w:r>
      <w:r w:rsidR="00B725CD" w:rsidRPr="000A40E6">
        <w:rPr>
          <w:rFonts w:cs="Times New Roman"/>
          <w:szCs w:val="24"/>
        </w:rPr>
        <w:t xml:space="preserve">Hazar, 1997; Kantomaa, 1986; Kutin ve Hawes, 1969;  </w:t>
      </w:r>
      <w:r w:rsidRPr="000A40E6">
        <w:rPr>
          <w:rFonts w:cs="Times New Roman"/>
          <w:szCs w:val="24"/>
        </w:rPr>
        <w:t>Sandıkçıoğlu ve Marsh</w:t>
      </w:r>
      <w:r w:rsidR="009F6407" w:rsidRPr="000A40E6">
        <w:rPr>
          <w:rFonts w:cs="Times New Roman"/>
          <w:szCs w:val="24"/>
        </w:rPr>
        <w:t>all ve diğerleri,</w:t>
      </w:r>
      <w:r w:rsidR="0073663B" w:rsidRPr="000A40E6">
        <w:rPr>
          <w:rFonts w:cs="Times New Roman"/>
          <w:szCs w:val="24"/>
        </w:rPr>
        <w:t xml:space="preserve"> 2005)</w:t>
      </w:r>
      <w:r w:rsidR="00141C8A" w:rsidRPr="000A40E6">
        <w:rPr>
          <w:rFonts w:cs="Times New Roman"/>
          <w:szCs w:val="24"/>
        </w:rPr>
        <w:t>.</w:t>
      </w:r>
    </w:p>
    <w:p w14:paraId="12110D31" w14:textId="0C2DECEA" w:rsidR="00010BE8" w:rsidRPr="000A40E6" w:rsidRDefault="00010BE8" w:rsidP="00F756C3">
      <w:pPr>
        <w:suppressAutoHyphens/>
        <w:spacing w:after="120"/>
        <w:rPr>
          <w:rFonts w:cs="Times New Roman"/>
          <w:szCs w:val="24"/>
        </w:rPr>
      </w:pPr>
      <w:r w:rsidRPr="000A40E6">
        <w:rPr>
          <w:rFonts w:cs="Times New Roman"/>
          <w:szCs w:val="24"/>
        </w:rPr>
        <w:t xml:space="preserve">Maksiller transversal uyumsuzlukları olan hastalarda en yaygın tedavi yöntemi olan rapid maksiller ekspansiyon (RME), </w:t>
      </w:r>
      <w:r w:rsidR="006A6E2B" w:rsidRPr="000A40E6">
        <w:rPr>
          <w:rFonts w:cs="Times New Roman"/>
          <w:szCs w:val="24"/>
        </w:rPr>
        <w:t xml:space="preserve">ağır </w:t>
      </w:r>
      <w:r w:rsidRPr="000A40E6">
        <w:rPr>
          <w:rFonts w:cs="Times New Roman"/>
          <w:szCs w:val="24"/>
        </w:rPr>
        <w:t xml:space="preserve">kuvvetler yoluyla midpalatal süturun açılmasını içeren bir ekspansiyon türüdür (Ahrari ve Eslami, 2011). RME ile maksiller darlığı tedavi etmek amacıyla günümüze kadar çok farklı aparey </w:t>
      </w:r>
      <w:proofErr w:type="gramStart"/>
      <w:r w:rsidRPr="000A40E6">
        <w:rPr>
          <w:rFonts w:cs="Times New Roman"/>
          <w:szCs w:val="24"/>
        </w:rPr>
        <w:t>dizaynları</w:t>
      </w:r>
      <w:proofErr w:type="gramEnd"/>
      <w:r w:rsidRPr="000A40E6">
        <w:rPr>
          <w:rFonts w:cs="Times New Roman"/>
          <w:szCs w:val="24"/>
        </w:rPr>
        <w:t xml:space="preserve"> geliştirilmiştir. Bu apareylerden günümüzde en çok kullanılan diş ve doku destekli Haas apareyi ve diş destekli Hyrax apareyleridir (Timms</w:t>
      </w:r>
      <w:r w:rsidR="0034796C" w:rsidRPr="000A40E6">
        <w:rPr>
          <w:rFonts w:cs="Times New Roman"/>
          <w:szCs w:val="24"/>
        </w:rPr>
        <w:t>,</w:t>
      </w:r>
      <w:r w:rsidR="00CB1450" w:rsidRPr="000A40E6">
        <w:rPr>
          <w:rFonts w:cs="Times New Roman"/>
          <w:szCs w:val="24"/>
        </w:rPr>
        <w:t xml:space="preserve"> </w:t>
      </w:r>
      <w:r w:rsidRPr="000A40E6">
        <w:rPr>
          <w:rFonts w:cs="Times New Roman"/>
          <w:szCs w:val="24"/>
        </w:rPr>
        <w:t>1980).</w:t>
      </w:r>
    </w:p>
    <w:p w14:paraId="3333DAC2" w14:textId="58E68953" w:rsidR="00010BE8" w:rsidRPr="000A40E6" w:rsidRDefault="00010BE8" w:rsidP="00F756C3">
      <w:pPr>
        <w:suppressAutoHyphens/>
        <w:spacing w:after="120"/>
        <w:rPr>
          <w:rFonts w:cs="Times New Roman"/>
          <w:szCs w:val="24"/>
        </w:rPr>
      </w:pPr>
      <w:r w:rsidRPr="000A40E6">
        <w:rPr>
          <w:rFonts w:cs="Times New Roman"/>
          <w:szCs w:val="24"/>
        </w:rPr>
        <w:t xml:space="preserve">Ekspansiyon apareyleri genellikle 3 ile 10 pound aralığında ortopedik kuvvetler üretir (Saeed ve diğerleri, 2009). Bu </w:t>
      </w:r>
      <w:r w:rsidR="00D80E1C" w:rsidRPr="000A40E6">
        <w:rPr>
          <w:rFonts w:cs="Times New Roman"/>
          <w:szCs w:val="24"/>
        </w:rPr>
        <w:t>ağır</w:t>
      </w:r>
      <w:r w:rsidRPr="000A40E6">
        <w:rPr>
          <w:rFonts w:cs="Times New Roman"/>
          <w:szCs w:val="24"/>
        </w:rPr>
        <w:t xml:space="preserve"> kuvvetler maksiller yapılar tarafından tolere edilmezse, şiddetli nüks ve ankraj dişlerde devrilme ile karşılaşılabilir. Bu nedenle, elde edilen sonuçları korumak için kemiğin remodelingi tamamlanana kadar retansiyon apareylerinin kullanımı gereklidir (Vardimon ve diğerleri, 1998).</w:t>
      </w:r>
    </w:p>
    <w:p w14:paraId="4FDF2AD1" w14:textId="4D223CEA" w:rsidR="00010BE8" w:rsidRPr="000A40E6" w:rsidRDefault="00010BE8" w:rsidP="00F756C3">
      <w:pPr>
        <w:suppressAutoHyphens/>
        <w:spacing w:after="120"/>
        <w:rPr>
          <w:rFonts w:cs="Times New Roman"/>
          <w:szCs w:val="24"/>
        </w:rPr>
      </w:pPr>
      <w:r w:rsidRPr="000A40E6">
        <w:rPr>
          <w:rFonts w:cs="Times New Roman"/>
          <w:szCs w:val="24"/>
        </w:rPr>
        <w:t>Ekström ve diğerleri</w:t>
      </w:r>
      <w:r w:rsidR="009C71C2" w:rsidRPr="000A40E6">
        <w:rPr>
          <w:rFonts w:cs="Times New Roman"/>
          <w:szCs w:val="24"/>
        </w:rPr>
        <w:t xml:space="preserve"> (1977)</w:t>
      </w:r>
      <w:r w:rsidRPr="000A40E6">
        <w:rPr>
          <w:rFonts w:cs="Times New Roman"/>
          <w:szCs w:val="24"/>
        </w:rPr>
        <w:t>, genişletilmiş süturda 3. ayın sonunda</w:t>
      </w:r>
      <w:r w:rsidR="00D60F13" w:rsidRPr="000A40E6">
        <w:rPr>
          <w:rFonts w:cs="Times New Roman"/>
          <w:szCs w:val="24"/>
        </w:rPr>
        <w:t xml:space="preserve"> oldukça iyi </w:t>
      </w:r>
      <w:proofErr w:type="gramStart"/>
      <w:r w:rsidR="00D60F13" w:rsidRPr="000A40E6">
        <w:rPr>
          <w:rFonts w:cs="Times New Roman"/>
          <w:szCs w:val="24"/>
        </w:rPr>
        <w:t>bir  mineralizasyon</w:t>
      </w:r>
      <w:proofErr w:type="gramEnd"/>
      <w:r w:rsidR="00D60F13" w:rsidRPr="000A40E6">
        <w:rPr>
          <w:rFonts w:cs="Times New Roman"/>
          <w:szCs w:val="24"/>
        </w:rPr>
        <w:t xml:space="preserve"> </w:t>
      </w:r>
      <w:r w:rsidRPr="000A40E6">
        <w:rPr>
          <w:rFonts w:cs="Times New Roman"/>
          <w:szCs w:val="24"/>
        </w:rPr>
        <w:t>saptamış</w:t>
      </w:r>
      <w:r w:rsidR="00D60F13" w:rsidRPr="000A40E6">
        <w:rPr>
          <w:rFonts w:cs="Times New Roman"/>
          <w:szCs w:val="24"/>
        </w:rPr>
        <w:t>lardır</w:t>
      </w:r>
      <w:r w:rsidRPr="000A40E6">
        <w:rPr>
          <w:rFonts w:cs="Times New Roman"/>
          <w:szCs w:val="24"/>
        </w:rPr>
        <w:t xml:space="preserve">. Sadece midpalatal sütur reorganizasyonu değil, aynı zamanda maksilla ve yüz iskeletinin diğer kemiklerle yaptığı eklemlerde, </w:t>
      </w:r>
      <w:proofErr w:type="gramStart"/>
      <w:r w:rsidRPr="000A40E6">
        <w:rPr>
          <w:rFonts w:cs="Times New Roman"/>
          <w:szCs w:val="24"/>
        </w:rPr>
        <w:t>stabil</w:t>
      </w:r>
      <w:proofErr w:type="gramEnd"/>
      <w:r w:rsidRPr="000A40E6">
        <w:rPr>
          <w:rFonts w:cs="Times New Roman"/>
          <w:szCs w:val="24"/>
        </w:rPr>
        <w:t xml:space="preserve"> bir ilişkinin sağlanması da RME apareyinin retansiyon süresini belirleyecektir. Ayrıca, retansiyon sırasında tüm yapıların reorganizasyonu için gereken sürenin, aparey aktivasyonunun sona ermesinden sonra, kalan rezidüel yük miktarına da bağlı olduğu görülmektedir (Zimring ve Isaacson, 1965).</w:t>
      </w:r>
    </w:p>
    <w:p w14:paraId="3F7A85D1" w14:textId="1F2F1776" w:rsidR="00010BE8" w:rsidRPr="000A40E6" w:rsidRDefault="00010BE8" w:rsidP="00F756C3">
      <w:pPr>
        <w:suppressAutoHyphens/>
        <w:spacing w:after="120"/>
        <w:rPr>
          <w:rFonts w:cs="Times New Roman"/>
          <w:szCs w:val="24"/>
        </w:rPr>
      </w:pPr>
      <w:r w:rsidRPr="000A40E6">
        <w:rPr>
          <w:rFonts w:cs="Times New Roman"/>
          <w:szCs w:val="24"/>
        </w:rPr>
        <w:t>RME tedavisi, pubertal dönemden önce yapılırsa, RME'nin esas olarak iskeletsel etkilerinin görüldüğü, (Baccetti ve diğerleri, 2001) daha sonraki gelişim aşamalarında ise olası doku hasarı ile daha fazla dental etkinin beklenebileceği bildirilmiştir (Starnbach ve diğerleri, 1966). RME tedavisi, prepubertal dönemde yapıldığında bile dentoalv</w:t>
      </w:r>
      <w:r w:rsidR="008B2FC3" w:rsidRPr="000A40E6">
        <w:rPr>
          <w:rFonts w:cs="Times New Roman"/>
          <w:szCs w:val="24"/>
        </w:rPr>
        <w:t xml:space="preserve">eolar etkiler meydana gelebilir </w:t>
      </w:r>
      <w:r w:rsidRPr="000A40E6">
        <w:rPr>
          <w:rFonts w:cs="Times New Roman"/>
          <w:szCs w:val="24"/>
        </w:rPr>
        <w:t>(Baccetti ve diğerleri, 2001; Ballanti ve diğerleri, 2009</w:t>
      </w:r>
      <w:r w:rsidR="000472FA" w:rsidRPr="000A40E6">
        <w:rPr>
          <w:rFonts w:cs="Times New Roman"/>
          <w:szCs w:val="24"/>
        </w:rPr>
        <w:t>; Lagravère ve diğerleri, 2005a</w:t>
      </w:r>
      <w:r w:rsidRPr="000A40E6">
        <w:rPr>
          <w:rFonts w:cs="Times New Roman"/>
          <w:szCs w:val="24"/>
        </w:rPr>
        <w:t>).</w:t>
      </w:r>
    </w:p>
    <w:p w14:paraId="5A6C805C" w14:textId="6CA3C954" w:rsidR="00010BE8" w:rsidRPr="000A40E6" w:rsidRDefault="00010BE8" w:rsidP="00F756C3">
      <w:pPr>
        <w:suppressAutoHyphens/>
        <w:spacing w:after="120"/>
        <w:rPr>
          <w:rFonts w:cs="Times New Roman"/>
          <w:szCs w:val="24"/>
        </w:rPr>
      </w:pPr>
      <w:proofErr w:type="gramStart"/>
      <w:r w:rsidRPr="000A40E6">
        <w:rPr>
          <w:rFonts w:cs="Times New Roman"/>
          <w:szCs w:val="24"/>
        </w:rPr>
        <w:t>RME tedavisiyle ilgili daha önceki çalışmaların çoğu midpalatal sütur veya diğer sagittal ve vertikal değişiklikler üzerindeki etkil</w:t>
      </w:r>
      <w:r w:rsidR="00231CB6" w:rsidRPr="000A40E6">
        <w:rPr>
          <w:rFonts w:cs="Times New Roman"/>
          <w:szCs w:val="24"/>
        </w:rPr>
        <w:t>ere odaklanmış olsa da (Lagravè</w:t>
      </w:r>
      <w:r w:rsidRPr="000A40E6">
        <w:rPr>
          <w:rFonts w:cs="Times New Roman"/>
          <w:szCs w:val="24"/>
        </w:rPr>
        <w:t>re ve diğerleri, 2005) dentoalveolar etkilerle ilgili olarak, RME'nin aktif ekspansiyon periyodu sonunda ankraj dişlerin bukkal kemik kalınlığında azalma ve 6 aylık bir retansiyon süresinden sonra orijinal kemik kalınlığında önemli bir iyileşme bildirilmiştir (Ballanti ve diğerleri, 2009).</w:t>
      </w:r>
      <w:proofErr w:type="gramEnd"/>
    </w:p>
    <w:p w14:paraId="0F8536AC" w14:textId="626F95F2" w:rsidR="00010BE8" w:rsidRPr="000A40E6" w:rsidRDefault="004B4DE8" w:rsidP="00F756C3">
      <w:pPr>
        <w:suppressAutoHyphens/>
        <w:spacing w:after="120"/>
        <w:rPr>
          <w:rFonts w:cs="Times New Roman"/>
          <w:szCs w:val="24"/>
        </w:rPr>
      </w:pPr>
      <w:r w:rsidRPr="000A40E6">
        <w:rPr>
          <w:rFonts w:cs="Times New Roman"/>
          <w:szCs w:val="24"/>
        </w:rPr>
        <w:t>Lagravè</w:t>
      </w:r>
      <w:r w:rsidR="00010BE8" w:rsidRPr="000A40E6">
        <w:rPr>
          <w:rFonts w:cs="Times New Roman"/>
          <w:szCs w:val="24"/>
        </w:rPr>
        <w:t>re ve diğerleri</w:t>
      </w:r>
      <w:r w:rsidR="00BA6F04" w:rsidRPr="000A40E6">
        <w:rPr>
          <w:rFonts w:cs="Times New Roman"/>
          <w:szCs w:val="24"/>
        </w:rPr>
        <w:t xml:space="preserve"> (2005)</w:t>
      </w:r>
      <w:r w:rsidR="00010BE8" w:rsidRPr="000A40E6">
        <w:rPr>
          <w:rFonts w:cs="Times New Roman"/>
          <w:szCs w:val="24"/>
        </w:rPr>
        <w:t>, başlangıçta elde edilen ekspansiyon miktarının yaklaşık %25'inin uzun vadede sabit kaldığını bildirmişlerdi</w:t>
      </w:r>
      <w:r w:rsidR="00BA6F04" w:rsidRPr="000A40E6">
        <w:rPr>
          <w:rFonts w:cs="Times New Roman"/>
          <w:szCs w:val="24"/>
        </w:rPr>
        <w:t>r</w:t>
      </w:r>
      <w:r w:rsidR="00010BE8" w:rsidRPr="000A40E6">
        <w:rPr>
          <w:rFonts w:cs="Times New Roman"/>
          <w:szCs w:val="24"/>
        </w:rPr>
        <w:t>. Klinisyenler, elde edilen sonucu</w:t>
      </w:r>
      <w:r w:rsidR="00AB1A24" w:rsidRPr="000A40E6">
        <w:rPr>
          <w:rFonts w:cs="Times New Roman"/>
          <w:szCs w:val="24"/>
        </w:rPr>
        <w:t>n</w:t>
      </w:r>
      <w:r w:rsidR="00010BE8" w:rsidRPr="000A40E6">
        <w:rPr>
          <w:rFonts w:cs="Times New Roman"/>
          <w:szCs w:val="24"/>
        </w:rPr>
        <w:t xml:space="preserve"> </w:t>
      </w:r>
      <w:proofErr w:type="gramStart"/>
      <w:r w:rsidR="00010BE8" w:rsidRPr="000A40E6">
        <w:rPr>
          <w:rFonts w:cs="Times New Roman"/>
          <w:szCs w:val="24"/>
        </w:rPr>
        <w:t>stabili</w:t>
      </w:r>
      <w:r w:rsidR="00AB1A24" w:rsidRPr="000A40E6">
        <w:rPr>
          <w:rFonts w:cs="Times New Roman"/>
          <w:szCs w:val="24"/>
        </w:rPr>
        <w:t>zasyonu</w:t>
      </w:r>
      <w:proofErr w:type="gramEnd"/>
      <w:r w:rsidR="00010BE8" w:rsidRPr="000A40E6">
        <w:rPr>
          <w:rFonts w:cs="Times New Roman"/>
          <w:szCs w:val="24"/>
        </w:rPr>
        <w:t xml:space="preserve"> için yeterli bir retansiyon süresi hakkında karar vermek durumundadırlar (Ferris ve diğerleri, 2005). Literatürde 3 ile 6 ay arasında değişen minimum retansiyon süresi konusunda </w:t>
      </w:r>
      <w:r w:rsidR="00AB1A24" w:rsidRPr="000A40E6">
        <w:rPr>
          <w:rFonts w:cs="Times New Roman"/>
          <w:szCs w:val="24"/>
        </w:rPr>
        <w:t xml:space="preserve">net </w:t>
      </w:r>
      <w:r w:rsidR="00010BE8" w:rsidRPr="000A40E6">
        <w:rPr>
          <w:rFonts w:cs="Times New Roman"/>
          <w:szCs w:val="24"/>
        </w:rPr>
        <w:t>bir fikir birliği</w:t>
      </w:r>
      <w:r w:rsidR="00AB1A24" w:rsidRPr="000A40E6">
        <w:rPr>
          <w:rFonts w:cs="Times New Roman"/>
          <w:szCs w:val="24"/>
        </w:rPr>
        <w:t xml:space="preserve"> bulunmamaktadır</w:t>
      </w:r>
      <w:r w:rsidR="00010BE8" w:rsidRPr="000A40E6">
        <w:rPr>
          <w:rFonts w:cs="Times New Roman"/>
          <w:szCs w:val="24"/>
        </w:rPr>
        <w:t xml:space="preserve"> (Bishara ve Staley, 1987</w:t>
      </w:r>
      <w:r w:rsidR="008B2FC3" w:rsidRPr="000A40E6">
        <w:rPr>
          <w:rFonts w:cs="Times New Roman"/>
          <w:szCs w:val="24"/>
        </w:rPr>
        <w:t>; Franchi ve diğerleri, 2010; Korbmacher ve diğerleri, 2005; Küçükkeleş ve Ceylanoğlu, 2003</w:t>
      </w:r>
      <w:r w:rsidR="00010BE8" w:rsidRPr="000A40E6">
        <w:rPr>
          <w:rFonts w:cs="Times New Roman"/>
          <w:szCs w:val="24"/>
        </w:rPr>
        <w:t>)</w:t>
      </w:r>
      <w:r w:rsidR="00AB1A24" w:rsidRPr="000A40E6">
        <w:rPr>
          <w:rFonts w:cs="Times New Roman"/>
          <w:szCs w:val="24"/>
        </w:rPr>
        <w:t>.</w:t>
      </w:r>
    </w:p>
    <w:p w14:paraId="048F1185" w14:textId="6DD85D9F" w:rsidR="00010BE8" w:rsidRPr="000A40E6" w:rsidRDefault="00010BE8" w:rsidP="00F756C3">
      <w:pPr>
        <w:suppressAutoHyphens/>
        <w:spacing w:after="120"/>
        <w:rPr>
          <w:rFonts w:cs="Times New Roman"/>
          <w:szCs w:val="24"/>
        </w:rPr>
      </w:pPr>
      <w:r w:rsidRPr="000A40E6">
        <w:rPr>
          <w:rFonts w:cs="Times New Roman"/>
          <w:szCs w:val="24"/>
        </w:rPr>
        <w:t>Ortodontik kuvvetler periodontal doku vaskülaritesini değiştirerek çeşitli sinyal moleküllerinin ve metabolitlerin sentezine yol açar. Serbest bırakılan moleküller, dişlerin çevresinde hücresel tepkiler oluşturarak, doku birikimi veya rezorpsiyonu için uygun bir mikrobiyolojik ortam sağlar (Krishnan ve Davidovitch, 2006). Mekanik kuvvete yanıt olarak, periodontal ligamentin bir tarafında basınç ve karşı tarafında gerilim meydana gelir. Bu nedenle, katabolik değişiklikler ağırlıklı olarak basınç taraf</w:t>
      </w:r>
      <w:r w:rsidR="00AB1A24" w:rsidRPr="000A40E6">
        <w:rPr>
          <w:rFonts w:cs="Times New Roman"/>
          <w:szCs w:val="24"/>
        </w:rPr>
        <w:t>ında</w:t>
      </w:r>
      <w:r w:rsidRPr="000A40E6">
        <w:rPr>
          <w:rFonts w:cs="Times New Roman"/>
          <w:szCs w:val="24"/>
        </w:rPr>
        <w:t>, anabolik de</w:t>
      </w:r>
      <w:r w:rsidR="00467E80" w:rsidRPr="000A40E6">
        <w:rPr>
          <w:rFonts w:cs="Times New Roman"/>
          <w:szCs w:val="24"/>
        </w:rPr>
        <w:t>ğişiklikler ise gerilim taraf</w:t>
      </w:r>
      <w:r w:rsidRPr="000A40E6">
        <w:rPr>
          <w:rFonts w:cs="Times New Roman"/>
          <w:szCs w:val="24"/>
        </w:rPr>
        <w:t>ında meydana gelir (Feller ve diğerleri, 2015; Krishnan ve Davidovich, 2009).</w:t>
      </w:r>
    </w:p>
    <w:p w14:paraId="7F9FD528" w14:textId="0D8BC0BD" w:rsidR="00010BE8" w:rsidRPr="000A40E6" w:rsidRDefault="00010BE8" w:rsidP="00F756C3">
      <w:pPr>
        <w:suppressAutoHyphens/>
        <w:spacing w:after="120"/>
        <w:rPr>
          <w:rFonts w:cs="Times New Roman"/>
          <w:szCs w:val="24"/>
        </w:rPr>
      </w:pPr>
      <w:r w:rsidRPr="000A40E6">
        <w:rPr>
          <w:rFonts w:cs="Times New Roman"/>
          <w:szCs w:val="24"/>
        </w:rPr>
        <w:t>Diş eti oluğu sıvısı (DOS) analizi, hücresel dinamikleri incelemek için yararlı ve invazif olmayan bir yöntemdir (Alhashimi ve diğerleri, 2001). Sitokinlerin, kemik remodelingindeki rolünü değerlendirmek için DOS'ta çeşitli biyo</w:t>
      </w:r>
      <w:r w:rsidR="00983002" w:rsidRPr="000A40E6">
        <w:rPr>
          <w:rFonts w:cs="Times New Roman"/>
          <w:szCs w:val="24"/>
        </w:rPr>
        <w:t xml:space="preserve">markerlar </w:t>
      </w:r>
      <w:r w:rsidRPr="000A40E6">
        <w:rPr>
          <w:rFonts w:cs="Times New Roman"/>
          <w:szCs w:val="24"/>
        </w:rPr>
        <w:t>tespit edilebilir (Feller ve diğerleri, 2015). Literatürde RME tedavisi sırasında periodontal dokuların biyokimyasal tepkisini değerlendiren birçok çalışma bulunmaktadır (</w:t>
      </w:r>
      <w:r w:rsidR="008E718A" w:rsidRPr="000A40E6">
        <w:rPr>
          <w:rFonts w:cs="Times New Roman"/>
          <w:szCs w:val="24"/>
        </w:rPr>
        <w:t>Özel ve diğerleri, 2018; Perinetti ve diğerleri, 2015; Topal ve diğerleri, 2019;</w:t>
      </w:r>
      <w:r w:rsidR="008E718A" w:rsidRPr="000A40E6">
        <w:rPr>
          <w:rFonts w:cs="Times New Roman"/>
          <w:b/>
          <w:szCs w:val="24"/>
        </w:rPr>
        <w:t xml:space="preserve"> </w:t>
      </w:r>
      <w:r w:rsidRPr="000A40E6">
        <w:rPr>
          <w:rFonts w:cs="Times New Roman"/>
          <w:szCs w:val="24"/>
        </w:rPr>
        <w:t>Tzannetou ve diğerleri, 199</w:t>
      </w:r>
      <w:r w:rsidR="008E718A" w:rsidRPr="000A40E6">
        <w:rPr>
          <w:rFonts w:cs="Times New Roman"/>
          <w:szCs w:val="24"/>
        </w:rPr>
        <w:t>9; Tzannetou ve diğerleri, 2008</w:t>
      </w:r>
      <w:r w:rsidRPr="000A40E6">
        <w:rPr>
          <w:rFonts w:cs="Times New Roman"/>
          <w:szCs w:val="24"/>
        </w:rPr>
        <w:t>).</w:t>
      </w:r>
    </w:p>
    <w:p w14:paraId="31C1686D" w14:textId="4380185E" w:rsidR="00010BE8" w:rsidRPr="000A40E6" w:rsidRDefault="00010BE8" w:rsidP="00F756C3">
      <w:pPr>
        <w:suppressAutoHyphens/>
        <w:spacing w:after="120"/>
        <w:rPr>
          <w:rFonts w:cs="Times New Roman"/>
          <w:szCs w:val="24"/>
        </w:rPr>
      </w:pPr>
      <w:r w:rsidRPr="000A40E6">
        <w:rPr>
          <w:rFonts w:cs="Times New Roman"/>
          <w:szCs w:val="24"/>
        </w:rPr>
        <w:t>Bu prospekti</w:t>
      </w:r>
      <w:r w:rsidR="00F74F3E" w:rsidRPr="000A40E6">
        <w:rPr>
          <w:rFonts w:cs="Times New Roman"/>
          <w:szCs w:val="24"/>
        </w:rPr>
        <w:t>f klinik çalışma</w:t>
      </w:r>
      <w:r w:rsidRPr="000A40E6">
        <w:rPr>
          <w:rFonts w:cs="Times New Roman"/>
          <w:szCs w:val="24"/>
        </w:rPr>
        <w:t>nın amacı, RME’nin 3 aylık ve 6 aylık retansiyon dönemleri sonrasında kemik remodelingini DOS’ta</w:t>
      </w:r>
      <w:r w:rsidR="00C92B2B" w:rsidRPr="000A40E6">
        <w:rPr>
          <w:rFonts w:cs="Times New Roman"/>
          <w:szCs w:val="24"/>
        </w:rPr>
        <w:t xml:space="preserve"> değerlendirmektir. A</w:t>
      </w:r>
      <w:r w:rsidRPr="000A40E6">
        <w:rPr>
          <w:rFonts w:cs="Times New Roman"/>
          <w:szCs w:val="24"/>
        </w:rPr>
        <w:t xml:space="preserve">ynı zamanda bu çalışma ile ekspansiyon yapılan maksillanın relapsının önlenmesi için uygun retansiyon süresinin belirlenmesi ve </w:t>
      </w:r>
      <w:proofErr w:type="gramStart"/>
      <w:r w:rsidRPr="000A40E6">
        <w:rPr>
          <w:rFonts w:cs="Times New Roman"/>
          <w:szCs w:val="24"/>
        </w:rPr>
        <w:t>literatüre</w:t>
      </w:r>
      <w:proofErr w:type="gramEnd"/>
      <w:r w:rsidRPr="000A40E6">
        <w:rPr>
          <w:rFonts w:cs="Times New Roman"/>
          <w:szCs w:val="24"/>
        </w:rPr>
        <w:t xml:space="preserve"> katkı sağlanması </w:t>
      </w:r>
      <w:r w:rsidR="00C92B2B" w:rsidRPr="000A40E6">
        <w:rPr>
          <w:rFonts w:cs="Times New Roman"/>
          <w:szCs w:val="24"/>
        </w:rPr>
        <w:t xml:space="preserve">da </w:t>
      </w:r>
      <w:r w:rsidRPr="000A40E6">
        <w:rPr>
          <w:rFonts w:cs="Times New Roman"/>
          <w:szCs w:val="24"/>
        </w:rPr>
        <w:t>amaçlanmaktadır.</w:t>
      </w:r>
    </w:p>
    <w:p w14:paraId="63CFF20A" w14:textId="208C8E81" w:rsidR="00010BE8" w:rsidRPr="000A40E6" w:rsidRDefault="00010BE8" w:rsidP="00F756C3">
      <w:pPr>
        <w:suppressAutoHyphens/>
        <w:spacing w:after="120"/>
        <w:rPr>
          <w:rFonts w:cs="Times New Roman"/>
          <w:szCs w:val="24"/>
        </w:rPr>
      </w:pPr>
      <w:r w:rsidRPr="000A40E6">
        <w:rPr>
          <w:rFonts w:cs="Times New Roman"/>
          <w:szCs w:val="24"/>
        </w:rPr>
        <w:t xml:space="preserve">Çalışmamızın başlangıç hipotezi; ‘3 aylık ve 6 aylık retansiyon dönemleri </w:t>
      </w:r>
      <w:r w:rsidR="00AE5164" w:rsidRPr="000A40E6">
        <w:rPr>
          <w:rFonts w:cs="Times New Roman"/>
          <w:szCs w:val="24"/>
        </w:rPr>
        <w:t>ile</w:t>
      </w:r>
      <w:r w:rsidRPr="000A40E6">
        <w:rPr>
          <w:rFonts w:cs="Times New Roman"/>
          <w:szCs w:val="24"/>
        </w:rPr>
        <w:t xml:space="preserve"> RME’nin kemik metabolik aktiviteleri </w:t>
      </w:r>
      <w:r w:rsidR="0027137B" w:rsidRPr="000A40E6">
        <w:rPr>
          <w:rFonts w:cs="Times New Roman"/>
          <w:szCs w:val="24"/>
        </w:rPr>
        <w:t>arasında bir</w:t>
      </w:r>
      <w:r w:rsidRPr="000A40E6">
        <w:rPr>
          <w:rFonts w:cs="Times New Roman"/>
          <w:szCs w:val="24"/>
        </w:rPr>
        <w:t xml:space="preserve"> </w:t>
      </w:r>
      <w:proofErr w:type="gramStart"/>
      <w:r w:rsidRPr="000A40E6">
        <w:rPr>
          <w:rFonts w:cs="Times New Roman"/>
          <w:szCs w:val="24"/>
        </w:rPr>
        <w:t>korelasyon</w:t>
      </w:r>
      <w:proofErr w:type="gramEnd"/>
      <w:r w:rsidRPr="000A40E6">
        <w:rPr>
          <w:rFonts w:cs="Times New Roman"/>
          <w:szCs w:val="24"/>
        </w:rPr>
        <w:t xml:space="preserve"> gözlenmemektedir’ şeklinde kurulmuştur.</w:t>
      </w:r>
    </w:p>
    <w:p w14:paraId="3B855EAC" w14:textId="005710A8" w:rsidR="00010BE8" w:rsidRPr="000A40E6" w:rsidRDefault="00010BE8" w:rsidP="00F756C3">
      <w:pPr>
        <w:suppressAutoHyphens/>
        <w:spacing w:after="120"/>
        <w:rPr>
          <w:rFonts w:cs="Times New Roman"/>
          <w:szCs w:val="24"/>
        </w:rPr>
      </w:pPr>
      <w:r w:rsidRPr="000A40E6">
        <w:rPr>
          <w:rFonts w:cs="Times New Roman"/>
          <w:szCs w:val="24"/>
        </w:rPr>
        <w:t xml:space="preserve">Çalışmamızın alternatif hipotezi ise; ‘3 aylık ve 6 aylık retansiyon dönemleri </w:t>
      </w:r>
      <w:r w:rsidR="00AE5164" w:rsidRPr="000A40E6">
        <w:rPr>
          <w:rFonts w:cs="Times New Roman"/>
          <w:szCs w:val="24"/>
        </w:rPr>
        <w:t>ile</w:t>
      </w:r>
      <w:r w:rsidRPr="000A40E6">
        <w:rPr>
          <w:rFonts w:cs="Times New Roman"/>
          <w:szCs w:val="24"/>
        </w:rPr>
        <w:t xml:space="preserve"> RME’nin kemik metabolik aktiviteleri </w:t>
      </w:r>
      <w:r w:rsidR="00AE5164" w:rsidRPr="000A40E6">
        <w:rPr>
          <w:rFonts w:cs="Times New Roman"/>
          <w:szCs w:val="24"/>
        </w:rPr>
        <w:t xml:space="preserve">arasında </w:t>
      </w:r>
      <w:r w:rsidR="00683DBB" w:rsidRPr="000A40E6">
        <w:rPr>
          <w:rFonts w:cs="Times New Roman"/>
          <w:szCs w:val="24"/>
        </w:rPr>
        <w:t xml:space="preserve">bir </w:t>
      </w:r>
      <w:proofErr w:type="gramStart"/>
      <w:r w:rsidRPr="000A40E6">
        <w:rPr>
          <w:rFonts w:cs="Times New Roman"/>
          <w:szCs w:val="24"/>
        </w:rPr>
        <w:t>korelasyon</w:t>
      </w:r>
      <w:proofErr w:type="gramEnd"/>
      <w:r w:rsidRPr="000A40E6">
        <w:rPr>
          <w:rFonts w:cs="Times New Roman"/>
          <w:szCs w:val="24"/>
        </w:rPr>
        <w:t xml:space="preserve"> gözlenmektedir’ şeklinde kurulmuştur.</w:t>
      </w:r>
    </w:p>
    <w:p w14:paraId="068DBBB0" w14:textId="77777777" w:rsidR="00D23DA8" w:rsidRPr="000A40E6" w:rsidRDefault="00D23DA8" w:rsidP="00F756C3">
      <w:pPr>
        <w:suppressAutoHyphens/>
        <w:spacing w:after="120"/>
        <w:rPr>
          <w:rFonts w:cs="Times New Roman"/>
          <w:szCs w:val="24"/>
        </w:rPr>
      </w:pPr>
    </w:p>
    <w:p w14:paraId="06660231" w14:textId="77777777" w:rsidR="00D23DA8" w:rsidRPr="000A40E6" w:rsidRDefault="00D23DA8" w:rsidP="00F756C3">
      <w:pPr>
        <w:suppressAutoHyphens/>
        <w:spacing w:after="120"/>
        <w:rPr>
          <w:rFonts w:cs="Times New Roman"/>
          <w:szCs w:val="24"/>
        </w:rPr>
      </w:pPr>
    </w:p>
    <w:p w14:paraId="126ECE92" w14:textId="77777777" w:rsidR="00D23DA8" w:rsidRPr="000A40E6" w:rsidRDefault="00D23DA8" w:rsidP="00F756C3">
      <w:pPr>
        <w:suppressAutoHyphens/>
        <w:spacing w:after="120"/>
        <w:rPr>
          <w:rFonts w:cs="Times New Roman"/>
          <w:szCs w:val="24"/>
        </w:rPr>
      </w:pPr>
    </w:p>
    <w:p w14:paraId="3FF7766E" w14:textId="77777777" w:rsidR="00D23DA8" w:rsidRPr="000A40E6" w:rsidRDefault="00D23DA8" w:rsidP="00F756C3">
      <w:pPr>
        <w:suppressAutoHyphens/>
        <w:spacing w:after="120"/>
        <w:rPr>
          <w:rFonts w:cs="Times New Roman"/>
          <w:szCs w:val="24"/>
        </w:rPr>
      </w:pPr>
    </w:p>
    <w:p w14:paraId="13872711" w14:textId="77777777" w:rsidR="00D23DA8" w:rsidRPr="000A40E6" w:rsidRDefault="00D23DA8" w:rsidP="00F756C3">
      <w:pPr>
        <w:suppressAutoHyphens/>
        <w:spacing w:after="120"/>
        <w:rPr>
          <w:rFonts w:cs="Times New Roman"/>
          <w:szCs w:val="24"/>
        </w:rPr>
      </w:pPr>
    </w:p>
    <w:p w14:paraId="42F26721" w14:textId="77777777" w:rsidR="00D23DA8" w:rsidRPr="000A40E6" w:rsidRDefault="00D23DA8" w:rsidP="00F756C3">
      <w:pPr>
        <w:suppressAutoHyphens/>
        <w:spacing w:after="120"/>
        <w:rPr>
          <w:rFonts w:cs="Times New Roman"/>
          <w:szCs w:val="24"/>
        </w:rPr>
      </w:pPr>
    </w:p>
    <w:p w14:paraId="686B406A" w14:textId="77777777" w:rsidR="009E54D6" w:rsidRPr="000A40E6" w:rsidRDefault="009E54D6" w:rsidP="00F756C3">
      <w:pPr>
        <w:suppressAutoHyphens/>
        <w:spacing w:after="120"/>
        <w:rPr>
          <w:rFonts w:cs="Times New Roman"/>
          <w:szCs w:val="24"/>
        </w:rPr>
      </w:pPr>
      <w:r w:rsidRPr="000A40E6">
        <w:rPr>
          <w:rFonts w:cs="Times New Roman"/>
          <w:szCs w:val="24"/>
        </w:rPr>
        <w:br w:type="page"/>
      </w:r>
    </w:p>
    <w:p w14:paraId="75932421" w14:textId="77777777" w:rsidR="006476FA" w:rsidRPr="000A40E6" w:rsidRDefault="006476FA" w:rsidP="00F756C3">
      <w:pPr>
        <w:suppressAutoHyphens/>
        <w:spacing w:after="120"/>
        <w:ind w:firstLine="0"/>
        <w:jc w:val="center"/>
        <w:rPr>
          <w:rFonts w:cs="Times New Roman"/>
          <w:b/>
          <w:sz w:val="28"/>
          <w:szCs w:val="24"/>
        </w:rPr>
      </w:pPr>
      <w:bookmarkStart w:id="26" w:name="_Toc136443375"/>
      <w:r w:rsidRPr="000A40E6">
        <w:rPr>
          <w:rFonts w:cs="Times New Roman"/>
          <w:b/>
          <w:sz w:val="28"/>
          <w:szCs w:val="24"/>
        </w:rPr>
        <w:t>2. GENEL BİLGİLER</w:t>
      </w:r>
      <w:bookmarkStart w:id="27" w:name="_Toc482344491"/>
      <w:bookmarkStart w:id="28" w:name="_Toc486288767"/>
      <w:bookmarkStart w:id="29" w:name="_Toc488004476"/>
      <w:bookmarkStart w:id="30" w:name="_Toc488176622"/>
      <w:bookmarkEnd w:id="1"/>
      <w:bookmarkEnd w:id="2"/>
      <w:bookmarkEnd w:id="26"/>
    </w:p>
    <w:p w14:paraId="28DE0F55" w14:textId="77777777" w:rsidR="00BB76F4" w:rsidRPr="000A40E6" w:rsidRDefault="00BB76F4" w:rsidP="00F756C3">
      <w:pPr>
        <w:suppressAutoHyphens/>
        <w:spacing w:after="120"/>
        <w:ind w:firstLine="0"/>
        <w:rPr>
          <w:rFonts w:cs="Times New Roman"/>
          <w:b/>
          <w:szCs w:val="24"/>
        </w:rPr>
      </w:pPr>
    </w:p>
    <w:p w14:paraId="69FF07C4" w14:textId="77777777" w:rsidR="00BB76F4" w:rsidRPr="000A40E6" w:rsidRDefault="00BB76F4" w:rsidP="00F756C3">
      <w:pPr>
        <w:suppressAutoHyphens/>
        <w:spacing w:after="120"/>
        <w:ind w:firstLine="0"/>
        <w:rPr>
          <w:rFonts w:cs="Times New Roman"/>
          <w:b/>
          <w:szCs w:val="24"/>
        </w:rPr>
      </w:pPr>
    </w:p>
    <w:p w14:paraId="77D9ECE0" w14:textId="77777777" w:rsidR="00FD1DD5" w:rsidRPr="000A40E6" w:rsidRDefault="00FD1DD5" w:rsidP="00F756C3">
      <w:pPr>
        <w:suppressAutoHyphens/>
        <w:spacing w:after="120"/>
        <w:ind w:firstLine="0"/>
        <w:rPr>
          <w:rFonts w:cs="Times New Roman"/>
          <w:b/>
          <w:szCs w:val="24"/>
        </w:rPr>
      </w:pPr>
      <w:bookmarkStart w:id="31" w:name="_Toc136443376"/>
      <w:bookmarkStart w:id="32" w:name="_Toc486288806"/>
      <w:bookmarkStart w:id="33" w:name="_Toc488004525"/>
      <w:bookmarkStart w:id="34" w:name="_Toc488176671"/>
      <w:bookmarkEnd w:id="27"/>
      <w:bookmarkEnd w:id="28"/>
      <w:bookmarkEnd w:id="29"/>
      <w:bookmarkEnd w:id="30"/>
      <w:r w:rsidRPr="000A40E6">
        <w:rPr>
          <w:rFonts w:cs="Times New Roman"/>
          <w:b/>
          <w:szCs w:val="24"/>
        </w:rPr>
        <w:t>2.1. Maksiller Darlığın Tanımı ve Etiyolojisi</w:t>
      </w:r>
      <w:bookmarkEnd w:id="31"/>
    </w:p>
    <w:p w14:paraId="7E61452F" w14:textId="77777777" w:rsidR="00FD1DD5" w:rsidRPr="000A40E6" w:rsidRDefault="00FD1DD5" w:rsidP="00F756C3">
      <w:pPr>
        <w:suppressAutoHyphens/>
        <w:spacing w:after="120"/>
        <w:rPr>
          <w:rFonts w:cs="Times New Roman"/>
          <w:b/>
          <w:szCs w:val="24"/>
        </w:rPr>
      </w:pPr>
    </w:p>
    <w:p w14:paraId="74A806FE" w14:textId="3F1EE6B0" w:rsidR="00FD1DD5" w:rsidRPr="000A40E6" w:rsidRDefault="00FD1DD5" w:rsidP="00F756C3">
      <w:pPr>
        <w:suppressAutoHyphens/>
        <w:spacing w:after="120"/>
        <w:rPr>
          <w:rFonts w:cs="Times New Roman"/>
          <w:szCs w:val="24"/>
        </w:rPr>
      </w:pPr>
      <w:r w:rsidRPr="000A40E6">
        <w:rPr>
          <w:rFonts w:cs="Times New Roman"/>
          <w:szCs w:val="24"/>
        </w:rPr>
        <w:t xml:space="preserve">Maksiller darlık gelişimsel bir maloklüzyondur. Genellikle patolojik bir nedenle ilgili olmayıp, büyüme ve gelişim paterninde meydana gelen bir </w:t>
      </w:r>
      <w:proofErr w:type="gramStart"/>
      <w:r w:rsidRPr="000A40E6">
        <w:rPr>
          <w:rFonts w:cs="Times New Roman"/>
          <w:szCs w:val="24"/>
        </w:rPr>
        <w:t>anomali</w:t>
      </w:r>
      <w:proofErr w:type="gramEnd"/>
      <w:r w:rsidRPr="000A40E6">
        <w:rPr>
          <w:rFonts w:cs="Times New Roman"/>
          <w:szCs w:val="24"/>
        </w:rPr>
        <w:t xml:space="preserve"> sebebiyle oluşur (Bishara ve Staley, 1987). Haas</w:t>
      </w:r>
      <w:r w:rsidR="00D53638" w:rsidRPr="000A40E6">
        <w:rPr>
          <w:rFonts w:cs="Times New Roman"/>
          <w:szCs w:val="24"/>
        </w:rPr>
        <w:t xml:space="preserve"> (1965)</w:t>
      </w:r>
      <w:r w:rsidRPr="000A40E6">
        <w:rPr>
          <w:rFonts w:cs="Times New Roman"/>
          <w:szCs w:val="24"/>
        </w:rPr>
        <w:t xml:space="preserve">, maksiller darlığı gerçek ve göreceli olmak üzere ikiye ayırmıştır. Gerçek maksiller darlığı maksiller posterior dişlerle birlikte daralmış maksillanın var olması şeklinde </w:t>
      </w:r>
      <w:r w:rsidR="00806618" w:rsidRPr="000A40E6">
        <w:rPr>
          <w:rFonts w:cs="Times New Roman"/>
          <w:szCs w:val="24"/>
        </w:rPr>
        <w:t>tanımlamıştır</w:t>
      </w:r>
      <w:r w:rsidR="008820E5" w:rsidRPr="000A40E6">
        <w:rPr>
          <w:rFonts w:cs="Times New Roman"/>
          <w:szCs w:val="24"/>
        </w:rPr>
        <w:t xml:space="preserve">. </w:t>
      </w:r>
      <w:r w:rsidRPr="000A40E6">
        <w:rPr>
          <w:rFonts w:cs="Times New Roman"/>
          <w:szCs w:val="24"/>
        </w:rPr>
        <w:t>Mandibulaya ve diğer yüz kemiklerine göre maksillanın boyutları olması gerekenden küçüktür. Göreceli maksiller darlıkta ise, maksilla kraniyal yapılar ile uyumludur ancak mandibula bu yapılara kı</w:t>
      </w:r>
      <w:r w:rsidR="00D53638" w:rsidRPr="000A40E6">
        <w:rPr>
          <w:rFonts w:cs="Times New Roman"/>
          <w:szCs w:val="24"/>
        </w:rPr>
        <w:t>yasla daha büyüktür</w:t>
      </w:r>
      <w:r w:rsidR="00B07FF9" w:rsidRPr="000A40E6">
        <w:rPr>
          <w:rFonts w:cs="Times New Roman"/>
          <w:szCs w:val="24"/>
        </w:rPr>
        <w:t>.</w:t>
      </w:r>
    </w:p>
    <w:p w14:paraId="6D214644" w14:textId="79EBAEBF" w:rsidR="00FD1DD5" w:rsidRPr="000A40E6" w:rsidRDefault="00FD1DD5" w:rsidP="00F756C3">
      <w:pPr>
        <w:suppressAutoHyphens/>
        <w:spacing w:after="120"/>
        <w:rPr>
          <w:rFonts w:cs="Times New Roman"/>
          <w:szCs w:val="24"/>
        </w:rPr>
      </w:pPr>
      <w:r w:rsidRPr="000A40E6">
        <w:rPr>
          <w:rFonts w:cs="Times New Roman"/>
          <w:szCs w:val="24"/>
        </w:rPr>
        <w:t>Maksiller darlık genellikle tek taraflı veya çift taraflı çapraz kapanış olarak görülür ve genetik ve/ veya çevresel</w:t>
      </w:r>
      <w:r w:rsidR="00525CEE" w:rsidRPr="000A40E6">
        <w:rPr>
          <w:rFonts w:cs="Times New Roman"/>
          <w:szCs w:val="24"/>
        </w:rPr>
        <w:t xml:space="preserve"> birçok faktöre bağlı olabilir. </w:t>
      </w:r>
      <w:r w:rsidRPr="000A40E6">
        <w:rPr>
          <w:rFonts w:cs="Times New Roman"/>
          <w:szCs w:val="24"/>
        </w:rPr>
        <w:t>Çoğu araştırmacı, maksiller darlığın multifaktöriyel etiyolojisine</w:t>
      </w:r>
      <w:r w:rsidR="002970AD" w:rsidRPr="000A40E6">
        <w:rPr>
          <w:rFonts w:cs="Times New Roman"/>
          <w:szCs w:val="24"/>
        </w:rPr>
        <w:t xml:space="preserve"> inanmaktadır (Proffit ve diğerleri</w:t>
      </w:r>
      <w:r w:rsidRPr="000A40E6">
        <w:rPr>
          <w:rFonts w:cs="Times New Roman"/>
          <w:szCs w:val="24"/>
        </w:rPr>
        <w:t>, 2000). Maksiller transversal yetersizlik, kraniyofasiyal bölgede en sık görülen iskeletsel problemlerden biridir (McNamara</w:t>
      </w:r>
      <w:r w:rsidR="002D78F1" w:rsidRPr="000A40E6">
        <w:rPr>
          <w:rFonts w:cs="Times New Roman"/>
          <w:szCs w:val="24"/>
        </w:rPr>
        <w:t>a</w:t>
      </w:r>
      <w:r w:rsidRPr="000A40E6">
        <w:rPr>
          <w:rFonts w:cs="Times New Roman"/>
          <w:szCs w:val="24"/>
        </w:rPr>
        <w:t>, 2000).</w:t>
      </w:r>
    </w:p>
    <w:p w14:paraId="3091929E" w14:textId="1EC8DB88" w:rsidR="00FD1DD5" w:rsidRPr="000A40E6" w:rsidRDefault="00FD1DD5" w:rsidP="00F756C3">
      <w:pPr>
        <w:suppressAutoHyphens/>
        <w:spacing w:after="120"/>
        <w:rPr>
          <w:rFonts w:cs="Times New Roman"/>
          <w:szCs w:val="24"/>
        </w:rPr>
      </w:pPr>
      <w:r w:rsidRPr="000A40E6">
        <w:rPr>
          <w:rFonts w:cs="Times New Roman"/>
          <w:szCs w:val="24"/>
        </w:rPr>
        <w:t>Posterior çapraz kapanış, maksiller posterior dişlerin bukkal tüberküllerinin mandibular posterior dişlerin lingual tüberkülleri ile temasta olması durumudur (Marshall ve diğerleri, 2005). Posterior çapraz kapanış sıklıkla maksiller dar</w:t>
      </w:r>
      <w:r w:rsidR="00731275" w:rsidRPr="000A40E6">
        <w:rPr>
          <w:rFonts w:cs="Times New Roman"/>
          <w:szCs w:val="24"/>
        </w:rPr>
        <w:t xml:space="preserve">lık nedeniyle </w:t>
      </w:r>
      <w:r w:rsidRPr="000A40E6">
        <w:rPr>
          <w:rFonts w:cs="Times New Roman"/>
          <w:szCs w:val="24"/>
        </w:rPr>
        <w:t>ortaya çıkar, maksillanın dar olması veya mandibulanın olması gerekenden daha geniş olmasına bağlı olarak görülebilir (Bishara ve Staley, 1987). Posterior çapraz kapanışın altta yatan sebebi kalıtımsal, gelişimsel, travmatik veya iyatrojenik (örn; yarık damak onarımı) temele sahip olabilen, transversal yöndeki maksiller iskeletsel yetersizlikten kaynakla</w:t>
      </w:r>
      <w:r w:rsidR="0075370B" w:rsidRPr="000A40E6">
        <w:rPr>
          <w:rFonts w:cs="Times New Roman"/>
          <w:szCs w:val="24"/>
        </w:rPr>
        <w:t>nır (Betts ve diğerleri, 1995).</w:t>
      </w:r>
      <w:r w:rsidR="00731275" w:rsidRPr="000A40E6">
        <w:rPr>
          <w:rFonts w:cs="Times New Roman"/>
          <w:szCs w:val="24"/>
        </w:rPr>
        <w:t xml:space="preserve"> </w:t>
      </w:r>
      <w:r w:rsidRPr="000A40E6">
        <w:rPr>
          <w:rFonts w:cs="Times New Roman"/>
          <w:szCs w:val="24"/>
        </w:rPr>
        <w:t>Ek nedenler arasında maksilla veya mandibulanın asimetrik büyümesi, maksiller ve mandibular bazal genişlikler arasındaki farklılık, süt dişlerinin erken kaybı veya uzun süreli retansiyonu, çapraşıklık, erüpsiyon sırasındaki anormallikler, burun solunumunda bozulma, diş anatomisindeki anormallikler ve temporomandibular eklemlerin yanlış fonksiyonu yer alır (Betts ve diğerleri, 1995). Parmak emme alışkanlığı da etiyolojik bir faktör olarak gösterilmiştir. Daimi dişlenme dönemine kadar devam eden parmak emme alışkanlığı, artan ağız içi basıncının bir sonucu olarak posterior çapraz kapanışın gelişmesiyle ilişkilendirilmiştir (Bell, 1982). Büyüme gelişim dönemi devam eden çocuklarda maksiller darlığın tedavisi sonucu, gelişmekte olan dişlerin doğal pozisyonlarında sürmesini hızlandırmak ve temporomandibular eklem bozukluklarını ortadan kaldırmak, gelecekteki karmaşık tedavileri azaltabilmektedir (Bell, 1982). Ancak Thilander ve diğerleri</w:t>
      </w:r>
      <w:r w:rsidR="002B6E46" w:rsidRPr="000A40E6">
        <w:rPr>
          <w:rFonts w:cs="Times New Roman"/>
          <w:szCs w:val="24"/>
        </w:rPr>
        <w:t xml:space="preserve"> (1984)</w:t>
      </w:r>
      <w:r w:rsidRPr="000A40E6">
        <w:rPr>
          <w:rFonts w:cs="Times New Roman"/>
          <w:szCs w:val="24"/>
        </w:rPr>
        <w:t>, süt dişlenme döneminde parmak emme alışkanlıklarının giderilmesi ve çocukluk çağında görülen kronik solunum yolu hastalıklarının tedavisi sonrası posterior çapraz kapanışın kendiliğinden düzelebilec</w:t>
      </w:r>
      <w:r w:rsidR="002B6E46" w:rsidRPr="000A40E6">
        <w:rPr>
          <w:rFonts w:cs="Times New Roman"/>
          <w:szCs w:val="24"/>
        </w:rPr>
        <w:t>eğini bildirmiştir</w:t>
      </w:r>
      <w:r w:rsidRPr="000A40E6">
        <w:rPr>
          <w:rFonts w:cs="Times New Roman"/>
          <w:szCs w:val="24"/>
        </w:rPr>
        <w:t>.</w:t>
      </w:r>
    </w:p>
    <w:p w14:paraId="5BB2913C" w14:textId="1A9AAFF3" w:rsidR="00FD1DD5" w:rsidRPr="000A40E6" w:rsidRDefault="00FD1DD5" w:rsidP="00F756C3">
      <w:pPr>
        <w:suppressAutoHyphens/>
        <w:spacing w:after="120"/>
        <w:rPr>
          <w:rFonts w:cs="Times New Roman"/>
          <w:szCs w:val="24"/>
        </w:rPr>
      </w:pPr>
      <w:r w:rsidRPr="000A40E6">
        <w:rPr>
          <w:rFonts w:cs="Times New Roman"/>
          <w:szCs w:val="24"/>
        </w:rPr>
        <w:t>Laptook'a</w:t>
      </w:r>
      <w:r w:rsidR="0096322F" w:rsidRPr="000A40E6">
        <w:rPr>
          <w:rFonts w:cs="Times New Roman"/>
          <w:szCs w:val="24"/>
        </w:rPr>
        <w:t xml:space="preserve"> (1981)</w:t>
      </w:r>
      <w:r w:rsidRPr="000A40E6">
        <w:rPr>
          <w:rFonts w:cs="Times New Roman"/>
          <w:szCs w:val="24"/>
        </w:rPr>
        <w:t xml:space="preserve"> göre, maksiller transversal yetersizlik, maksiller darlık ve yüksek damak kubbesi gibi iki temel ö</w:t>
      </w:r>
      <w:r w:rsidR="0096322F" w:rsidRPr="000A40E6">
        <w:rPr>
          <w:rFonts w:cs="Times New Roman"/>
          <w:szCs w:val="24"/>
        </w:rPr>
        <w:t>zelliğe sahiptir</w:t>
      </w:r>
      <w:r w:rsidR="001C3D2F" w:rsidRPr="000A40E6">
        <w:rPr>
          <w:rFonts w:cs="Times New Roman"/>
          <w:szCs w:val="24"/>
        </w:rPr>
        <w:t xml:space="preserve">. </w:t>
      </w:r>
      <w:r w:rsidRPr="000A40E6">
        <w:rPr>
          <w:rFonts w:cs="Times New Roman"/>
          <w:szCs w:val="24"/>
        </w:rPr>
        <w:t xml:space="preserve">Bu durumun tipik sonuçları, ağızdan nefes alma, çift taraflı dental maksiller çapraz kapanış, nazal stenoz, nazal tabanın yükselmesi ve nazal hava yolu boyutunda azalmaya neden olan nazal konkanın genişlemesinden kaynaklanan nazal geçirgenliğin azalmasıdır. Ağızdan nefes alan bireyler klasik olarak dar ve V şeklinde bir maksiller arka, yüksek bir damak kubbesine, uzun bir yüze sahiptirler (Lessa ve diğerleri, 2005). Bu tip hastalar ağızdan nefes alabilmek için mandibula ve dili alçaltarak başını geriye doğru eğmektedirler. Duruştaki bu değişiklikler dişlere ve çenelere uygulanan kuvvetlerin dengesini değiştirebilir. Yüz yüksekliğinde artış ve posterior dişlerin over erüpsiyonu </w:t>
      </w:r>
      <w:r w:rsidR="00353553" w:rsidRPr="000A40E6">
        <w:rPr>
          <w:rFonts w:cs="Times New Roman"/>
          <w:szCs w:val="24"/>
        </w:rPr>
        <w:t>meydana gelir (Profitt ve diğerleri</w:t>
      </w:r>
      <w:r w:rsidRPr="000A40E6">
        <w:rPr>
          <w:rFonts w:cs="Times New Roman"/>
          <w:szCs w:val="24"/>
        </w:rPr>
        <w:t>, 2000).</w:t>
      </w:r>
    </w:p>
    <w:p w14:paraId="6C7AA2D4" w14:textId="3B5CC8F5" w:rsidR="00FD1DD5" w:rsidRPr="000A40E6" w:rsidRDefault="00FD1DD5" w:rsidP="00F756C3">
      <w:pPr>
        <w:suppressAutoHyphens/>
        <w:spacing w:after="120"/>
        <w:rPr>
          <w:rFonts w:cs="Times New Roman"/>
          <w:szCs w:val="24"/>
        </w:rPr>
      </w:pPr>
      <w:r w:rsidRPr="000A40E6">
        <w:rPr>
          <w:rFonts w:cs="Times New Roman"/>
          <w:szCs w:val="24"/>
        </w:rPr>
        <w:t>Solunum obstrüksiyonunun maloklüzyon gelişimi ve yüz büyümesi üzerindeki etkileri uzun yıllardır bilinmektedir (Vig KW, 1998). Linder-Aronson</w:t>
      </w:r>
      <w:r w:rsidR="007C1651" w:rsidRPr="000A40E6">
        <w:rPr>
          <w:rFonts w:cs="Times New Roman"/>
          <w:szCs w:val="24"/>
        </w:rPr>
        <w:t xml:space="preserve"> ve Aschan (1963)</w:t>
      </w:r>
      <w:r w:rsidRPr="000A40E6">
        <w:rPr>
          <w:rFonts w:cs="Times New Roman"/>
          <w:szCs w:val="24"/>
        </w:rPr>
        <w:t>, adenoid dokusunun çıkarılmasıyla burun tıkanıklığının giderilmesinden sonra, normal bir büyüme paterninin yenide</w:t>
      </w:r>
      <w:r w:rsidR="007C1651" w:rsidRPr="000A40E6">
        <w:rPr>
          <w:rFonts w:cs="Times New Roman"/>
          <w:szCs w:val="24"/>
        </w:rPr>
        <w:t>n oluşturulduğunu öne sürmüş</w:t>
      </w:r>
      <w:r w:rsidR="004134C6" w:rsidRPr="000A40E6">
        <w:rPr>
          <w:rFonts w:cs="Times New Roman"/>
          <w:szCs w:val="24"/>
        </w:rPr>
        <w:t>lerdir</w:t>
      </w:r>
      <w:r w:rsidRPr="000A40E6">
        <w:rPr>
          <w:rFonts w:cs="Times New Roman"/>
          <w:szCs w:val="24"/>
        </w:rPr>
        <w:t>.</w:t>
      </w:r>
    </w:p>
    <w:p w14:paraId="37C59EC5" w14:textId="77777777" w:rsidR="00FD1DD5" w:rsidRPr="000A40E6" w:rsidRDefault="00FD1DD5" w:rsidP="00F756C3">
      <w:pPr>
        <w:suppressAutoHyphens/>
        <w:spacing w:after="120"/>
        <w:ind w:firstLine="0"/>
        <w:rPr>
          <w:rFonts w:cs="Times New Roman"/>
          <w:b/>
          <w:szCs w:val="24"/>
        </w:rPr>
      </w:pPr>
    </w:p>
    <w:p w14:paraId="3368B9DE" w14:textId="77777777" w:rsidR="00FD1DD5" w:rsidRPr="000A40E6" w:rsidRDefault="00FD1DD5" w:rsidP="00F756C3">
      <w:pPr>
        <w:suppressAutoHyphens/>
        <w:spacing w:after="120"/>
        <w:ind w:firstLine="0"/>
        <w:rPr>
          <w:rFonts w:cs="Times New Roman"/>
          <w:b/>
          <w:szCs w:val="24"/>
        </w:rPr>
      </w:pPr>
      <w:bookmarkStart w:id="35" w:name="_Toc136443377"/>
      <w:r w:rsidRPr="000A40E6">
        <w:rPr>
          <w:rFonts w:cs="Times New Roman"/>
          <w:b/>
          <w:szCs w:val="24"/>
        </w:rPr>
        <w:t>2.2. Rapid Maksiller Ekspansiyon</w:t>
      </w:r>
      <w:bookmarkEnd w:id="35"/>
    </w:p>
    <w:p w14:paraId="53AF4C5E" w14:textId="77777777" w:rsidR="00FD1DD5" w:rsidRPr="000A40E6" w:rsidRDefault="00FD1DD5" w:rsidP="00F756C3">
      <w:pPr>
        <w:suppressAutoHyphens/>
        <w:spacing w:after="120"/>
        <w:ind w:firstLine="0"/>
        <w:rPr>
          <w:rFonts w:cs="Times New Roman"/>
          <w:b/>
          <w:szCs w:val="24"/>
        </w:rPr>
      </w:pPr>
    </w:p>
    <w:p w14:paraId="0711A05F" w14:textId="77777777" w:rsidR="00FD1DD5" w:rsidRPr="000A40E6" w:rsidRDefault="00FD1DD5" w:rsidP="00F756C3">
      <w:pPr>
        <w:suppressAutoHyphens/>
        <w:spacing w:after="120"/>
        <w:ind w:firstLine="0"/>
        <w:rPr>
          <w:rFonts w:cs="Times New Roman"/>
          <w:b/>
          <w:szCs w:val="24"/>
        </w:rPr>
      </w:pPr>
      <w:bookmarkStart w:id="36" w:name="_Toc136443378"/>
      <w:r w:rsidRPr="000A40E6">
        <w:rPr>
          <w:rFonts w:cs="Times New Roman"/>
          <w:b/>
          <w:szCs w:val="24"/>
        </w:rPr>
        <w:t>2.2.1. Rapid Maksiller Ekspansiyonun Tarihçesi</w:t>
      </w:r>
      <w:bookmarkEnd w:id="36"/>
    </w:p>
    <w:p w14:paraId="4A421768" w14:textId="77777777" w:rsidR="00FD1DD5" w:rsidRPr="000A40E6" w:rsidRDefault="00FD1DD5" w:rsidP="00F756C3">
      <w:pPr>
        <w:suppressAutoHyphens/>
        <w:spacing w:after="120"/>
        <w:ind w:firstLine="0"/>
        <w:rPr>
          <w:rFonts w:cs="Times New Roman"/>
          <w:b/>
          <w:szCs w:val="24"/>
        </w:rPr>
      </w:pPr>
    </w:p>
    <w:p w14:paraId="6488C1C7" w14:textId="1676807A" w:rsidR="00FD1DD5" w:rsidRPr="000A40E6" w:rsidRDefault="00FD1DD5" w:rsidP="00F756C3">
      <w:pPr>
        <w:suppressAutoHyphens/>
        <w:spacing w:after="120"/>
        <w:rPr>
          <w:rFonts w:cs="Times New Roman"/>
          <w:szCs w:val="24"/>
        </w:rPr>
      </w:pPr>
      <w:r w:rsidRPr="000A40E6">
        <w:rPr>
          <w:rFonts w:cs="Times New Roman"/>
          <w:szCs w:val="24"/>
        </w:rPr>
        <w:t>Maksiller ekspansiyon apareyini ilk kullananlar White ve Angell'dır</w:t>
      </w:r>
      <w:r w:rsidR="003E3EA9" w:rsidRPr="000A40E6">
        <w:rPr>
          <w:rFonts w:cs="Times New Roman"/>
          <w:szCs w:val="24"/>
        </w:rPr>
        <w:t xml:space="preserve"> (White,</w:t>
      </w:r>
      <w:r w:rsidR="009E2B7B" w:rsidRPr="000A40E6">
        <w:rPr>
          <w:rFonts w:cs="Times New Roman"/>
          <w:szCs w:val="24"/>
        </w:rPr>
        <w:t xml:space="preserve"> </w:t>
      </w:r>
      <w:r w:rsidR="003E3EA9" w:rsidRPr="000A40E6">
        <w:rPr>
          <w:rFonts w:cs="Times New Roman"/>
          <w:szCs w:val="24"/>
        </w:rPr>
        <w:t xml:space="preserve">1860; Angell, 1860). </w:t>
      </w:r>
      <w:r w:rsidRPr="000A40E6">
        <w:rPr>
          <w:rFonts w:cs="Times New Roman"/>
          <w:szCs w:val="24"/>
        </w:rPr>
        <w:t>White</w:t>
      </w:r>
      <w:r w:rsidR="004638B6" w:rsidRPr="000A40E6">
        <w:rPr>
          <w:rFonts w:cs="Times New Roman"/>
          <w:szCs w:val="24"/>
        </w:rPr>
        <w:t xml:space="preserve"> (1860)</w:t>
      </w:r>
      <w:r w:rsidRPr="000A40E6">
        <w:rPr>
          <w:rFonts w:cs="Times New Roman"/>
          <w:szCs w:val="24"/>
        </w:rPr>
        <w:t>, hastanın ağzına sarmal bir yay yerl</w:t>
      </w:r>
      <w:r w:rsidR="002C6477" w:rsidRPr="000A40E6">
        <w:rPr>
          <w:rFonts w:cs="Times New Roman"/>
          <w:szCs w:val="24"/>
        </w:rPr>
        <w:t>eştirerek davye kullanmadan diş</w:t>
      </w:r>
      <w:r w:rsidRPr="000A40E6">
        <w:rPr>
          <w:rFonts w:cs="Times New Roman"/>
          <w:szCs w:val="24"/>
        </w:rPr>
        <w:t xml:space="preserve"> çekebildiği </w:t>
      </w:r>
      <w:r w:rsidR="004638B6" w:rsidRPr="000A40E6">
        <w:rPr>
          <w:rFonts w:cs="Times New Roman"/>
          <w:szCs w:val="24"/>
        </w:rPr>
        <w:t>bir vaka sunmuştur</w:t>
      </w:r>
      <w:r w:rsidRPr="000A40E6">
        <w:rPr>
          <w:rFonts w:cs="Times New Roman"/>
          <w:szCs w:val="24"/>
        </w:rPr>
        <w:t>. Daha sonra sarmal yayı, 1. molar dişlerin her iki tarafına bağlı iki plaka arasına sabitlemiştir, böylece tamemen lingual çapraz kapanışı olan bir çocuğu başarılı bir şekilde tedavi edebilmiştir. Aynı yılın ilerleyen zamanlarında Angell, maksillanın iki yarısını bir aparey ile ayırmayı başardığı bir araştırma makalesi sunmuştur (Angell, 1860). Kısa süre sonra maksillanın iki yarısının ayrılması ortodontide yaygın bir uy</w:t>
      </w:r>
      <w:r w:rsidR="00564052" w:rsidRPr="000A40E6">
        <w:rPr>
          <w:rFonts w:cs="Times New Roman"/>
          <w:szCs w:val="24"/>
        </w:rPr>
        <w:t>gulama haline gelmiştir.</w:t>
      </w:r>
      <w:r w:rsidRPr="000A40E6">
        <w:rPr>
          <w:rFonts w:cs="Times New Roman"/>
          <w:szCs w:val="24"/>
        </w:rPr>
        <w:t xml:space="preserve"> Goddard</w:t>
      </w:r>
      <w:r w:rsidR="00564052" w:rsidRPr="000A40E6">
        <w:rPr>
          <w:rFonts w:cs="Times New Roman"/>
          <w:szCs w:val="24"/>
        </w:rPr>
        <w:t xml:space="preserve"> (1893)</w:t>
      </w:r>
      <w:r w:rsidRPr="000A40E6">
        <w:rPr>
          <w:rFonts w:cs="Times New Roman"/>
          <w:szCs w:val="24"/>
        </w:rPr>
        <w:t xml:space="preserve">, dar bir maksillanın neden olduğu </w:t>
      </w:r>
      <w:proofErr w:type="gramStart"/>
      <w:r w:rsidRPr="000A40E6">
        <w:rPr>
          <w:rFonts w:cs="Times New Roman"/>
          <w:szCs w:val="24"/>
        </w:rPr>
        <w:t>anomaliyi</w:t>
      </w:r>
      <w:proofErr w:type="gramEnd"/>
      <w:r w:rsidRPr="000A40E6">
        <w:rPr>
          <w:rFonts w:cs="Times New Roman"/>
          <w:szCs w:val="24"/>
        </w:rPr>
        <w:t xml:space="preserve"> tedavi etmek için maksillanın iki yarısını ayıran bir aparey yapmıştır. Sadece 1. premolar ve 1. molar dişlere temas etmesine rağmen, tüm maksiller dişlerin ekspans</w:t>
      </w:r>
      <w:r w:rsidR="002D2D33" w:rsidRPr="000A40E6">
        <w:rPr>
          <w:rFonts w:cs="Times New Roman"/>
          <w:szCs w:val="24"/>
        </w:rPr>
        <w:t>iyondan etkilendiğini bulmuştur.</w:t>
      </w:r>
    </w:p>
    <w:p w14:paraId="6D7ED6B1" w14:textId="71962403" w:rsidR="00FD1DD5" w:rsidRPr="000A40E6" w:rsidRDefault="00FD1DD5" w:rsidP="00F756C3">
      <w:pPr>
        <w:suppressAutoHyphens/>
        <w:spacing w:after="120"/>
        <w:rPr>
          <w:rFonts w:cs="Times New Roman"/>
          <w:szCs w:val="24"/>
        </w:rPr>
      </w:pPr>
      <w:r w:rsidRPr="000A40E6">
        <w:rPr>
          <w:rFonts w:cs="Times New Roman"/>
          <w:szCs w:val="24"/>
        </w:rPr>
        <w:t>Korkhaus</w:t>
      </w:r>
      <w:r w:rsidR="005E1167" w:rsidRPr="000A40E6">
        <w:rPr>
          <w:rFonts w:cs="Times New Roman"/>
          <w:szCs w:val="24"/>
        </w:rPr>
        <w:t xml:space="preserve"> </w:t>
      </w:r>
      <w:r w:rsidR="00B74994" w:rsidRPr="000A40E6">
        <w:rPr>
          <w:rFonts w:cs="Times New Roman"/>
          <w:szCs w:val="24"/>
        </w:rPr>
        <w:t>(1953)</w:t>
      </w:r>
      <w:r w:rsidRPr="000A40E6">
        <w:rPr>
          <w:rFonts w:cs="Times New Roman"/>
          <w:szCs w:val="24"/>
        </w:rPr>
        <w:t>, 10 mm veya daha fazla kalıcı maksiller ekspansiyonun sağlanabileceği ve böylece apikal taban ile birlikte damağın ve burun içi boşluğun genişletildiği bir te</w:t>
      </w:r>
      <w:r w:rsidR="00B74994" w:rsidRPr="000A40E6">
        <w:rPr>
          <w:rFonts w:cs="Times New Roman"/>
          <w:szCs w:val="24"/>
        </w:rPr>
        <w:t>knik önermiştir</w:t>
      </w:r>
      <w:r w:rsidRPr="000A40E6">
        <w:rPr>
          <w:rFonts w:cs="Times New Roman"/>
          <w:szCs w:val="24"/>
        </w:rPr>
        <w:t>. Korkhaus</w:t>
      </w:r>
      <w:r w:rsidR="00227005" w:rsidRPr="000A40E6">
        <w:rPr>
          <w:rFonts w:cs="Times New Roman"/>
          <w:szCs w:val="24"/>
        </w:rPr>
        <w:t xml:space="preserve"> (1959),</w:t>
      </w:r>
      <w:r w:rsidRPr="000A40E6">
        <w:rPr>
          <w:rFonts w:cs="Times New Roman"/>
          <w:szCs w:val="24"/>
        </w:rPr>
        <w:t xml:space="preserve"> daha sonra rahat burun solunumunun ancak maksillanın ve damağın belirgin miktarda genişletilmesiyle sağlanabileceği</w:t>
      </w:r>
      <w:r w:rsidR="00227005" w:rsidRPr="000A40E6">
        <w:rPr>
          <w:rFonts w:cs="Times New Roman"/>
          <w:szCs w:val="24"/>
        </w:rPr>
        <w:t>ni açıklamıştır</w:t>
      </w:r>
      <w:r w:rsidRPr="000A40E6">
        <w:rPr>
          <w:rFonts w:cs="Times New Roman"/>
          <w:szCs w:val="24"/>
        </w:rPr>
        <w:t>.</w:t>
      </w:r>
    </w:p>
    <w:p w14:paraId="35FF379E" w14:textId="27F06C18" w:rsidR="00FD1DD5" w:rsidRPr="000A40E6" w:rsidRDefault="00FD1DD5" w:rsidP="00F756C3">
      <w:pPr>
        <w:suppressAutoHyphens/>
        <w:spacing w:after="120"/>
        <w:rPr>
          <w:rFonts w:cs="Times New Roman"/>
          <w:szCs w:val="24"/>
        </w:rPr>
      </w:pPr>
      <w:r w:rsidRPr="000A40E6">
        <w:rPr>
          <w:rFonts w:cs="Times New Roman"/>
          <w:szCs w:val="24"/>
        </w:rPr>
        <w:t xml:space="preserve">1958'de Haas apareyi Haas tarafından tanıtılmıştır. </w:t>
      </w:r>
      <w:r w:rsidR="007C02D5" w:rsidRPr="000A40E6">
        <w:rPr>
          <w:rFonts w:cs="Times New Roman"/>
          <w:szCs w:val="24"/>
        </w:rPr>
        <w:t xml:space="preserve">Aparey maksiller 1. premolar ve 1. molar dişlere sabitlenmiş ortodontik bantlardan oluşmaktadır. Bu bantlar vidanın üzerinden uzanan tellere lehimlenmiştir. Apareyin tam ortasında bulunan </w:t>
      </w:r>
      <w:r w:rsidR="00D0597B" w:rsidRPr="000A40E6">
        <w:rPr>
          <w:rFonts w:cs="Times New Roman"/>
          <w:szCs w:val="24"/>
        </w:rPr>
        <w:t>ekspansiyon</w:t>
      </w:r>
      <w:r w:rsidR="007C02D5" w:rsidRPr="000A40E6">
        <w:rPr>
          <w:rFonts w:cs="Times New Roman"/>
          <w:szCs w:val="24"/>
        </w:rPr>
        <w:t xml:space="preserve"> vidası </w:t>
      </w:r>
      <w:r w:rsidR="00D0597B" w:rsidRPr="000A40E6">
        <w:rPr>
          <w:rFonts w:cs="Times New Roman"/>
          <w:szCs w:val="24"/>
        </w:rPr>
        <w:t xml:space="preserve">akrilik içine yerleştirilmiştir </w:t>
      </w:r>
      <w:r w:rsidR="00B26078" w:rsidRPr="000A40E6">
        <w:rPr>
          <w:rFonts w:cs="Times New Roman"/>
          <w:szCs w:val="24"/>
        </w:rPr>
        <w:t xml:space="preserve">(Haas, 1958). </w:t>
      </w:r>
      <w:r w:rsidRPr="000A40E6">
        <w:rPr>
          <w:rFonts w:cs="Times New Roman"/>
          <w:szCs w:val="24"/>
        </w:rPr>
        <w:t xml:space="preserve">Haas, 1958'de hayvanlarda yaptığı bir çalışmada hem </w:t>
      </w:r>
      <w:r w:rsidR="003C0554" w:rsidRPr="000A40E6">
        <w:rPr>
          <w:rFonts w:cs="Times New Roman"/>
          <w:szCs w:val="24"/>
        </w:rPr>
        <w:t>maksilla hem de nazal kavitede</w:t>
      </w:r>
      <w:r w:rsidRPr="000A40E6">
        <w:rPr>
          <w:rFonts w:cs="Times New Roman"/>
          <w:szCs w:val="24"/>
        </w:rPr>
        <w:t xml:space="preserve"> </w:t>
      </w:r>
      <w:r w:rsidR="003C0554" w:rsidRPr="000A40E6">
        <w:rPr>
          <w:rFonts w:cs="Times New Roman"/>
          <w:szCs w:val="24"/>
        </w:rPr>
        <w:t xml:space="preserve">RME’nin </w:t>
      </w:r>
      <w:r w:rsidRPr="000A40E6">
        <w:rPr>
          <w:rFonts w:cs="Times New Roman"/>
          <w:szCs w:val="24"/>
        </w:rPr>
        <w:t xml:space="preserve">etkinliğini incelemiştir (Haas, 1958). Aynı başarıyı 1961'de 10 hasta üzerinde yaptığı klinik çalışmada da elde etmiş ve hem anteroposterior hem de vertikal boyutlarda iskeletsel değişiklikler tespit etmiştir. Nazal ve intranazal ark genişliğindeki artışın </w:t>
      </w:r>
      <w:proofErr w:type="gramStart"/>
      <w:r w:rsidRPr="000A40E6">
        <w:rPr>
          <w:rFonts w:cs="Times New Roman"/>
          <w:szCs w:val="24"/>
        </w:rPr>
        <w:t>stabil</w:t>
      </w:r>
      <w:proofErr w:type="gramEnd"/>
      <w:r w:rsidRPr="000A40E6">
        <w:rPr>
          <w:rFonts w:cs="Times New Roman"/>
          <w:szCs w:val="24"/>
        </w:rPr>
        <w:t xml:space="preserve"> olduğunu bulmuştur (Haas, 1961).</w:t>
      </w:r>
    </w:p>
    <w:p w14:paraId="1B0570DB" w14:textId="507078A8" w:rsidR="00FD1DD5" w:rsidRPr="000A40E6" w:rsidRDefault="00FD1DD5" w:rsidP="00F756C3">
      <w:pPr>
        <w:suppressAutoHyphens/>
        <w:spacing w:after="120"/>
        <w:rPr>
          <w:rFonts w:cs="Times New Roman"/>
          <w:szCs w:val="24"/>
        </w:rPr>
      </w:pPr>
      <w:r w:rsidRPr="000A40E6">
        <w:rPr>
          <w:rFonts w:cs="Times New Roman"/>
          <w:szCs w:val="24"/>
        </w:rPr>
        <w:t>Krebs</w:t>
      </w:r>
      <w:r w:rsidR="00657F31" w:rsidRPr="000A40E6">
        <w:rPr>
          <w:rFonts w:cs="Times New Roman"/>
          <w:szCs w:val="24"/>
        </w:rPr>
        <w:t xml:space="preserve"> (1959)</w:t>
      </w:r>
      <w:r w:rsidRPr="000A40E6">
        <w:rPr>
          <w:rFonts w:cs="Times New Roman"/>
          <w:szCs w:val="24"/>
        </w:rPr>
        <w:t>, maksillanın horizontal ve anterior düzlemde rotasyonunu belirlemek için metalik impla</w:t>
      </w:r>
      <w:r w:rsidR="00657F31" w:rsidRPr="000A40E6">
        <w:rPr>
          <w:rFonts w:cs="Times New Roman"/>
          <w:szCs w:val="24"/>
        </w:rPr>
        <w:t>ntlar kullanmıştır</w:t>
      </w:r>
      <w:r w:rsidRPr="000A40E6">
        <w:rPr>
          <w:rFonts w:cs="Times New Roman"/>
          <w:szCs w:val="24"/>
        </w:rPr>
        <w:t xml:space="preserve">. 7 yıllık bir süreyi kapsayan benzer bir çalışmada Krebs, maksiller taban ve burun boşluğunda </w:t>
      </w:r>
      <w:proofErr w:type="gramStart"/>
      <w:r w:rsidRPr="000A40E6">
        <w:rPr>
          <w:rFonts w:cs="Times New Roman"/>
          <w:szCs w:val="24"/>
        </w:rPr>
        <w:t>stabil</w:t>
      </w:r>
      <w:proofErr w:type="gramEnd"/>
      <w:r w:rsidRPr="000A40E6">
        <w:rPr>
          <w:rFonts w:cs="Times New Roman"/>
          <w:szCs w:val="24"/>
        </w:rPr>
        <w:t xml:space="preserve"> bir artış olduğunu, ancak dental ark genişliğinde nüks görüldüğünü belirtmiştir (Krebs, 1964).</w:t>
      </w:r>
    </w:p>
    <w:p w14:paraId="0396FFE5" w14:textId="4D6FA8DD" w:rsidR="00CF1575" w:rsidRPr="000A40E6" w:rsidRDefault="00FD1DD5" w:rsidP="00F756C3">
      <w:pPr>
        <w:suppressAutoHyphens/>
        <w:spacing w:after="120"/>
        <w:rPr>
          <w:rFonts w:cs="Times New Roman"/>
          <w:szCs w:val="24"/>
        </w:rPr>
      </w:pPr>
      <w:r w:rsidRPr="000A40E6">
        <w:rPr>
          <w:rFonts w:cs="Times New Roman"/>
          <w:szCs w:val="24"/>
        </w:rPr>
        <w:t>Biederman</w:t>
      </w:r>
      <w:r w:rsidR="00E66DFE" w:rsidRPr="000A40E6">
        <w:rPr>
          <w:rFonts w:cs="Times New Roman"/>
          <w:szCs w:val="24"/>
        </w:rPr>
        <w:t xml:space="preserve"> (1968),</w:t>
      </w:r>
      <w:r w:rsidR="00223B4A" w:rsidRPr="000A40E6">
        <w:rPr>
          <w:rFonts w:cs="Times New Roman"/>
          <w:szCs w:val="24"/>
        </w:rPr>
        <w:t xml:space="preserve"> </w:t>
      </w:r>
      <w:r w:rsidRPr="000A40E6">
        <w:rPr>
          <w:rFonts w:cs="Times New Roman"/>
          <w:szCs w:val="24"/>
        </w:rPr>
        <w:t xml:space="preserve">Haas apareyinden daha </w:t>
      </w:r>
      <w:proofErr w:type="gramStart"/>
      <w:r w:rsidRPr="000A40E6">
        <w:rPr>
          <w:rFonts w:cs="Times New Roman"/>
          <w:szCs w:val="24"/>
        </w:rPr>
        <w:t>hijyenik</w:t>
      </w:r>
      <w:proofErr w:type="gramEnd"/>
      <w:r w:rsidRPr="000A40E6">
        <w:rPr>
          <w:rFonts w:cs="Times New Roman"/>
          <w:szCs w:val="24"/>
        </w:rPr>
        <w:t xml:space="preserve"> olduğunu belirttiği ve sadece diş destekli olan Hyrax adı verilen apareyi tasarlamıştır. Aparey, Haas apareyi gibi maksiller 1. premolar ve 1. molar dişlere sabitlenmiş ortodontik bantla</w:t>
      </w:r>
      <w:r w:rsidR="00531B60" w:rsidRPr="000A40E6">
        <w:rPr>
          <w:rFonts w:cs="Times New Roman"/>
          <w:szCs w:val="24"/>
        </w:rPr>
        <w:t>rdan oluşmaktadır. Ancak palatinal</w:t>
      </w:r>
      <w:r w:rsidRPr="000A40E6">
        <w:rPr>
          <w:rFonts w:cs="Times New Roman"/>
          <w:szCs w:val="24"/>
        </w:rPr>
        <w:t xml:space="preserve"> bölgede akrilik deste</w:t>
      </w:r>
      <w:r w:rsidR="00223B4A" w:rsidRPr="000A40E6">
        <w:rPr>
          <w:rFonts w:cs="Times New Roman"/>
          <w:szCs w:val="24"/>
        </w:rPr>
        <w:t>kleri bulunmamaktadır.</w:t>
      </w:r>
    </w:p>
    <w:p w14:paraId="52E3B12F" w14:textId="77777777" w:rsidR="00CF1575" w:rsidRPr="000A40E6" w:rsidRDefault="00CF1575" w:rsidP="00F756C3">
      <w:pPr>
        <w:suppressAutoHyphens/>
        <w:spacing w:after="120"/>
        <w:ind w:firstLine="0"/>
        <w:rPr>
          <w:rFonts w:cs="Times New Roman"/>
          <w:b/>
          <w:szCs w:val="24"/>
        </w:rPr>
      </w:pPr>
    </w:p>
    <w:p w14:paraId="04112C5F" w14:textId="77777777" w:rsidR="00FD1DD5" w:rsidRPr="000A40E6" w:rsidRDefault="00FD1DD5" w:rsidP="00F756C3">
      <w:pPr>
        <w:suppressAutoHyphens/>
        <w:spacing w:after="120"/>
        <w:ind w:firstLine="0"/>
        <w:rPr>
          <w:rFonts w:cs="Times New Roman"/>
          <w:b/>
          <w:szCs w:val="24"/>
        </w:rPr>
      </w:pPr>
      <w:bookmarkStart w:id="37" w:name="_Toc136443379"/>
      <w:r w:rsidRPr="000A40E6">
        <w:rPr>
          <w:rFonts w:cs="Times New Roman"/>
          <w:b/>
          <w:szCs w:val="24"/>
        </w:rPr>
        <w:t>2.2.2. Rapid Maksiller Ekspansiyonun Endikasyonları</w:t>
      </w:r>
      <w:bookmarkEnd w:id="37"/>
    </w:p>
    <w:p w14:paraId="21DFF940" w14:textId="77777777" w:rsidR="00FD1DD5" w:rsidRPr="000A40E6" w:rsidRDefault="00FD1DD5" w:rsidP="00F756C3">
      <w:pPr>
        <w:suppressAutoHyphens/>
        <w:spacing w:after="120"/>
        <w:ind w:firstLine="0"/>
        <w:rPr>
          <w:rFonts w:cs="Times New Roman"/>
          <w:b/>
          <w:szCs w:val="24"/>
        </w:rPr>
      </w:pPr>
    </w:p>
    <w:p w14:paraId="2869E3B1" w14:textId="612DBE76" w:rsidR="00FD1DD5" w:rsidRPr="000A40E6" w:rsidRDefault="00FD1DD5" w:rsidP="00F756C3">
      <w:pPr>
        <w:suppressAutoHyphens/>
        <w:spacing w:after="120"/>
        <w:rPr>
          <w:rFonts w:cs="Times New Roman"/>
          <w:szCs w:val="24"/>
        </w:rPr>
      </w:pPr>
      <w:r w:rsidRPr="000A40E6">
        <w:rPr>
          <w:rFonts w:cs="Times New Roman"/>
          <w:szCs w:val="24"/>
        </w:rPr>
        <w:t xml:space="preserve">RME, maksiller arktaki transversal yetersizlik nedeniyle oluşan tek taraflı veya çift taraflı posterior çapraz kapanışı tedavi etmek için kullanılır. Altta yatan etiyoloji iskeletsel, dişsel veya her ikisinin bir </w:t>
      </w:r>
      <w:proofErr w:type="gramStart"/>
      <w:r w:rsidRPr="000A40E6">
        <w:rPr>
          <w:rFonts w:cs="Times New Roman"/>
          <w:szCs w:val="24"/>
        </w:rPr>
        <w:t>kombinasyonu</w:t>
      </w:r>
      <w:proofErr w:type="gramEnd"/>
      <w:r w:rsidRPr="000A40E6">
        <w:rPr>
          <w:rFonts w:cs="Times New Roman"/>
          <w:szCs w:val="24"/>
        </w:rPr>
        <w:t xml:space="preserve"> olabilir (Bishara ve Staley, 1987; Haas, 1970; Wertz, 1970).</w:t>
      </w:r>
    </w:p>
    <w:p w14:paraId="0150D62B" w14:textId="32F08CFC" w:rsidR="00FD1DD5" w:rsidRPr="000A40E6" w:rsidRDefault="00FD1DD5" w:rsidP="00F756C3">
      <w:pPr>
        <w:suppressAutoHyphens/>
        <w:spacing w:after="120"/>
        <w:rPr>
          <w:rFonts w:cs="Times New Roman"/>
          <w:szCs w:val="24"/>
        </w:rPr>
      </w:pPr>
      <w:r w:rsidRPr="000A40E6">
        <w:rPr>
          <w:rFonts w:cs="Times New Roman"/>
          <w:szCs w:val="24"/>
        </w:rPr>
        <w:t>Hafif çapraşıklık varlığında maksiller ark boyutunu arttırmak amacıyla RME uygulanır (Adkins ve diğerleri, 1990; Bishara ve Staley, 1987; Haas, 1980).</w:t>
      </w:r>
    </w:p>
    <w:p w14:paraId="1534F36F" w14:textId="77777777" w:rsidR="00FD1DD5" w:rsidRPr="000A40E6" w:rsidRDefault="00FD1DD5" w:rsidP="00F756C3">
      <w:pPr>
        <w:suppressAutoHyphens/>
        <w:spacing w:after="120"/>
        <w:rPr>
          <w:rFonts w:cs="Times New Roman"/>
          <w:szCs w:val="24"/>
        </w:rPr>
      </w:pPr>
      <w:r w:rsidRPr="000A40E6">
        <w:rPr>
          <w:rFonts w:cs="Times New Roman"/>
          <w:szCs w:val="24"/>
        </w:rPr>
        <w:t>Dudak damak yarıklı olgularda kollabe olmuş maksillanın ekspansiyonu amacıyla RME önerilmektedir (Isaacson ve Murphy, 1964).</w:t>
      </w:r>
    </w:p>
    <w:p w14:paraId="2B6BAB90" w14:textId="77777777" w:rsidR="00FD1DD5" w:rsidRPr="000A40E6" w:rsidRDefault="00FD1DD5" w:rsidP="00F756C3">
      <w:pPr>
        <w:suppressAutoHyphens/>
        <w:spacing w:after="120"/>
        <w:rPr>
          <w:rFonts w:cs="Times New Roman"/>
          <w:szCs w:val="24"/>
        </w:rPr>
      </w:pPr>
      <w:r w:rsidRPr="000A40E6">
        <w:rPr>
          <w:rFonts w:cs="Times New Roman"/>
          <w:szCs w:val="24"/>
        </w:rPr>
        <w:t>Maksiller ve mandibular dişler arasındaki transversal uyumsuzluğun 4 mm veya daha fazla olması RME tedavisini gerektirir. Posterior çapraz kapanışı olan veya olmayan iskeletsel Sınıf II Bölüm 1 maloklüzyonlarda, maksiller darlık ile ilişkili borderline iskeletsel ve psödo Sınıf III uyumsuzlukları olan hastalarda kullanımı endikedir (Bishara ve Staley, 1987; Haas, 1961). Ayrıca RME, mandibulanın fonksiyonel kaymasını ortadan kaldırarak, oluşabilecek temporomandibular eklem rahatsızlıklarını önlemek için de uygulanabilmektedir (Bell, 1982).</w:t>
      </w:r>
    </w:p>
    <w:p w14:paraId="5CA1882B" w14:textId="515D6A66" w:rsidR="00FD1DD5" w:rsidRPr="000A40E6" w:rsidRDefault="00FD1DD5" w:rsidP="00F756C3">
      <w:pPr>
        <w:suppressAutoHyphens/>
        <w:spacing w:after="120"/>
        <w:rPr>
          <w:rFonts w:cs="Times New Roman"/>
          <w:szCs w:val="24"/>
        </w:rPr>
      </w:pPr>
      <w:r w:rsidRPr="000A40E6">
        <w:rPr>
          <w:rFonts w:cs="Times New Roman"/>
          <w:szCs w:val="24"/>
        </w:rPr>
        <w:t xml:space="preserve">RME, palatinalde gömülü kanin dişleri olan hastaların tedavisinde de faydalı olabilir. Maksiller ekspansiyon ile tedavi edilen hastalarda, tedavi edilmeyen kontrol grubu hastalarına göre neredeyse 5 kat daha fazla başarı oranı bildirilmiştir ve maksiller ekspansiyon, palatinaldeki gömülü maksiller kaninler için önleyici bir tedavi </w:t>
      </w:r>
      <w:proofErr w:type="gramStart"/>
      <w:r w:rsidRPr="000A40E6">
        <w:rPr>
          <w:rFonts w:cs="Times New Roman"/>
          <w:szCs w:val="24"/>
        </w:rPr>
        <w:t>prosedürü</w:t>
      </w:r>
      <w:proofErr w:type="gramEnd"/>
      <w:r w:rsidRPr="000A40E6">
        <w:rPr>
          <w:rFonts w:cs="Times New Roman"/>
          <w:szCs w:val="24"/>
        </w:rPr>
        <w:t xml:space="preserve"> olarak etkili bulunmuştur (Baccetti ve diğerleri, 2009).</w:t>
      </w:r>
    </w:p>
    <w:p w14:paraId="3BF1BB71" w14:textId="13B1387A" w:rsidR="00FD1DD5" w:rsidRPr="000A40E6" w:rsidRDefault="00FD1DD5" w:rsidP="00F756C3">
      <w:pPr>
        <w:suppressAutoHyphens/>
        <w:spacing w:after="120"/>
        <w:rPr>
          <w:rFonts w:cs="Times New Roman"/>
          <w:szCs w:val="24"/>
        </w:rPr>
      </w:pPr>
      <w:r w:rsidRPr="000A40E6">
        <w:rPr>
          <w:rFonts w:cs="Times New Roman"/>
          <w:szCs w:val="24"/>
        </w:rPr>
        <w:t>RME, iskeletsel Sınıf III’ün düzeltilmesinde protraksiyon headge</w:t>
      </w:r>
      <w:r w:rsidR="00660B42" w:rsidRPr="000A40E6">
        <w:rPr>
          <w:rFonts w:cs="Times New Roman"/>
          <w:szCs w:val="24"/>
        </w:rPr>
        <w:t>a</w:t>
      </w:r>
      <w:r w:rsidRPr="000A40E6">
        <w:rPr>
          <w:rFonts w:cs="Times New Roman"/>
          <w:szCs w:val="24"/>
        </w:rPr>
        <w:t>r ile birlikte kullanılabilir. Baik</w:t>
      </w:r>
      <w:r w:rsidR="009B5A60" w:rsidRPr="000A40E6">
        <w:rPr>
          <w:rFonts w:cs="Times New Roman"/>
          <w:szCs w:val="24"/>
        </w:rPr>
        <w:t xml:space="preserve"> (1995)</w:t>
      </w:r>
      <w:r w:rsidRPr="000A40E6">
        <w:rPr>
          <w:rFonts w:cs="Times New Roman"/>
          <w:szCs w:val="24"/>
        </w:rPr>
        <w:t>, RME'li ve RME'siz protraksiyon headge</w:t>
      </w:r>
      <w:r w:rsidR="003D2D1F" w:rsidRPr="000A40E6">
        <w:rPr>
          <w:rFonts w:cs="Times New Roman"/>
          <w:szCs w:val="24"/>
        </w:rPr>
        <w:t>a</w:t>
      </w:r>
      <w:r w:rsidRPr="000A40E6">
        <w:rPr>
          <w:rFonts w:cs="Times New Roman"/>
          <w:szCs w:val="24"/>
        </w:rPr>
        <w:t>r kullanarak maksillanın ileri ve aşağı hareketlerini karşılaştırmıştır. Çalışmada, RME ile birlikte protraksiyon headger kullanımı sonucu, maksillanın daha fazla ileri doğru hareket</w:t>
      </w:r>
      <w:r w:rsidR="009B5A60" w:rsidRPr="000A40E6">
        <w:rPr>
          <w:rFonts w:cs="Times New Roman"/>
          <w:szCs w:val="24"/>
        </w:rPr>
        <w:t xml:space="preserve"> ettiği bulunmuştur</w:t>
      </w:r>
      <w:r w:rsidRPr="000A40E6">
        <w:rPr>
          <w:rFonts w:cs="Times New Roman"/>
          <w:szCs w:val="24"/>
        </w:rPr>
        <w:t>. Ngan ve diğerleri</w:t>
      </w:r>
      <w:r w:rsidR="00B6374F" w:rsidRPr="000A40E6">
        <w:rPr>
          <w:rFonts w:cs="Times New Roman"/>
          <w:szCs w:val="24"/>
        </w:rPr>
        <w:t xml:space="preserve"> (1996)</w:t>
      </w:r>
      <w:r w:rsidRPr="000A40E6">
        <w:rPr>
          <w:rFonts w:cs="Times New Roman"/>
          <w:szCs w:val="24"/>
        </w:rPr>
        <w:t xml:space="preserve"> ise, RME ile birlikte protraksiyon headger kullanan, Sınıf III iskeletsel uyumsuzluğu olan 30 vakanın sagittal boyuttaki overjet ve molar ilişkisinde bir fark olmadığını öne sür</w:t>
      </w:r>
      <w:r w:rsidR="00DB46D1" w:rsidRPr="000A40E6">
        <w:rPr>
          <w:rFonts w:cs="Times New Roman"/>
          <w:szCs w:val="24"/>
        </w:rPr>
        <w:t>müştür</w:t>
      </w:r>
      <w:r w:rsidRPr="000A40E6">
        <w:rPr>
          <w:rFonts w:cs="Times New Roman"/>
          <w:szCs w:val="24"/>
        </w:rPr>
        <w:t>.</w:t>
      </w:r>
    </w:p>
    <w:p w14:paraId="43B0A9BA" w14:textId="77777777" w:rsidR="00FD1DD5" w:rsidRPr="000A40E6" w:rsidRDefault="00FD1DD5" w:rsidP="00F756C3">
      <w:pPr>
        <w:suppressAutoHyphens/>
        <w:spacing w:after="120"/>
        <w:rPr>
          <w:rFonts w:cs="Times New Roman"/>
          <w:szCs w:val="24"/>
        </w:rPr>
      </w:pPr>
      <w:r w:rsidRPr="000A40E6">
        <w:rPr>
          <w:rFonts w:cs="Times New Roman"/>
          <w:szCs w:val="24"/>
        </w:rPr>
        <w:t>Zorunlu ağız solunumu yapan hastalar ve konkaların nazal septuma baskı yapması nedeniyle daralmış burun açıklığı ile karakterize burun tıkanıklığı görülen hastalar, RME uygulamasını takiben burun solunumunda iyileşme gösterebilir (Haas, 1980).</w:t>
      </w:r>
    </w:p>
    <w:p w14:paraId="6B6C2FF1" w14:textId="10D049FC" w:rsidR="00FD1DD5" w:rsidRPr="000A40E6" w:rsidRDefault="00FD1DD5" w:rsidP="00F756C3">
      <w:pPr>
        <w:suppressAutoHyphens/>
        <w:spacing w:after="120"/>
        <w:rPr>
          <w:rFonts w:cs="Times New Roman"/>
          <w:szCs w:val="24"/>
        </w:rPr>
      </w:pPr>
      <w:r w:rsidRPr="000A40E6">
        <w:rPr>
          <w:rFonts w:cs="Times New Roman"/>
          <w:szCs w:val="24"/>
        </w:rPr>
        <w:t xml:space="preserve">RME için başka bir olası endikasyon, östaki borusu veya orta kulak obstrüksiyonuna bağlı iletim tipi işitme kaybıdır. Bu tür hastalarda RME sonrası </w:t>
      </w:r>
      <w:proofErr w:type="gramStart"/>
      <w:r w:rsidRPr="000A40E6">
        <w:rPr>
          <w:rFonts w:cs="Times New Roman"/>
          <w:szCs w:val="24"/>
        </w:rPr>
        <w:t>semptomlar</w:t>
      </w:r>
      <w:proofErr w:type="gramEnd"/>
      <w:r w:rsidRPr="000A40E6">
        <w:rPr>
          <w:rFonts w:cs="Times New Roman"/>
          <w:szCs w:val="24"/>
        </w:rPr>
        <w:t xml:space="preserve"> düzelebilir. Bu durumda RME'nin etki şekli, östaki borusunun faringeal Ostia'sının fonksiyonunu normalleştiren ortopedik etkilerdir (Laptook, 1981). Bu iyileşmenin bir başka açıklaması, RME sonrası tekrarlayan seröz orta kulak iltihabı insidansındaki azalmadır (Gray, 1975). Ancak Ceylan ve diğerleri</w:t>
      </w:r>
      <w:r w:rsidR="00B50F0C" w:rsidRPr="000A40E6">
        <w:rPr>
          <w:rFonts w:cs="Times New Roman"/>
          <w:szCs w:val="24"/>
        </w:rPr>
        <w:t xml:space="preserve"> (1996)</w:t>
      </w:r>
      <w:r w:rsidRPr="000A40E6">
        <w:rPr>
          <w:rFonts w:cs="Times New Roman"/>
          <w:szCs w:val="24"/>
        </w:rPr>
        <w:t>, RME ile aktif ekspansiyondan sonra işitmede meydana gelen herha</w:t>
      </w:r>
      <w:r w:rsidR="00E2328D" w:rsidRPr="000A40E6">
        <w:rPr>
          <w:rFonts w:cs="Times New Roman"/>
          <w:szCs w:val="24"/>
        </w:rPr>
        <w:t xml:space="preserve">ngi bir iyileşmenin uzun vadeli </w:t>
      </w:r>
      <w:r w:rsidRPr="000A40E6">
        <w:rPr>
          <w:rFonts w:cs="Times New Roman"/>
          <w:szCs w:val="24"/>
        </w:rPr>
        <w:t>olmadığını bildirmişle</w:t>
      </w:r>
      <w:r w:rsidR="00B50F0C" w:rsidRPr="000A40E6">
        <w:rPr>
          <w:rFonts w:cs="Times New Roman"/>
          <w:szCs w:val="24"/>
        </w:rPr>
        <w:t>rdir</w:t>
      </w:r>
      <w:r w:rsidRPr="000A40E6">
        <w:rPr>
          <w:rFonts w:cs="Times New Roman"/>
          <w:szCs w:val="24"/>
        </w:rPr>
        <w:t>.</w:t>
      </w:r>
    </w:p>
    <w:p w14:paraId="3078158E" w14:textId="6A6FC45E" w:rsidR="00FD1DD5" w:rsidRPr="000A40E6" w:rsidRDefault="003D35EC" w:rsidP="00F756C3">
      <w:pPr>
        <w:suppressAutoHyphens/>
        <w:spacing w:after="120"/>
        <w:rPr>
          <w:rFonts w:cs="Times New Roman"/>
          <w:szCs w:val="24"/>
        </w:rPr>
      </w:pPr>
      <w:r w:rsidRPr="000A40E6">
        <w:rPr>
          <w:rFonts w:cs="Times New Roman"/>
          <w:szCs w:val="24"/>
        </w:rPr>
        <w:t>RME’nin diğer bir uygulaması nok</w:t>
      </w:r>
      <w:r w:rsidR="00FD1DD5" w:rsidRPr="000A40E6">
        <w:rPr>
          <w:rFonts w:cs="Times New Roman"/>
          <w:szCs w:val="24"/>
        </w:rPr>
        <w:t xml:space="preserve">turnal enürezisi (NE) olan çocuklardadır. NE, 5 yaşından büyük kızlarda ve 6 yaşından büyük erkeklerde ayda iki geceden fazla meydana gelen altını ıslatma olarak tanımlanır (Rushton, 1989). NE, üst hava yolu obstrüksiyonu, solunum problemleri ve uyku apnesi ile güçlü bir </w:t>
      </w:r>
      <w:proofErr w:type="gramStart"/>
      <w:r w:rsidR="00FD1DD5" w:rsidRPr="000A40E6">
        <w:rPr>
          <w:rFonts w:cs="Times New Roman"/>
          <w:szCs w:val="24"/>
        </w:rPr>
        <w:t>korelasyona</w:t>
      </w:r>
      <w:proofErr w:type="gramEnd"/>
      <w:r w:rsidR="00FD1DD5" w:rsidRPr="000A40E6">
        <w:rPr>
          <w:rFonts w:cs="Times New Roman"/>
          <w:szCs w:val="24"/>
        </w:rPr>
        <w:t xml:space="preserve"> sahiptir (Gray, </w:t>
      </w:r>
      <w:r w:rsidR="00FF34C6" w:rsidRPr="000A40E6">
        <w:rPr>
          <w:rFonts w:cs="Times New Roman"/>
          <w:szCs w:val="24"/>
        </w:rPr>
        <w:t xml:space="preserve">1975; Timms, 1999). </w:t>
      </w:r>
      <w:r w:rsidR="00FD1DD5" w:rsidRPr="000A40E6">
        <w:rPr>
          <w:rFonts w:cs="Times New Roman"/>
          <w:szCs w:val="24"/>
        </w:rPr>
        <w:t>Freeman</w:t>
      </w:r>
      <w:r w:rsidR="00FF34C6" w:rsidRPr="000A40E6">
        <w:rPr>
          <w:rFonts w:cs="Times New Roman"/>
          <w:szCs w:val="24"/>
        </w:rPr>
        <w:t xml:space="preserve"> (1970)</w:t>
      </w:r>
      <w:r w:rsidR="00FD1DD5" w:rsidRPr="000A40E6">
        <w:rPr>
          <w:rFonts w:cs="Times New Roman"/>
          <w:szCs w:val="24"/>
        </w:rPr>
        <w:t>, zihinsel engelli kişilerde NE'nin ortadan kaldırılmasında RME'nin beklenmedik bir faydas</w:t>
      </w:r>
      <w:r w:rsidR="00FF34C6" w:rsidRPr="000A40E6">
        <w:rPr>
          <w:rFonts w:cs="Times New Roman"/>
          <w:szCs w:val="24"/>
        </w:rPr>
        <w:t xml:space="preserve">ını göstermiştir. </w:t>
      </w:r>
      <w:r w:rsidR="00FD1DD5" w:rsidRPr="000A40E6">
        <w:rPr>
          <w:rFonts w:cs="Times New Roman"/>
          <w:szCs w:val="24"/>
        </w:rPr>
        <w:t xml:space="preserve">Bu durum aynı zamanda, maksiller ekspansiyonu takiben 1-4 ay içinde NE'de iyileşmenin rapor edildiği </w:t>
      </w:r>
      <w:proofErr w:type="gramStart"/>
      <w:r w:rsidR="00FD1DD5" w:rsidRPr="000A40E6">
        <w:rPr>
          <w:rFonts w:cs="Times New Roman"/>
          <w:szCs w:val="24"/>
        </w:rPr>
        <w:t>retrospektif</w:t>
      </w:r>
      <w:proofErr w:type="gramEnd"/>
      <w:r w:rsidR="00FD1DD5" w:rsidRPr="000A40E6">
        <w:rPr>
          <w:rFonts w:cs="Times New Roman"/>
          <w:szCs w:val="24"/>
        </w:rPr>
        <w:t xml:space="preserve"> bir çalışmada da gösterilmiştir (Timms, 1990). Diğer çalışmalarda da benzer bulgular bildirilmiştir (Kurol ve diğerleri, 1998; Schütz-Fransson ve Kurol, 2008; Usumez ve diğerleri, 2003).</w:t>
      </w:r>
    </w:p>
    <w:p w14:paraId="09DFBCBC" w14:textId="5CCD3405" w:rsidR="00FD1DD5" w:rsidRPr="000A40E6" w:rsidRDefault="00FD1DD5" w:rsidP="00F756C3">
      <w:pPr>
        <w:suppressAutoHyphens/>
        <w:spacing w:after="120"/>
        <w:rPr>
          <w:rFonts w:cs="Times New Roman"/>
          <w:szCs w:val="24"/>
        </w:rPr>
      </w:pPr>
      <w:r w:rsidRPr="000A40E6">
        <w:rPr>
          <w:rFonts w:cs="Times New Roman"/>
          <w:szCs w:val="24"/>
        </w:rPr>
        <w:t xml:space="preserve">Son olarak, primer baş ağrısı olan hastaların tedavisinde de RME kullanılabilir. RME tedavisinden sonra 32 hastada primer baş ağrısı </w:t>
      </w:r>
      <w:proofErr w:type="gramStart"/>
      <w:r w:rsidRPr="000A40E6">
        <w:rPr>
          <w:rFonts w:cs="Times New Roman"/>
          <w:szCs w:val="24"/>
        </w:rPr>
        <w:t>semptomlarının</w:t>
      </w:r>
      <w:proofErr w:type="gramEnd"/>
      <w:r w:rsidRPr="000A40E6">
        <w:rPr>
          <w:rFonts w:cs="Times New Roman"/>
          <w:szCs w:val="24"/>
        </w:rPr>
        <w:t xml:space="preserve"> kaybolduğu ve 9 hastada baş ağrısının şiddetinde azalma olduğu gösterilmiştir (Farronato ve diğerleri, 2008).</w:t>
      </w:r>
    </w:p>
    <w:p w14:paraId="67582B19" w14:textId="77777777" w:rsidR="00CF1575" w:rsidRPr="000A40E6" w:rsidRDefault="00CF1575" w:rsidP="00F756C3">
      <w:pPr>
        <w:suppressAutoHyphens/>
        <w:spacing w:after="120"/>
        <w:ind w:firstLine="0"/>
        <w:rPr>
          <w:rFonts w:cs="Times New Roman"/>
          <w:b/>
          <w:szCs w:val="24"/>
        </w:rPr>
      </w:pPr>
    </w:p>
    <w:p w14:paraId="3C7A3DC4" w14:textId="77777777" w:rsidR="00FD1DD5" w:rsidRPr="000A40E6" w:rsidRDefault="00FD1DD5" w:rsidP="00F756C3">
      <w:pPr>
        <w:suppressAutoHyphens/>
        <w:spacing w:after="120"/>
        <w:ind w:firstLine="0"/>
        <w:rPr>
          <w:rFonts w:cs="Times New Roman"/>
          <w:b/>
          <w:szCs w:val="24"/>
        </w:rPr>
      </w:pPr>
      <w:bookmarkStart w:id="38" w:name="_Toc136443380"/>
      <w:r w:rsidRPr="000A40E6">
        <w:rPr>
          <w:rFonts w:cs="Times New Roman"/>
          <w:b/>
          <w:szCs w:val="24"/>
        </w:rPr>
        <w:t>2.2.3. Rapid Maksiller Ekspansiyonun Kontraendikasyonları</w:t>
      </w:r>
      <w:bookmarkEnd w:id="38"/>
    </w:p>
    <w:p w14:paraId="38A06052" w14:textId="77777777" w:rsidR="00FD1DD5" w:rsidRPr="000A40E6" w:rsidRDefault="00FD1DD5" w:rsidP="00F756C3">
      <w:pPr>
        <w:suppressAutoHyphens/>
        <w:spacing w:after="120"/>
        <w:ind w:firstLine="0"/>
        <w:rPr>
          <w:rFonts w:cs="Times New Roman"/>
          <w:b/>
          <w:szCs w:val="24"/>
        </w:rPr>
      </w:pPr>
    </w:p>
    <w:p w14:paraId="7B9BF4A4" w14:textId="475196E8" w:rsidR="00FD1DD5" w:rsidRPr="000A40E6" w:rsidRDefault="00FD1DD5" w:rsidP="00F756C3">
      <w:pPr>
        <w:numPr>
          <w:ilvl w:val="0"/>
          <w:numId w:val="15"/>
        </w:numPr>
        <w:suppressAutoHyphens/>
        <w:spacing w:after="120"/>
        <w:ind w:left="567" w:hanging="142"/>
        <w:rPr>
          <w:rFonts w:cs="Times New Roman"/>
          <w:szCs w:val="24"/>
        </w:rPr>
      </w:pPr>
      <w:r w:rsidRPr="000A40E6">
        <w:rPr>
          <w:rFonts w:cs="Times New Roman"/>
          <w:szCs w:val="24"/>
        </w:rPr>
        <w:t>Tek diş çapraz kapanışta olan hastalar,</w:t>
      </w:r>
    </w:p>
    <w:p w14:paraId="29052307" w14:textId="77777777" w:rsidR="00FD1DD5" w:rsidRPr="000A40E6" w:rsidRDefault="00FD1DD5" w:rsidP="00F756C3">
      <w:pPr>
        <w:numPr>
          <w:ilvl w:val="0"/>
          <w:numId w:val="15"/>
        </w:numPr>
        <w:suppressAutoHyphens/>
        <w:spacing w:after="120"/>
        <w:ind w:left="567" w:hanging="142"/>
        <w:rPr>
          <w:rFonts w:cs="Times New Roman"/>
          <w:szCs w:val="24"/>
        </w:rPr>
      </w:pPr>
      <w:r w:rsidRPr="000A40E6">
        <w:rPr>
          <w:rFonts w:cs="Times New Roman"/>
          <w:szCs w:val="24"/>
        </w:rPr>
        <w:t xml:space="preserve">Ön açık kapanış, dik mandibular düzlem ve konveks </w:t>
      </w:r>
      <w:proofErr w:type="gramStart"/>
      <w:r w:rsidRPr="000A40E6">
        <w:rPr>
          <w:rFonts w:cs="Times New Roman"/>
          <w:szCs w:val="24"/>
        </w:rPr>
        <w:t>profile</w:t>
      </w:r>
      <w:proofErr w:type="gramEnd"/>
      <w:r w:rsidRPr="000A40E6">
        <w:rPr>
          <w:rFonts w:cs="Times New Roman"/>
          <w:szCs w:val="24"/>
        </w:rPr>
        <w:t xml:space="preserve"> sahip hastalar,</w:t>
      </w:r>
    </w:p>
    <w:p w14:paraId="451D894D" w14:textId="77777777" w:rsidR="00FD1DD5" w:rsidRPr="000A40E6" w:rsidRDefault="00FD1DD5" w:rsidP="00F756C3">
      <w:pPr>
        <w:numPr>
          <w:ilvl w:val="0"/>
          <w:numId w:val="15"/>
        </w:numPr>
        <w:suppressAutoHyphens/>
        <w:spacing w:after="120"/>
        <w:ind w:left="567" w:hanging="142"/>
        <w:rPr>
          <w:rFonts w:cs="Times New Roman"/>
          <w:szCs w:val="24"/>
        </w:rPr>
      </w:pPr>
      <w:r w:rsidRPr="000A40E6">
        <w:rPr>
          <w:rFonts w:cs="Times New Roman"/>
          <w:szCs w:val="24"/>
        </w:rPr>
        <w:t>Maksilla veya mandibulada iskeletsel asimetrisi olan hastalar,</w:t>
      </w:r>
    </w:p>
    <w:p w14:paraId="19292CEF" w14:textId="77777777" w:rsidR="00FD1DD5" w:rsidRPr="000A40E6" w:rsidRDefault="00FD1DD5" w:rsidP="00F756C3">
      <w:pPr>
        <w:numPr>
          <w:ilvl w:val="0"/>
          <w:numId w:val="15"/>
        </w:numPr>
        <w:suppressAutoHyphens/>
        <w:spacing w:after="120"/>
        <w:ind w:left="567" w:hanging="142"/>
        <w:rPr>
          <w:rFonts w:cs="Times New Roman"/>
          <w:szCs w:val="24"/>
        </w:rPr>
      </w:pPr>
      <w:r w:rsidRPr="000A40E6">
        <w:rPr>
          <w:rFonts w:cs="Times New Roman"/>
          <w:szCs w:val="24"/>
        </w:rPr>
        <w:t>Ortognatik cerrahi planlanan ciddi anteroposterior ve vertikal uyumsuzlukları olan erişkinler,</w:t>
      </w:r>
    </w:p>
    <w:p w14:paraId="5BAD9E1F" w14:textId="20171C1F" w:rsidR="00FD1DD5" w:rsidRPr="000A40E6" w:rsidRDefault="00FD1DD5" w:rsidP="00F756C3">
      <w:pPr>
        <w:numPr>
          <w:ilvl w:val="0"/>
          <w:numId w:val="15"/>
        </w:numPr>
        <w:suppressAutoHyphens/>
        <w:spacing w:after="120"/>
        <w:ind w:left="567" w:hanging="142"/>
        <w:rPr>
          <w:rFonts w:cs="Times New Roman"/>
          <w:szCs w:val="24"/>
        </w:rPr>
      </w:pPr>
      <w:r w:rsidRPr="000A40E6">
        <w:rPr>
          <w:rFonts w:cs="Times New Roman"/>
          <w:szCs w:val="24"/>
        </w:rPr>
        <w:t>Kooperasyon eksi</w:t>
      </w:r>
      <w:r w:rsidR="00F355AD" w:rsidRPr="000A40E6">
        <w:rPr>
          <w:rFonts w:cs="Times New Roman"/>
          <w:szCs w:val="24"/>
        </w:rPr>
        <w:t>k</w:t>
      </w:r>
      <w:r w:rsidRPr="000A40E6">
        <w:rPr>
          <w:rFonts w:cs="Times New Roman"/>
          <w:szCs w:val="24"/>
        </w:rPr>
        <w:t>liği gösteren hastalar (Bishara ve Staley, 1987).</w:t>
      </w:r>
    </w:p>
    <w:p w14:paraId="14B2C2D1" w14:textId="77777777" w:rsidR="00FD1DD5" w:rsidRPr="000A40E6" w:rsidRDefault="00FD1DD5" w:rsidP="00F756C3">
      <w:pPr>
        <w:suppressAutoHyphens/>
        <w:spacing w:after="120"/>
        <w:rPr>
          <w:rFonts w:cs="Times New Roman"/>
          <w:b/>
          <w:szCs w:val="24"/>
        </w:rPr>
      </w:pPr>
    </w:p>
    <w:p w14:paraId="28E895CF" w14:textId="77777777" w:rsidR="00FD1DD5" w:rsidRPr="000A40E6" w:rsidRDefault="00FD1DD5" w:rsidP="00F756C3">
      <w:pPr>
        <w:suppressAutoHyphens/>
        <w:spacing w:after="120"/>
        <w:ind w:firstLine="0"/>
        <w:rPr>
          <w:rFonts w:cs="Times New Roman"/>
          <w:b/>
          <w:szCs w:val="24"/>
        </w:rPr>
      </w:pPr>
      <w:bookmarkStart w:id="39" w:name="_Toc136443381"/>
      <w:r w:rsidRPr="000A40E6">
        <w:rPr>
          <w:rFonts w:cs="Times New Roman"/>
          <w:b/>
          <w:szCs w:val="24"/>
        </w:rPr>
        <w:t>2.2.4. Rapid Maksiller Ekspansiyonun Biyomekaniği</w:t>
      </w:r>
      <w:bookmarkEnd w:id="39"/>
    </w:p>
    <w:p w14:paraId="7DC7DD6B" w14:textId="77777777" w:rsidR="00FD1DD5" w:rsidRPr="000A40E6" w:rsidRDefault="00FD1DD5" w:rsidP="00F756C3">
      <w:pPr>
        <w:suppressAutoHyphens/>
        <w:spacing w:after="120"/>
        <w:rPr>
          <w:rFonts w:cs="Times New Roman"/>
          <w:b/>
          <w:szCs w:val="24"/>
        </w:rPr>
      </w:pPr>
    </w:p>
    <w:p w14:paraId="77864D0D" w14:textId="319EA2EF" w:rsidR="00FD1DD5" w:rsidRPr="000A40E6" w:rsidRDefault="00FD1DD5" w:rsidP="00F756C3">
      <w:pPr>
        <w:suppressAutoHyphens/>
        <w:spacing w:after="120"/>
        <w:rPr>
          <w:rFonts w:cs="Times New Roman"/>
          <w:szCs w:val="24"/>
        </w:rPr>
      </w:pPr>
      <w:r w:rsidRPr="000A40E6">
        <w:rPr>
          <w:rFonts w:cs="Times New Roman"/>
          <w:szCs w:val="24"/>
        </w:rPr>
        <w:t>RME tedavisinde diş destekli apareyler kullanıldığında işlem sırasında meydana gelen kuvvet öncelikle dişler vasıtasıyla periodontal ligamente, sonr</w:t>
      </w:r>
      <w:r w:rsidR="00C71D8D" w:rsidRPr="000A40E6">
        <w:rPr>
          <w:rFonts w:cs="Times New Roman"/>
          <w:szCs w:val="24"/>
        </w:rPr>
        <w:t>a alveola</w:t>
      </w:r>
      <w:r w:rsidR="00B71411" w:rsidRPr="000A40E6">
        <w:rPr>
          <w:rFonts w:cs="Times New Roman"/>
          <w:szCs w:val="24"/>
        </w:rPr>
        <w:t xml:space="preserve">r kemiğe ve son olarak da </w:t>
      </w:r>
      <w:r w:rsidRPr="000A40E6">
        <w:rPr>
          <w:rFonts w:cs="Times New Roman"/>
          <w:szCs w:val="24"/>
        </w:rPr>
        <w:t>maksiller kemiğe iletilir (Haas, 1965). Apareyde aktivasyon yapıldığında ilk önce periodontal ligamentte sık</w:t>
      </w:r>
      <w:r w:rsidR="00C71D8D" w:rsidRPr="000A40E6">
        <w:rPr>
          <w:rFonts w:cs="Times New Roman"/>
          <w:szCs w:val="24"/>
        </w:rPr>
        <w:t>ışma meydana gelir. Bunu alveola</w:t>
      </w:r>
      <w:r w:rsidRPr="000A40E6">
        <w:rPr>
          <w:rFonts w:cs="Times New Roman"/>
          <w:szCs w:val="24"/>
        </w:rPr>
        <w:t>r proçeslerde eğilme ve ankraj dişlerde gözlenen devrilme takip eder (</w:t>
      </w:r>
      <w:r w:rsidRPr="000A40E6">
        <w:rPr>
          <w:rFonts w:cs="Times New Roman"/>
          <w:szCs w:val="24"/>
          <w:lang w:val="en-US"/>
        </w:rPr>
        <w:t>Haas, 1961</w:t>
      </w:r>
      <w:r w:rsidRPr="000A40E6">
        <w:rPr>
          <w:rFonts w:cs="Times New Roman"/>
          <w:szCs w:val="24"/>
        </w:rPr>
        <w:t xml:space="preserve">). Ortopedik kuvvetin periodontal </w:t>
      </w:r>
      <w:r w:rsidR="00C71D8D" w:rsidRPr="000A40E6">
        <w:rPr>
          <w:rFonts w:cs="Times New Roman"/>
          <w:szCs w:val="24"/>
        </w:rPr>
        <w:t>ligamentler aracılığıyla alveola</w:t>
      </w:r>
      <w:r w:rsidRPr="000A40E6">
        <w:rPr>
          <w:rFonts w:cs="Times New Roman"/>
          <w:szCs w:val="24"/>
        </w:rPr>
        <w:t>r kemiğe ve maksiller kemiğe iletilmesi sonucu maksilla midpalatal süturdan ikiye ayrılır (Bishara ve Staley, 1987). Sonra da maksiller segmentler arasında meydana gelen defekt, yeni kemik yapımı ile tamir edilir (Ekström ve diğerleri, 1977).</w:t>
      </w:r>
    </w:p>
    <w:p w14:paraId="7646DD3C" w14:textId="01007782" w:rsidR="00FD1DD5" w:rsidRPr="000A40E6" w:rsidRDefault="00FD1DD5" w:rsidP="00F756C3">
      <w:pPr>
        <w:suppressAutoHyphens/>
        <w:spacing w:after="120"/>
        <w:rPr>
          <w:rFonts w:cs="Times New Roman"/>
          <w:szCs w:val="24"/>
        </w:rPr>
      </w:pPr>
      <w:r w:rsidRPr="000A40E6">
        <w:rPr>
          <w:rFonts w:cs="Times New Roman"/>
          <w:szCs w:val="24"/>
        </w:rPr>
        <w:t>RME iki fazdan oluşmaktadır. Birinci fazı süturun açılması ile maksillanın aktif olarak ekspansiyonu, ikinci fazı ise palatal süturun reorganizasyonu ve kalsifikasyonu için gereken</w:t>
      </w:r>
      <w:r w:rsidR="006975E4" w:rsidRPr="000A40E6">
        <w:rPr>
          <w:rFonts w:cs="Times New Roman"/>
          <w:szCs w:val="24"/>
        </w:rPr>
        <w:t xml:space="preserve"> retansiyon periyodu</w:t>
      </w:r>
      <w:r w:rsidRPr="000A40E6">
        <w:rPr>
          <w:rFonts w:cs="Times New Roman"/>
          <w:szCs w:val="24"/>
        </w:rPr>
        <w:t xml:space="preserve"> oluşturmaktadır (Sarver ve Johnston, 1989). Aktif ekspansiyon periyodu sonunda oluşacak rezidüel yükler, hareket ettirilmiş maksiller segmentlerin geriye kollabe olmasına neden olacaktır (</w:t>
      </w:r>
      <w:r w:rsidRPr="000A40E6">
        <w:rPr>
          <w:rFonts w:cs="Times New Roman"/>
          <w:szCs w:val="24"/>
          <w:lang w:val="en-US"/>
        </w:rPr>
        <w:t>Zimring ve Isaacson, 1965</w:t>
      </w:r>
      <w:r w:rsidRPr="000A40E6">
        <w:rPr>
          <w:rFonts w:cs="Times New Roman"/>
          <w:szCs w:val="24"/>
        </w:rPr>
        <w:t>).</w:t>
      </w:r>
    </w:p>
    <w:p w14:paraId="17A24E32" w14:textId="2DDD8437" w:rsidR="00FD1DD5" w:rsidRPr="000A40E6" w:rsidRDefault="00FD1DD5" w:rsidP="00F756C3">
      <w:pPr>
        <w:suppressAutoHyphens/>
        <w:spacing w:after="120"/>
        <w:rPr>
          <w:rFonts w:cs="Times New Roman"/>
          <w:szCs w:val="24"/>
        </w:rPr>
      </w:pPr>
      <w:r w:rsidRPr="000A40E6">
        <w:rPr>
          <w:rFonts w:cs="Times New Roman"/>
          <w:szCs w:val="24"/>
        </w:rPr>
        <w:t>RME apareyi tarafından ür</w:t>
      </w:r>
      <w:r w:rsidR="00C71D8D" w:rsidRPr="000A40E6">
        <w:rPr>
          <w:rFonts w:cs="Times New Roman"/>
          <w:szCs w:val="24"/>
        </w:rPr>
        <w:t>etilen kuvvet, maksiller alveola</w:t>
      </w:r>
      <w:r w:rsidRPr="000A40E6">
        <w:rPr>
          <w:rFonts w:cs="Times New Roman"/>
          <w:szCs w:val="24"/>
        </w:rPr>
        <w:t>r proçeslerin yer değiştirmesi ve iskeletsel direncin üstesinden gelebilmesi için yeterli büyüklükte olmalıdır. RME apareyinin ekspansiyon vidasının tek bir aktivasyonu ile 1350-4500 g kuvvet oluşmaktadır. Aktivasyondan hemen sonra maksimum yük ortaya çıkar ve ardından kuvvet dağılmaya başlar (Isaacson ve Murphy, 1964). RME’de uygulanan kuvvet aralıklıdır ve vidanın ilk çevrilmesi ile ortaya çıkan kuvvet bir sonraki aktivasyona kadar sıfırlanır (Zimring ve Isaacson, 1965).</w:t>
      </w:r>
    </w:p>
    <w:p w14:paraId="489E9055" w14:textId="26260035" w:rsidR="00FD1DD5" w:rsidRPr="000A40E6" w:rsidRDefault="00FD1DD5" w:rsidP="00F756C3">
      <w:pPr>
        <w:suppressAutoHyphens/>
        <w:spacing w:after="120"/>
        <w:rPr>
          <w:rFonts w:cs="Times New Roman"/>
          <w:szCs w:val="24"/>
        </w:rPr>
      </w:pPr>
      <w:r w:rsidRPr="000A40E6">
        <w:rPr>
          <w:rFonts w:cs="Times New Roman"/>
          <w:szCs w:val="24"/>
        </w:rPr>
        <w:t>Kemiği hareket ettirmek için gereken kuvvetlerin büyüklüğü 900-4.500 g iken dişleri hareket ettirmek için gereken kuvvet yaklaşık 10-100 g’dır. Bu kuvvet başlangıçta hızla dağılır, daha sonra giderek zayıflar (Chaconas ve Caputo, 1982). Ayrıca daha genç hastalarda, yaşlı hastalara göre kuvvetler daha hızlı dağılır (Zimring ve Isaacson, 1965). Sonlu elemanlar analizi kullanılarak yapılan bir çalışmada, RME'de oluşan kuvvetlerin 120 Newton'a (N) ulaşabileceği, ancak sütur kırıldıktan sonra kuvvetin 25 N'ye kadar düştüğü bildirilmiştir (Sander ve diğerleri, 2006).</w:t>
      </w:r>
    </w:p>
    <w:p w14:paraId="15FE5954" w14:textId="77777777" w:rsidR="00305F09" w:rsidRPr="000A40E6" w:rsidRDefault="00305F09" w:rsidP="00F756C3">
      <w:pPr>
        <w:suppressAutoHyphens/>
        <w:spacing w:after="120"/>
        <w:rPr>
          <w:rFonts w:cs="Times New Roman"/>
          <w:szCs w:val="24"/>
        </w:rPr>
      </w:pPr>
    </w:p>
    <w:p w14:paraId="59B59E64" w14:textId="77777777" w:rsidR="00FD1DD5" w:rsidRPr="000A40E6" w:rsidRDefault="00FD1DD5" w:rsidP="00F756C3">
      <w:pPr>
        <w:suppressAutoHyphens/>
        <w:spacing w:after="120"/>
        <w:ind w:firstLine="0"/>
        <w:rPr>
          <w:rFonts w:cs="Times New Roman"/>
          <w:szCs w:val="24"/>
        </w:rPr>
      </w:pPr>
      <w:bookmarkStart w:id="40" w:name="_Toc136443382"/>
      <w:r w:rsidRPr="000A40E6">
        <w:rPr>
          <w:rFonts w:cs="Times New Roman"/>
          <w:b/>
          <w:szCs w:val="24"/>
        </w:rPr>
        <w:t>2.2.5. Rapid Maksiller Ekspansiyonun Tedavi Zamanlaması</w:t>
      </w:r>
      <w:bookmarkEnd w:id="40"/>
    </w:p>
    <w:p w14:paraId="278A48FB" w14:textId="77777777" w:rsidR="00FD1DD5" w:rsidRPr="000A40E6" w:rsidRDefault="00FD1DD5" w:rsidP="00F756C3">
      <w:pPr>
        <w:suppressAutoHyphens/>
        <w:spacing w:after="120"/>
        <w:rPr>
          <w:rFonts w:cs="Times New Roman"/>
          <w:b/>
          <w:szCs w:val="24"/>
        </w:rPr>
      </w:pPr>
    </w:p>
    <w:p w14:paraId="7F1E992D" w14:textId="1AE2BD02" w:rsidR="00FD1DD5" w:rsidRPr="000A40E6" w:rsidRDefault="00FD1DD5" w:rsidP="00F756C3">
      <w:pPr>
        <w:suppressAutoHyphens/>
        <w:spacing w:after="120"/>
        <w:rPr>
          <w:rFonts w:cs="Times New Roman"/>
          <w:szCs w:val="24"/>
        </w:rPr>
      </w:pPr>
      <w:r w:rsidRPr="000A40E6">
        <w:rPr>
          <w:rFonts w:cs="Times New Roman"/>
          <w:szCs w:val="24"/>
        </w:rPr>
        <w:t xml:space="preserve">Tüm kraniyofasiyal süturlar gibi midpalatal sütur da yaşla birlikte daha kıvrımlı ve iç içe geçmiş hale gelir. 10 yaşına kadar olan çocuklarda, hemen hemen her ekspansiyon apareyi midpalatal süturu </w:t>
      </w:r>
      <w:r w:rsidR="00E26578" w:rsidRPr="000A40E6">
        <w:rPr>
          <w:rFonts w:cs="Times New Roman"/>
          <w:szCs w:val="24"/>
        </w:rPr>
        <w:t>açabilmektedir</w:t>
      </w:r>
      <w:r w:rsidRPr="000A40E6">
        <w:rPr>
          <w:rFonts w:cs="Times New Roman"/>
          <w:szCs w:val="24"/>
        </w:rPr>
        <w:t>. Bununla birlikte, ergenlik döneminde birbirine kenetlenmiş süturu açmak için nispeten ağır bir kuv</w:t>
      </w:r>
      <w:r w:rsidR="00EF397C" w:rsidRPr="000A40E6">
        <w:rPr>
          <w:rFonts w:cs="Times New Roman"/>
          <w:szCs w:val="24"/>
        </w:rPr>
        <w:t>vet gerekir (Proffit ve diğerleri</w:t>
      </w:r>
      <w:r w:rsidRPr="000A40E6">
        <w:rPr>
          <w:rFonts w:cs="Times New Roman"/>
          <w:szCs w:val="24"/>
        </w:rPr>
        <w:t>, 2007).</w:t>
      </w:r>
    </w:p>
    <w:p w14:paraId="53E744F0" w14:textId="0779C1B5" w:rsidR="00FD1DD5" w:rsidRPr="000A40E6" w:rsidRDefault="001A1BD2" w:rsidP="00F756C3">
      <w:pPr>
        <w:suppressAutoHyphens/>
        <w:spacing w:after="120"/>
        <w:rPr>
          <w:rFonts w:cs="Times New Roman"/>
          <w:szCs w:val="24"/>
        </w:rPr>
      </w:pPr>
      <w:r w:rsidRPr="000A40E6">
        <w:rPr>
          <w:rFonts w:cs="Times New Roman"/>
          <w:szCs w:val="24"/>
        </w:rPr>
        <w:t>Araştırmalar</w:t>
      </w:r>
      <w:r w:rsidR="00FD1DD5" w:rsidRPr="000A40E6">
        <w:rPr>
          <w:rFonts w:cs="Times New Roman"/>
          <w:szCs w:val="24"/>
        </w:rPr>
        <w:t>, hastanın pubertal büyüme döneminin, ekspansiyon sırasında beklenen dişsel ve iskel</w:t>
      </w:r>
      <w:r w:rsidR="0046499A" w:rsidRPr="000A40E6">
        <w:rPr>
          <w:rFonts w:cs="Times New Roman"/>
          <w:szCs w:val="24"/>
        </w:rPr>
        <w:t>etsel değişiklik miktarı üzerin</w:t>
      </w:r>
      <w:r w:rsidR="00FD1DD5" w:rsidRPr="000A40E6">
        <w:rPr>
          <w:rFonts w:cs="Times New Roman"/>
          <w:szCs w:val="24"/>
        </w:rPr>
        <w:t>e bir etkiye sahip olduğunu bulmuştur. Bell</w:t>
      </w:r>
      <w:r w:rsidR="000F53F6" w:rsidRPr="000A40E6">
        <w:rPr>
          <w:rFonts w:cs="Times New Roman"/>
          <w:szCs w:val="24"/>
        </w:rPr>
        <w:t xml:space="preserve"> (1982), </w:t>
      </w:r>
      <w:r w:rsidR="00FD1DD5" w:rsidRPr="000A40E6">
        <w:rPr>
          <w:rFonts w:cs="Times New Roman"/>
          <w:szCs w:val="24"/>
        </w:rPr>
        <w:t>pubertal büyüme atılımını çoktan tamamlamış hastalarda midpalatal süturun açılmasının daha zor olduğu ve ekspansiyon için en uygun zamanın pubertal büyüme döneminden önce veya sırasında olması gerektiğini b</w:t>
      </w:r>
      <w:r w:rsidR="00603843" w:rsidRPr="000A40E6">
        <w:rPr>
          <w:rFonts w:cs="Times New Roman"/>
          <w:szCs w:val="24"/>
        </w:rPr>
        <w:t>ildirmiştir</w:t>
      </w:r>
      <w:r w:rsidR="00FD1DD5" w:rsidRPr="000A40E6">
        <w:rPr>
          <w:rFonts w:cs="Times New Roman"/>
          <w:szCs w:val="24"/>
        </w:rPr>
        <w:t>. Bu bağlamda Baccetti ve diğerleri</w:t>
      </w:r>
      <w:r w:rsidR="001E0257" w:rsidRPr="000A40E6">
        <w:rPr>
          <w:rFonts w:cs="Times New Roman"/>
          <w:szCs w:val="24"/>
        </w:rPr>
        <w:t xml:space="preserve"> </w:t>
      </w:r>
      <w:r w:rsidR="00FD1DD5" w:rsidRPr="000A40E6">
        <w:rPr>
          <w:rFonts w:cs="Times New Roman"/>
          <w:szCs w:val="24"/>
        </w:rPr>
        <w:t xml:space="preserve">servikal vertebra maturasyon </w:t>
      </w:r>
      <w:proofErr w:type="gramStart"/>
      <w:r w:rsidR="00FD1DD5" w:rsidRPr="000A40E6">
        <w:rPr>
          <w:rFonts w:cs="Times New Roman"/>
          <w:szCs w:val="24"/>
        </w:rPr>
        <w:t>skalasının</w:t>
      </w:r>
      <w:proofErr w:type="gramEnd"/>
      <w:r w:rsidR="00FD1DD5" w:rsidRPr="000A40E6">
        <w:rPr>
          <w:rFonts w:cs="Times New Roman"/>
          <w:szCs w:val="24"/>
        </w:rPr>
        <w:t xml:space="preserve"> farklı evrelerine sahip hastaları değerlendirmişler ve RME apareyi ile tedavinin başlangıcında henüz pubertal büyüme atağına ulaşmamış olan hastaların midpalatal süturunda ortalama 3 mm genişleme görülürken, pubertal büyüme atağından sonra tedavi edilen hastaların midpalatal süturunda ortalama 0,9 mm genişleme olduğu belirtilmiştir. Bulgular, prepubertal dönemde tedavi edilen bireylerde, iskeletsel olarak uzun dönemde daha etkili sonuçların olduğunu, postpubertal dönemde tedavi edilen bireylerde ise daha çok dişsel etkinin olduğunu göstermişt</w:t>
      </w:r>
      <w:r w:rsidR="00F94F6A" w:rsidRPr="000A40E6">
        <w:rPr>
          <w:rFonts w:cs="Times New Roman"/>
          <w:szCs w:val="24"/>
        </w:rPr>
        <w:t>ir</w:t>
      </w:r>
      <w:r w:rsidR="001E0257" w:rsidRPr="000A40E6">
        <w:rPr>
          <w:rFonts w:cs="Times New Roman"/>
          <w:szCs w:val="24"/>
        </w:rPr>
        <w:t xml:space="preserve"> </w:t>
      </w:r>
      <w:proofErr w:type="gramStart"/>
      <w:r w:rsidR="001E0257" w:rsidRPr="000A40E6">
        <w:rPr>
          <w:rFonts w:cs="Times New Roman"/>
          <w:szCs w:val="24"/>
        </w:rPr>
        <w:t>(</w:t>
      </w:r>
      <w:proofErr w:type="gramEnd"/>
      <w:r w:rsidR="001E0257" w:rsidRPr="000A40E6">
        <w:rPr>
          <w:rFonts w:cs="Times New Roman"/>
          <w:szCs w:val="24"/>
        </w:rPr>
        <w:t>Baccetti ve diğerleri (2001).</w:t>
      </w:r>
    </w:p>
    <w:p w14:paraId="6A4C931C" w14:textId="77777777" w:rsidR="00FD1DD5" w:rsidRPr="000A40E6" w:rsidRDefault="00FD1DD5" w:rsidP="00F756C3">
      <w:pPr>
        <w:suppressAutoHyphens/>
        <w:spacing w:after="120"/>
        <w:rPr>
          <w:rFonts w:cs="Times New Roman"/>
          <w:szCs w:val="24"/>
        </w:rPr>
      </w:pPr>
    </w:p>
    <w:p w14:paraId="16B496E8" w14:textId="77777777" w:rsidR="00FD1DD5" w:rsidRPr="000A40E6" w:rsidRDefault="00FD1DD5" w:rsidP="00F756C3">
      <w:pPr>
        <w:suppressAutoHyphens/>
        <w:spacing w:after="120"/>
        <w:ind w:firstLine="0"/>
        <w:rPr>
          <w:rFonts w:cs="Times New Roman"/>
          <w:b/>
          <w:szCs w:val="24"/>
        </w:rPr>
      </w:pPr>
      <w:bookmarkStart w:id="41" w:name="_Toc136443383"/>
      <w:r w:rsidRPr="000A40E6">
        <w:rPr>
          <w:rFonts w:cs="Times New Roman"/>
          <w:b/>
          <w:szCs w:val="24"/>
        </w:rPr>
        <w:t>2.2.6. Rapid Maksiller Ekspansiyonun Klinik Uygulaması</w:t>
      </w:r>
      <w:bookmarkEnd w:id="41"/>
    </w:p>
    <w:p w14:paraId="290DEDD1" w14:textId="77777777" w:rsidR="00FD1DD5" w:rsidRPr="000A40E6" w:rsidRDefault="00FD1DD5" w:rsidP="00F756C3">
      <w:pPr>
        <w:suppressAutoHyphens/>
        <w:spacing w:after="120"/>
        <w:ind w:firstLine="0"/>
        <w:rPr>
          <w:rFonts w:cs="Times New Roman"/>
          <w:b/>
          <w:szCs w:val="24"/>
        </w:rPr>
      </w:pPr>
    </w:p>
    <w:p w14:paraId="166932DC" w14:textId="77777777" w:rsidR="00FD1DD5" w:rsidRPr="000A40E6" w:rsidRDefault="00FD1DD5" w:rsidP="00F756C3">
      <w:pPr>
        <w:suppressAutoHyphens/>
        <w:spacing w:after="120"/>
        <w:ind w:firstLine="0"/>
        <w:rPr>
          <w:rFonts w:cs="Times New Roman"/>
          <w:b/>
          <w:szCs w:val="24"/>
        </w:rPr>
      </w:pPr>
      <w:bookmarkStart w:id="42" w:name="_Toc136443384"/>
      <w:r w:rsidRPr="000A40E6">
        <w:rPr>
          <w:rFonts w:cs="Times New Roman"/>
          <w:b/>
          <w:szCs w:val="24"/>
        </w:rPr>
        <w:t>2.2.6.1. Ekspansiyon Miktarı</w:t>
      </w:r>
      <w:bookmarkEnd w:id="42"/>
    </w:p>
    <w:p w14:paraId="5CD0E3C8" w14:textId="77777777" w:rsidR="00FD1DD5" w:rsidRPr="000A40E6" w:rsidRDefault="00FD1DD5" w:rsidP="00F756C3">
      <w:pPr>
        <w:suppressAutoHyphens/>
        <w:spacing w:after="120"/>
        <w:rPr>
          <w:rFonts w:cs="Times New Roman"/>
          <w:b/>
          <w:szCs w:val="24"/>
        </w:rPr>
      </w:pPr>
    </w:p>
    <w:p w14:paraId="54BF62E5" w14:textId="33D9241B" w:rsidR="00FD1DD5" w:rsidRPr="000A40E6" w:rsidRDefault="00C71D8D" w:rsidP="00F756C3">
      <w:pPr>
        <w:suppressAutoHyphens/>
        <w:spacing w:after="120"/>
        <w:rPr>
          <w:rFonts w:cs="Times New Roman"/>
          <w:szCs w:val="24"/>
        </w:rPr>
      </w:pPr>
      <w:r w:rsidRPr="000A40E6">
        <w:rPr>
          <w:rFonts w:cs="Times New Roman"/>
          <w:szCs w:val="24"/>
        </w:rPr>
        <w:t>RME sonrasında, alveola</w:t>
      </w:r>
      <w:r w:rsidR="00FD1DD5" w:rsidRPr="000A40E6">
        <w:rPr>
          <w:rFonts w:cs="Times New Roman"/>
          <w:szCs w:val="24"/>
        </w:rPr>
        <w:t>r proçesler üzerinde birikmiş rezidüel kuvvetler sonucu (Mew, 1983) ve yumuşak doku direncine bağlı olarak maksiller posterior dişlerin dikleşme eğilimi göstermeleri nedeniyle, 2-3 mm aşırı düzeltim yapılması gerektiği belirtilmiştir (Wertz, 1968). Oluşacak nüksü telafi etmek</w:t>
      </w:r>
      <w:r w:rsidR="00531B60" w:rsidRPr="000A40E6">
        <w:rPr>
          <w:rFonts w:cs="Times New Roman"/>
          <w:szCs w:val="24"/>
        </w:rPr>
        <w:t xml:space="preserve"> için maksiller dişlerin palatinal</w:t>
      </w:r>
      <w:r w:rsidR="00FD1DD5" w:rsidRPr="000A40E6">
        <w:rPr>
          <w:rFonts w:cs="Times New Roman"/>
          <w:szCs w:val="24"/>
        </w:rPr>
        <w:t xml:space="preserve"> tüberkülleri, mandibular dişlerin bukkal tüberkülleri ile aynı seviyeye gelene kadar maksiller arkın ekspansiyonu önerilir (Timms, 1981).</w:t>
      </w:r>
    </w:p>
    <w:p w14:paraId="7B1D1DE3" w14:textId="27109264" w:rsidR="000C2659" w:rsidRPr="000A40E6" w:rsidRDefault="00FD1DD5" w:rsidP="00F756C3">
      <w:pPr>
        <w:suppressAutoHyphens/>
        <w:spacing w:after="120"/>
        <w:rPr>
          <w:rFonts w:cs="Times New Roman"/>
          <w:szCs w:val="24"/>
        </w:rPr>
      </w:pPr>
      <w:r w:rsidRPr="000A40E6">
        <w:rPr>
          <w:rFonts w:cs="Times New Roman"/>
          <w:szCs w:val="24"/>
        </w:rPr>
        <w:t>Bishara ve Staley</w:t>
      </w:r>
      <w:r w:rsidR="00877F3A" w:rsidRPr="000A40E6">
        <w:rPr>
          <w:rFonts w:cs="Times New Roman"/>
          <w:szCs w:val="24"/>
        </w:rPr>
        <w:t xml:space="preserve"> (1987)</w:t>
      </w:r>
      <w:r w:rsidRPr="000A40E6">
        <w:rPr>
          <w:rFonts w:cs="Times New Roman"/>
          <w:szCs w:val="24"/>
        </w:rPr>
        <w:t>, gerekli ekspansiyon miktarını değerlendirmenin basit bir yöntemini tanımla</w:t>
      </w:r>
      <w:r w:rsidR="00877F3A" w:rsidRPr="000A40E6">
        <w:rPr>
          <w:rFonts w:cs="Times New Roman"/>
          <w:szCs w:val="24"/>
        </w:rPr>
        <w:t>mıştır</w:t>
      </w:r>
      <w:r w:rsidRPr="000A40E6">
        <w:rPr>
          <w:rFonts w:cs="Times New Roman"/>
          <w:szCs w:val="24"/>
        </w:rPr>
        <w:t xml:space="preserve">. Başlangıçta, mandibular 1. molar dişler üzerindeki bukkal olukların diş etine en yakın uzantıları arasındaki mesafe </w:t>
      </w:r>
      <w:proofErr w:type="gramStart"/>
      <w:r w:rsidRPr="000A40E6">
        <w:rPr>
          <w:rFonts w:cs="Times New Roman"/>
          <w:szCs w:val="24"/>
        </w:rPr>
        <w:t>il</w:t>
      </w:r>
      <w:r w:rsidR="00D868D3" w:rsidRPr="000A40E6">
        <w:rPr>
          <w:rFonts w:cs="Times New Roman"/>
          <w:szCs w:val="24"/>
        </w:rPr>
        <w:t>e,</w:t>
      </w:r>
      <w:proofErr w:type="gramEnd"/>
      <w:r w:rsidR="00D868D3" w:rsidRPr="000A40E6">
        <w:rPr>
          <w:rFonts w:cs="Times New Roman"/>
          <w:szCs w:val="24"/>
        </w:rPr>
        <w:t xml:space="preserve"> maksiller 1. molarların mezi</w:t>
      </w:r>
      <w:r w:rsidR="00BC6AFA" w:rsidRPr="000A40E6">
        <w:rPr>
          <w:rFonts w:cs="Times New Roman"/>
          <w:szCs w:val="24"/>
        </w:rPr>
        <w:t xml:space="preserve">obukkal </w:t>
      </w:r>
      <w:r w:rsidRPr="000A40E6">
        <w:rPr>
          <w:rFonts w:cs="Times New Roman"/>
          <w:szCs w:val="24"/>
        </w:rPr>
        <w:t>tüberküllerinin uçları arasındaki mesafe ölçülmüştür ve maksiller ölçümden mandibular ölçüm çıkarılmıştır. Normal oklüzyona sahip bireylerdeki bu fark erkeklerde +</w:t>
      </w:r>
      <w:proofErr w:type="gramStart"/>
      <w:r w:rsidRPr="000A40E6">
        <w:rPr>
          <w:rFonts w:cs="Times New Roman"/>
          <w:szCs w:val="24"/>
        </w:rPr>
        <w:t>1.6</w:t>
      </w:r>
      <w:proofErr w:type="gramEnd"/>
      <w:r w:rsidRPr="000A40E6">
        <w:rPr>
          <w:rFonts w:cs="Times New Roman"/>
          <w:szCs w:val="24"/>
        </w:rPr>
        <w:t xml:space="preserve"> mm, kadınlarda +1.2 mm olarak kabul edilmiştir. Maksiller ekspansiyonun maksimum miktarı 10-12 mm’dir. Daha fazla miktarda ekspansiyon gerekiyorsa, ortodonti-cerrahi işbirliği ile multidisipliner bir tedavi seçeneği düşünülm</w:t>
      </w:r>
      <w:r w:rsidR="002A0A83" w:rsidRPr="000A40E6">
        <w:rPr>
          <w:rFonts w:cs="Times New Roman"/>
          <w:szCs w:val="24"/>
        </w:rPr>
        <w:t>elidir</w:t>
      </w:r>
      <w:r w:rsidRPr="000A40E6">
        <w:rPr>
          <w:rFonts w:cs="Times New Roman"/>
          <w:szCs w:val="24"/>
        </w:rPr>
        <w:t>.</w:t>
      </w:r>
      <w:r w:rsidR="000C2659" w:rsidRPr="000A40E6">
        <w:rPr>
          <w:rFonts w:cs="Times New Roman"/>
          <w:szCs w:val="24"/>
        </w:rPr>
        <w:br w:type="page"/>
      </w:r>
    </w:p>
    <w:p w14:paraId="551017D1" w14:textId="77777777" w:rsidR="00FD1DD5" w:rsidRPr="000A40E6" w:rsidRDefault="00FD1DD5" w:rsidP="00F756C3">
      <w:pPr>
        <w:suppressAutoHyphens/>
        <w:spacing w:after="120"/>
        <w:ind w:firstLine="0"/>
        <w:rPr>
          <w:rFonts w:cs="Times New Roman"/>
          <w:b/>
          <w:szCs w:val="24"/>
        </w:rPr>
      </w:pPr>
      <w:bookmarkStart w:id="43" w:name="_Toc136443385"/>
      <w:r w:rsidRPr="000A40E6">
        <w:rPr>
          <w:rFonts w:cs="Times New Roman"/>
          <w:b/>
          <w:szCs w:val="24"/>
        </w:rPr>
        <w:t>2.2.6.2. Aktivasyon Protokolleri</w:t>
      </w:r>
      <w:bookmarkEnd w:id="43"/>
    </w:p>
    <w:p w14:paraId="656E9A8B" w14:textId="77777777" w:rsidR="00FD1DD5" w:rsidRPr="000A40E6" w:rsidRDefault="00FD1DD5" w:rsidP="00F756C3">
      <w:pPr>
        <w:suppressAutoHyphens/>
        <w:spacing w:after="120"/>
        <w:ind w:firstLine="0"/>
        <w:rPr>
          <w:rFonts w:cs="Times New Roman"/>
          <w:b/>
          <w:szCs w:val="24"/>
        </w:rPr>
      </w:pPr>
    </w:p>
    <w:p w14:paraId="5F2BBCBB" w14:textId="24030CF3" w:rsidR="00FD1DD5" w:rsidRPr="000A40E6" w:rsidRDefault="00FD1DD5" w:rsidP="00F756C3">
      <w:pPr>
        <w:suppressAutoHyphens/>
        <w:spacing w:after="120"/>
        <w:rPr>
          <w:rFonts w:cs="Times New Roman"/>
          <w:b/>
          <w:szCs w:val="24"/>
        </w:rPr>
      </w:pPr>
      <w:r w:rsidRPr="000A40E6">
        <w:rPr>
          <w:rFonts w:cs="Times New Roman"/>
          <w:szCs w:val="24"/>
        </w:rPr>
        <w:t>Transversal boyuttaki maksiller darlığın tedavisi midpalatal süturun ayrılma hızına göre; slow maksiller ekspansiyon (SME), semirapid maksiller ekspansiyon (SRME), rapid maksiller ekspansiyon (RME) ve cerrahi destekli rapid maksiller ekspansiyon (SARME) şeklinde sınıflandırılabilmektedir (Bell, 1982).</w:t>
      </w:r>
    </w:p>
    <w:p w14:paraId="2BF443E7" w14:textId="45AE77D0" w:rsidR="00FD1DD5" w:rsidRPr="000A40E6" w:rsidRDefault="00FD1DD5" w:rsidP="00F756C3">
      <w:pPr>
        <w:suppressAutoHyphens/>
        <w:spacing w:after="120"/>
        <w:rPr>
          <w:rFonts w:cs="Times New Roman"/>
          <w:b/>
          <w:szCs w:val="24"/>
        </w:rPr>
      </w:pPr>
      <w:r w:rsidRPr="000A40E6">
        <w:rPr>
          <w:rFonts w:cs="Times New Roman"/>
          <w:szCs w:val="24"/>
        </w:rPr>
        <w:t>Literatürde çeşitli RME aktivasyon protokolleri bildirilmesine karşın, RME tedavisi için genel görüş; vidanın sabah ve akşam olmak üzere günde 2 çeyrek tur çevrilmesi şeklindedir (</w:t>
      </w:r>
      <w:r w:rsidR="000821D1" w:rsidRPr="000A40E6">
        <w:rPr>
          <w:rFonts w:cs="Times New Roman"/>
          <w:szCs w:val="24"/>
        </w:rPr>
        <w:t xml:space="preserve">Basciftci ve diğerleri, 2002; Ciambotti ve diğerleri, 2001; </w:t>
      </w:r>
      <w:r w:rsidRPr="000A40E6">
        <w:rPr>
          <w:rFonts w:cs="Times New Roman"/>
          <w:szCs w:val="24"/>
        </w:rPr>
        <w:t>Haas, 1961;</w:t>
      </w:r>
      <w:r w:rsidRPr="000A40E6">
        <w:rPr>
          <w:rFonts w:cs="Times New Roman"/>
          <w:b/>
          <w:szCs w:val="24"/>
        </w:rPr>
        <w:t xml:space="preserve"> </w:t>
      </w:r>
      <w:r w:rsidR="000821D1" w:rsidRPr="000A40E6">
        <w:rPr>
          <w:rFonts w:cs="Times New Roman"/>
          <w:szCs w:val="24"/>
        </w:rPr>
        <w:t>McNamaraa, 2000; Memikoglu ve Işeri, 1999; Oliveira ve diğerleri, 2004; Timms, 1980; Wertz, 1970</w:t>
      </w:r>
      <w:r w:rsidRPr="000A40E6">
        <w:rPr>
          <w:rFonts w:cs="Times New Roman"/>
          <w:szCs w:val="24"/>
        </w:rPr>
        <w:t>).</w:t>
      </w:r>
    </w:p>
    <w:p w14:paraId="54DDB2F5" w14:textId="5137408D" w:rsidR="00FD1DD5" w:rsidRPr="000A40E6" w:rsidRDefault="00FD1DD5" w:rsidP="00F756C3">
      <w:pPr>
        <w:suppressAutoHyphens/>
        <w:spacing w:after="120"/>
        <w:rPr>
          <w:rFonts w:cs="Times New Roman"/>
          <w:szCs w:val="24"/>
        </w:rPr>
      </w:pPr>
      <w:r w:rsidRPr="000A40E6">
        <w:rPr>
          <w:rFonts w:cs="Times New Roman"/>
          <w:szCs w:val="24"/>
        </w:rPr>
        <w:t>Timms</w:t>
      </w:r>
      <w:r w:rsidR="008F6E29" w:rsidRPr="000A40E6">
        <w:rPr>
          <w:rFonts w:cs="Times New Roman"/>
          <w:szCs w:val="24"/>
        </w:rPr>
        <w:t xml:space="preserve"> (1981)</w:t>
      </w:r>
      <w:r w:rsidRPr="000A40E6">
        <w:rPr>
          <w:rFonts w:cs="Times New Roman"/>
          <w:szCs w:val="24"/>
        </w:rPr>
        <w:t>, vidanın 15 yaşın altındaki hastalar için günde 2 çeyrek tur, 15-20 yaş arası hastalar için günde 1 çeyrek tur çevri</w:t>
      </w:r>
      <w:r w:rsidR="008F6E29" w:rsidRPr="000A40E6">
        <w:rPr>
          <w:rFonts w:cs="Times New Roman"/>
          <w:szCs w:val="24"/>
        </w:rPr>
        <w:t>lmesini önermiştir</w:t>
      </w:r>
      <w:r w:rsidRPr="000A40E6">
        <w:rPr>
          <w:rFonts w:cs="Times New Roman"/>
          <w:szCs w:val="24"/>
        </w:rPr>
        <w:t>.</w:t>
      </w:r>
    </w:p>
    <w:p w14:paraId="58274A21" w14:textId="4FB440D5" w:rsidR="00FD1DD5" w:rsidRPr="000A40E6" w:rsidRDefault="00FD1DD5" w:rsidP="00F756C3">
      <w:pPr>
        <w:suppressAutoHyphens/>
        <w:spacing w:after="120"/>
        <w:rPr>
          <w:rFonts w:cs="Times New Roman"/>
          <w:strike/>
          <w:szCs w:val="24"/>
        </w:rPr>
      </w:pPr>
      <w:r w:rsidRPr="000A40E6">
        <w:rPr>
          <w:rFonts w:cs="Times New Roman"/>
          <w:szCs w:val="24"/>
        </w:rPr>
        <w:t>Zimring ve Isaacson</w:t>
      </w:r>
      <w:r w:rsidR="00DF1D46" w:rsidRPr="000A40E6">
        <w:rPr>
          <w:rFonts w:cs="Times New Roman"/>
          <w:szCs w:val="24"/>
        </w:rPr>
        <w:t xml:space="preserve"> (1965)</w:t>
      </w:r>
      <w:r w:rsidRPr="000A40E6">
        <w:rPr>
          <w:rFonts w:cs="Times New Roman"/>
          <w:szCs w:val="24"/>
        </w:rPr>
        <w:t xml:space="preserve"> ise vidanın büyümekte olan hastalarda ilk 4-5 gün boyunca günde 2 çeyrek tur, diğer günlerde ise günde 1 çeyrek tur çevrilmesini önermiştir. Ayrıca özelikle yetişkin hastalarda artmış iskeletsel direnç sebebiyle vidanın ilk 2 gün boyunca günde 2 çeyrek tur, devam eden 3-7 gün boyunca günde 1 çeyrek tur, geri kalan sürede ise 2 günde 1 çeyrek tur çevrilmesinin daha etkili olduğunu savunmuşla</w:t>
      </w:r>
      <w:r w:rsidR="00DF1D46" w:rsidRPr="000A40E6">
        <w:rPr>
          <w:rFonts w:cs="Times New Roman"/>
          <w:szCs w:val="24"/>
        </w:rPr>
        <w:t>rdır</w:t>
      </w:r>
      <w:r w:rsidRPr="000A40E6">
        <w:rPr>
          <w:rFonts w:cs="Times New Roman"/>
          <w:szCs w:val="24"/>
        </w:rPr>
        <w:t>.</w:t>
      </w:r>
    </w:p>
    <w:p w14:paraId="7653A7C1" w14:textId="060F9605" w:rsidR="00FD1DD5" w:rsidRPr="000A40E6" w:rsidRDefault="00FD1DD5" w:rsidP="00F756C3">
      <w:pPr>
        <w:suppressAutoHyphens/>
        <w:spacing w:after="120"/>
        <w:rPr>
          <w:rFonts w:cs="Times New Roman"/>
          <w:szCs w:val="24"/>
        </w:rPr>
      </w:pPr>
      <w:r w:rsidRPr="000A40E6">
        <w:rPr>
          <w:rFonts w:cs="Times New Roman"/>
          <w:szCs w:val="24"/>
        </w:rPr>
        <w:t>Leonardi ve diğerleri</w:t>
      </w:r>
      <w:r w:rsidR="004F1D15" w:rsidRPr="000A40E6">
        <w:rPr>
          <w:rFonts w:cs="Times New Roman"/>
          <w:szCs w:val="24"/>
        </w:rPr>
        <w:t xml:space="preserve"> (2011)</w:t>
      </w:r>
      <w:r w:rsidRPr="000A40E6">
        <w:rPr>
          <w:rFonts w:cs="Times New Roman"/>
          <w:szCs w:val="24"/>
        </w:rPr>
        <w:t>, ekspansiyon vidasının günde 2 çeyrek tur çevrilmesi ile sütur boyunca 10 ile 20 pound basınç oluştuğunu ve günde 0,5 mm'lik ekspansiyon miktarı ile 2-3 hafta içinde 1 cm veya daha fazla ekspansiyon elde edilebileceğini bildirmişlerd</w:t>
      </w:r>
      <w:r w:rsidR="004F1D15" w:rsidRPr="000A40E6">
        <w:rPr>
          <w:rFonts w:cs="Times New Roman"/>
          <w:szCs w:val="24"/>
        </w:rPr>
        <w:t>ir</w:t>
      </w:r>
      <w:r w:rsidRPr="000A40E6">
        <w:rPr>
          <w:rFonts w:cs="Times New Roman"/>
          <w:szCs w:val="24"/>
        </w:rPr>
        <w:t>.</w:t>
      </w:r>
    </w:p>
    <w:p w14:paraId="02579A2B" w14:textId="1EFB0287" w:rsidR="00FD1DD5" w:rsidRPr="000A40E6" w:rsidRDefault="00FD1DD5" w:rsidP="00F756C3">
      <w:pPr>
        <w:suppressAutoHyphens/>
        <w:spacing w:after="120"/>
        <w:rPr>
          <w:rFonts w:cs="Times New Roman"/>
          <w:szCs w:val="24"/>
        </w:rPr>
      </w:pPr>
      <w:r w:rsidRPr="000A40E6">
        <w:rPr>
          <w:rFonts w:cs="Times New Roman"/>
          <w:szCs w:val="24"/>
        </w:rPr>
        <w:t>Ekspansiyon sırasında doku bütünlüğüne zarar vermeyecek şekilde, vidanın uygun görülen günlük açılma miktarı 0,3-0,5 mm’dir. Ekspansiyon işleminin 2 ile 4 hafta içerisinde sonlandırılması, darlığın giderilmesi için yeterli olabileceği belirtilmiştir (Timms, 1981).</w:t>
      </w:r>
    </w:p>
    <w:p w14:paraId="7FC7F3D9" w14:textId="77777777" w:rsidR="004F1D15" w:rsidRPr="000A40E6" w:rsidRDefault="004F1D15" w:rsidP="00F756C3">
      <w:pPr>
        <w:suppressAutoHyphens/>
        <w:spacing w:after="120"/>
        <w:rPr>
          <w:rFonts w:cs="Times New Roman"/>
          <w:szCs w:val="24"/>
        </w:rPr>
      </w:pPr>
    </w:p>
    <w:p w14:paraId="75C20B41" w14:textId="77777777" w:rsidR="00FD1DD5" w:rsidRPr="000A40E6" w:rsidRDefault="00FD1DD5" w:rsidP="00F756C3">
      <w:pPr>
        <w:suppressAutoHyphens/>
        <w:spacing w:after="120"/>
        <w:ind w:firstLine="0"/>
        <w:rPr>
          <w:rFonts w:cs="Times New Roman"/>
          <w:b/>
          <w:szCs w:val="24"/>
        </w:rPr>
      </w:pPr>
      <w:bookmarkStart w:id="44" w:name="_Toc136443386"/>
      <w:r w:rsidRPr="000A40E6">
        <w:rPr>
          <w:rFonts w:cs="Times New Roman"/>
          <w:b/>
          <w:szCs w:val="24"/>
        </w:rPr>
        <w:t>2.2.6.3.  Relaps ve Retansiyon</w:t>
      </w:r>
      <w:bookmarkEnd w:id="44"/>
    </w:p>
    <w:p w14:paraId="3036C031" w14:textId="77777777" w:rsidR="00FD1DD5" w:rsidRPr="000A40E6" w:rsidRDefault="00FD1DD5" w:rsidP="00F756C3">
      <w:pPr>
        <w:suppressAutoHyphens/>
        <w:spacing w:after="120"/>
        <w:rPr>
          <w:rFonts w:cs="Times New Roman"/>
          <w:b/>
          <w:szCs w:val="24"/>
        </w:rPr>
      </w:pPr>
    </w:p>
    <w:p w14:paraId="3F77E0DB" w14:textId="77777777" w:rsidR="00FD1DD5" w:rsidRPr="000A40E6" w:rsidRDefault="00FD1DD5" w:rsidP="00F756C3">
      <w:pPr>
        <w:suppressAutoHyphens/>
        <w:spacing w:after="120"/>
        <w:rPr>
          <w:rFonts w:cs="Times New Roman"/>
          <w:szCs w:val="24"/>
        </w:rPr>
      </w:pPr>
      <w:r w:rsidRPr="000A40E6">
        <w:rPr>
          <w:rFonts w:cs="Times New Roman"/>
          <w:szCs w:val="24"/>
        </w:rPr>
        <w:t xml:space="preserve">Dişlerin tedavi öncesi pozisyonlarına dönme eğilimi olan relaps, birçok araştırmaya konu olmuştur (Laptook, 1981; Timms, 1976). Bu eğilimin nedenleri </w:t>
      </w:r>
      <w:proofErr w:type="gramStart"/>
      <w:r w:rsidRPr="000A40E6">
        <w:rPr>
          <w:rFonts w:cs="Times New Roman"/>
          <w:szCs w:val="24"/>
        </w:rPr>
        <w:t>literatürde</w:t>
      </w:r>
      <w:proofErr w:type="gramEnd"/>
      <w:r w:rsidRPr="000A40E6">
        <w:rPr>
          <w:rFonts w:cs="Times New Roman"/>
          <w:szCs w:val="24"/>
        </w:rPr>
        <w:t xml:space="preserve"> şu şekilde özetlenmiştir:</w:t>
      </w:r>
    </w:p>
    <w:p w14:paraId="74FA0F37" w14:textId="77777777" w:rsidR="00FD1DD5" w:rsidRPr="000A40E6" w:rsidRDefault="00FD1DD5" w:rsidP="00F756C3">
      <w:pPr>
        <w:suppressAutoHyphens/>
        <w:spacing w:after="120"/>
        <w:rPr>
          <w:rFonts w:cs="Times New Roman"/>
          <w:szCs w:val="24"/>
        </w:rPr>
      </w:pPr>
      <w:r w:rsidRPr="000A40E6">
        <w:rPr>
          <w:rFonts w:cs="Times New Roman"/>
          <w:szCs w:val="24"/>
        </w:rPr>
        <w:t xml:space="preserve">a) Kraniyofasiyal </w:t>
      </w:r>
      <w:proofErr w:type="gramStart"/>
      <w:r w:rsidRPr="000A40E6">
        <w:rPr>
          <w:rFonts w:cs="Times New Roman"/>
          <w:szCs w:val="24"/>
        </w:rPr>
        <w:t>kompleksin</w:t>
      </w:r>
      <w:proofErr w:type="gramEnd"/>
      <w:r w:rsidRPr="000A40E6">
        <w:rPr>
          <w:rFonts w:cs="Times New Roman"/>
          <w:szCs w:val="24"/>
        </w:rPr>
        <w:t xml:space="preserve"> eklemleri arasında biriken yüksek stres,</w:t>
      </w:r>
    </w:p>
    <w:p w14:paraId="3826B322" w14:textId="73A8537A" w:rsidR="00FD1DD5" w:rsidRPr="000A40E6" w:rsidRDefault="00531B60" w:rsidP="00F756C3">
      <w:pPr>
        <w:suppressAutoHyphens/>
        <w:spacing w:after="120"/>
        <w:rPr>
          <w:rFonts w:cs="Times New Roman"/>
          <w:szCs w:val="24"/>
        </w:rPr>
      </w:pPr>
      <w:r w:rsidRPr="000A40E6">
        <w:rPr>
          <w:rFonts w:cs="Times New Roman"/>
          <w:szCs w:val="24"/>
        </w:rPr>
        <w:t>b) Palatinal</w:t>
      </w:r>
      <w:r w:rsidR="00FD1DD5" w:rsidRPr="000A40E6">
        <w:rPr>
          <w:rFonts w:cs="Times New Roman"/>
          <w:szCs w:val="24"/>
        </w:rPr>
        <w:t xml:space="preserve"> mukozada üretilen gerilim,</w:t>
      </w:r>
    </w:p>
    <w:p w14:paraId="3FB2E675" w14:textId="1E9CBE2D" w:rsidR="00FD1DD5" w:rsidRPr="000A40E6" w:rsidRDefault="0000192B" w:rsidP="00F756C3">
      <w:pPr>
        <w:suppressAutoHyphens/>
        <w:spacing w:after="120"/>
        <w:rPr>
          <w:rFonts w:cs="Times New Roman"/>
          <w:szCs w:val="24"/>
        </w:rPr>
      </w:pPr>
      <w:r w:rsidRPr="000A40E6">
        <w:rPr>
          <w:rFonts w:cs="Times New Roman"/>
          <w:szCs w:val="24"/>
        </w:rPr>
        <w:t xml:space="preserve">c) </w:t>
      </w:r>
      <w:r w:rsidR="00FD1DD5" w:rsidRPr="000A40E6">
        <w:rPr>
          <w:rFonts w:cs="Times New Roman"/>
          <w:szCs w:val="24"/>
        </w:rPr>
        <w:t>Maksiller ekspansiyonun bir sonucu olarak oluşan bukkal ve lingual basınçlar arasındaki dengesizlik (Cameron, 2002;  Chang ve diğerleri, 1997).</w:t>
      </w:r>
    </w:p>
    <w:p w14:paraId="4D3FFECE" w14:textId="58F798B3" w:rsidR="00FD1DD5" w:rsidRPr="000A40E6" w:rsidRDefault="00FD1DD5" w:rsidP="00F756C3">
      <w:pPr>
        <w:suppressAutoHyphens/>
        <w:spacing w:after="120"/>
        <w:rPr>
          <w:rFonts w:cs="Times New Roman"/>
          <w:szCs w:val="24"/>
        </w:rPr>
      </w:pPr>
      <w:r w:rsidRPr="000A40E6">
        <w:rPr>
          <w:rFonts w:cs="Times New Roman"/>
          <w:szCs w:val="24"/>
        </w:rPr>
        <w:t>Zimring ve Isaacson</w:t>
      </w:r>
      <w:r w:rsidR="00D96CA7" w:rsidRPr="000A40E6">
        <w:rPr>
          <w:rFonts w:cs="Times New Roman"/>
          <w:szCs w:val="24"/>
        </w:rPr>
        <w:t xml:space="preserve"> (1965)</w:t>
      </w:r>
      <w:r w:rsidRPr="000A40E6">
        <w:rPr>
          <w:rFonts w:cs="Times New Roman"/>
          <w:szCs w:val="24"/>
        </w:rPr>
        <w:t xml:space="preserve">, yaptıkları çalışmada RME’nin aktivasyonu ile ortaya çıkan kuvvetin anatomik yapılar üzerinde oluşturduğu makro ve mikro değişiklikleri ele almışlardır. RME apareyinin ürettiği maksimum kuvvet aktivasyon anında meydana gelmektedir ve hemen ardından dağılmaya başlamaktadır. Kısa süre sonra biriken rezidüel yükler hızla daha yüksek toplam yüklerin üretilmesine neden olmaktadır. Bu artan yükler, aktivasyonlar arasındaki </w:t>
      </w:r>
      <w:proofErr w:type="gramStart"/>
      <w:r w:rsidRPr="000A40E6">
        <w:rPr>
          <w:rFonts w:cs="Times New Roman"/>
          <w:szCs w:val="24"/>
        </w:rPr>
        <w:t>periyotta</w:t>
      </w:r>
      <w:proofErr w:type="gramEnd"/>
      <w:r w:rsidRPr="000A40E6">
        <w:rPr>
          <w:rFonts w:cs="Times New Roman"/>
          <w:szCs w:val="24"/>
        </w:rPr>
        <w:t>, önceki yüklerin kademeli olarak tamamen dağılamamasından kaynaklanmaktadır. Retansiyon aşaması sırasında, rezidüel kuvvetler katlanarak dağılır, böylece 30 ile 45 günlük retansiyon periyodundan sonra kuvvet büyüklüğü neredeyse sıfıra d</w:t>
      </w:r>
      <w:r w:rsidR="00D96CA7" w:rsidRPr="000A40E6">
        <w:rPr>
          <w:rFonts w:cs="Times New Roman"/>
          <w:szCs w:val="24"/>
        </w:rPr>
        <w:t>üşer</w:t>
      </w:r>
      <w:r w:rsidRPr="000A40E6">
        <w:rPr>
          <w:rFonts w:cs="Times New Roman"/>
          <w:szCs w:val="24"/>
        </w:rPr>
        <w:t>.</w:t>
      </w:r>
    </w:p>
    <w:p w14:paraId="2B1EF8AF" w14:textId="6CC047A9" w:rsidR="00FD1DD5" w:rsidRPr="000A40E6" w:rsidRDefault="00FD1DD5" w:rsidP="00F756C3">
      <w:pPr>
        <w:suppressAutoHyphens/>
        <w:spacing w:after="120"/>
        <w:rPr>
          <w:rFonts w:cs="Times New Roman"/>
          <w:szCs w:val="24"/>
        </w:rPr>
      </w:pPr>
      <w:r w:rsidRPr="000A40E6">
        <w:rPr>
          <w:rFonts w:cs="Times New Roman"/>
          <w:szCs w:val="24"/>
        </w:rPr>
        <w:t>Küçükkeleş ve Ceylanoğlu</w:t>
      </w:r>
      <w:r w:rsidR="005F2A9F" w:rsidRPr="000A40E6">
        <w:rPr>
          <w:rFonts w:cs="Times New Roman"/>
          <w:szCs w:val="24"/>
        </w:rPr>
        <w:t xml:space="preserve"> (2003)</w:t>
      </w:r>
      <w:r w:rsidRPr="000A40E6">
        <w:rPr>
          <w:rFonts w:cs="Times New Roman"/>
          <w:szCs w:val="24"/>
        </w:rPr>
        <w:t>, ekspansiyondan önce, sonra ve retansiyon periyodu sırasında dil, dudak ve yanak tarafından maksillaya uygulanan basınçlardaki değişiklikleri araştırmışlardır. Ekspansiyon sonrası retansiyon apareyleri uygulanarak, 1. , 2. ve 3. ayların sonunda ölçümler yapılmıştır. Üst 1. molar ve kesici dişin bukkal tarafındaki basınç değerleri, ekspansiyondan hemen sonra önemli ölçüde artarken, retansiyon sırasında azalmaya başlamıştır. 3. retansiyon ayı sonundaki değerler, ekspansiyon öncesi değerlere benzer bulunmuştur. Üst 1. molar ve üst kesici dişin lingual tarafındaki dil basınçları ekspansiyon ile önemli ölçüde azalırken ekspansiyon işleminden sonra artmaya başlamıştır. Retansiyon süresinin 3. ayının sonunda bile değerler ekspansiyon öncesi değerlere yakın değildir. Bu değerler, yanakların ve dudakların 3. ayın sonunda diş arklarının yeni konumuna neredeyse uyum sağladığını, buna karşın dil adaptasyonunun nispeten dah</w:t>
      </w:r>
      <w:r w:rsidR="005F2A9F" w:rsidRPr="000A40E6">
        <w:rPr>
          <w:rFonts w:cs="Times New Roman"/>
          <w:szCs w:val="24"/>
        </w:rPr>
        <w:t>a uzun sürdüğünü göstermektedir</w:t>
      </w:r>
      <w:r w:rsidRPr="000A40E6">
        <w:rPr>
          <w:rFonts w:cs="Times New Roman"/>
          <w:szCs w:val="24"/>
        </w:rPr>
        <w:t>.</w:t>
      </w:r>
    </w:p>
    <w:p w14:paraId="5E370EDD" w14:textId="2789FFE1" w:rsidR="00FD1DD5" w:rsidRPr="000A40E6" w:rsidRDefault="00FD1DD5" w:rsidP="00F756C3">
      <w:pPr>
        <w:suppressAutoHyphens/>
        <w:spacing w:after="120"/>
        <w:rPr>
          <w:rFonts w:cs="Times New Roman"/>
          <w:szCs w:val="24"/>
        </w:rPr>
      </w:pPr>
      <w:r w:rsidRPr="000A40E6">
        <w:rPr>
          <w:rFonts w:cs="Times New Roman"/>
          <w:szCs w:val="24"/>
        </w:rPr>
        <w:t xml:space="preserve">Genişleyen segmentleri daraltma eğiliminde olan rezidüel kuvvetler dağılana kadar </w:t>
      </w:r>
      <w:proofErr w:type="gramStart"/>
      <w:r w:rsidRPr="000A40E6">
        <w:rPr>
          <w:rFonts w:cs="Times New Roman"/>
          <w:szCs w:val="24"/>
        </w:rPr>
        <w:t>stabil</w:t>
      </w:r>
      <w:proofErr w:type="gramEnd"/>
      <w:r w:rsidRPr="000A40E6">
        <w:rPr>
          <w:rFonts w:cs="Times New Roman"/>
          <w:szCs w:val="24"/>
        </w:rPr>
        <w:t xml:space="preserve"> bir m</w:t>
      </w:r>
      <w:r w:rsidR="00FE6FE6" w:rsidRPr="000A40E6">
        <w:rPr>
          <w:rFonts w:cs="Times New Roman"/>
          <w:szCs w:val="24"/>
        </w:rPr>
        <w:t>aksiller kompleks elde edilemez (Zimring ve Isaacson, 1965).</w:t>
      </w:r>
      <w:r w:rsidRPr="000A40E6">
        <w:rPr>
          <w:rFonts w:cs="Times New Roman"/>
          <w:szCs w:val="24"/>
        </w:rPr>
        <w:t xml:space="preserve"> Zimring ve Isaacson</w:t>
      </w:r>
      <w:r w:rsidR="00FE6FE6" w:rsidRPr="000A40E6">
        <w:rPr>
          <w:rFonts w:cs="Times New Roman"/>
          <w:szCs w:val="24"/>
        </w:rPr>
        <w:t xml:space="preserve"> (1965)</w:t>
      </w:r>
      <w:r w:rsidRPr="000A40E6">
        <w:rPr>
          <w:rFonts w:cs="Times New Roman"/>
          <w:szCs w:val="24"/>
        </w:rPr>
        <w:t xml:space="preserve">, kemik segmentlerin nüksetmesini önlemek için, ekspansiyon apareyi çıkarılmadan önce maksiller </w:t>
      </w:r>
      <w:proofErr w:type="gramStart"/>
      <w:r w:rsidRPr="000A40E6">
        <w:rPr>
          <w:rFonts w:cs="Times New Roman"/>
          <w:szCs w:val="24"/>
        </w:rPr>
        <w:t>komplekste</w:t>
      </w:r>
      <w:proofErr w:type="gramEnd"/>
      <w:r w:rsidRPr="000A40E6">
        <w:rPr>
          <w:rFonts w:cs="Times New Roman"/>
          <w:szCs w:val="24"/>
        </w:rPr>
        <w:t xml:space="preserve"> tutulan rezidüel kuvvetlerin tamamen dağılmasına izin verilmesi gerektiğini öne sürmüşle</w:t>
      </w:r>
      <w:r w:rsidR="00FE6FE6" w:rsidRPr="000A40E6">
        <w:rPr>
          <w:rFonts w:cs="Times New Roman"/>
          <w:szCs w:val="24"/>
        </w:rPr>
        <w:t>rdir</w:t>
      </w:r>
      <w:r w:rsidRPr="000A40E6">
        <w:rPr>
          <w:rFonts w:cs="Times New Roman"/>
          <w:szCs w:val="24"/>
        </w:rPr>
        <w:t>.</w:t>
      </w:r>
    </w:p>
    <w:p w14:paraId="01422475" w14:textId="742A1A59" w:rsidR="00FD1DD5" w:rsidRPr="000A40E6" w:rsidRDefault="00FD1DD5" w:rsidP="00F756C3">
      <w:pPr>
        <w:suppressAutoHyphens/>
        <w:spacing w:after="120"/>
        <w:rPr>
          <w:rFonts w:cs="Times New Roman"/>
          <w:szCs w:val="24"/>
        </w:rPr>
      </w:pPr>
      <w:r w:rsidRPr="000A40E6">
        <w:rPr>
          <w:rFonts w:cs="Times New Roman"/>
          <w:szCs w:val="24"/>
        </w:rPr>
        <w:t xml:space="preserve">Retansiyonun amacı, RME aktivasyonundan sonra elde edilen ekspansiyonu son haliyle </w:t>
      </w:r>
      <w:proofErr w:type="gramStart"/>
      <w:r w:rsidRPr="000A40E6">
        <w:rPr>
          <w:rFonts w:cs="Times New Roman"/>
          <w:szCs w:val="24"/>
        </w:rPr>
        <w:t>stabilize</w:t>
      </w:r>
      <w:proofErr w:type="gramEnd"/>
      <w:r w:rsidRPr="000A40E6">
        <w:rPr>
          <w:rFonts w:cs="Times New Roman"/>
          <w:szCs w:val="24"/>
        </w:rPr>
        <w:t xml:space="preserve"> etmektir. Yükteki en büyük azalmanın retansiyonun ilk haftasında meydana geldiği ve 5-7 hafta içerisinde dağılmasından dolayı rijit retansiyon apareylerinin kullanımı büyük önem taşımaktadır (Zimring ve Isaacson, 1965). Retansiyonun diğer bir amacı, midpalatal sütur açıklığında RME tarafından oluşturulan boşluğun, yeni kemik oluşumu ile doldurulmasına izin vermek ve nüksetme eğilimine karşı koymaktır. Bu retansiyon, aktif tedavi periyodundan sonraki 3 ay ile (Sarver ve Johnston, 1989), birkaç yıl sonrasına kadar elde edilmektedir (Timms ve Moss, 1971).</w:t>
      </w:r>
    </w:p>
    <w:p w14:paraId="617D4CC2" w14:textId="0E41D0B4" w:rsidR="00FD1DD5" w:rsidRPr="000A40E6" w:rsidRDefault="00FD1DD5" w:rsidP="00F756C3">
      <w:pPr>
        <w:suppressAutoHyphens/>
        <w:spacing w:after="120"/>
        <w:rPr>
          <w:rFonts w:cs="Times New Roman"/>
          <w:szCs w:val="24"/>
        </w:rPr>
      </w:pPr>
      <w:r w:rsidRPr="000A40E6">
        <w:rPr>
          <w:rFonts w:cs="Times New Roman"/>
          <w:szCs w:val="24"/>
        </w:rPr>
        <w:t>Birçok farklı retansiyon protokolleri bulunmaktadır. Zimring ve Isaacson</w:t>
      </w:r>
      <w:r w:rsidR="00105A3B" w:rsidRPr="000A40E6">
        <w:rPr>
          <w:rFonts w:cs="Times New Roman"/>
          <w:szCs w:val="24"/>
        </w:rPr>
        <w:t xml:space="preserve"> (1965)</w:t>
      </w:r>
      <w:r w:rsidRPr="000A40E6">
        <w:rPr>
          <w:rFonts w:cs="Times New Roman"/>
          <w:szCs w:val="24"/>
        </w:rPr>
        <w:t>, rezidüel kuvvetlerin tamamen dağılması için 5-7 haftanın yeterli olduğunu öne sürmü</w:t>
      </w:r>
      <w:r w:rsidR="00105A3B" w:rsidRPr="000A40E6">
        <w:rPr>
          <w:rFonts w:cs="Times New Roman"/>
          <w:szCs w:val="24"/>
        </w:rPr>
        <w:t>ştür</w:t>
      </w:r>
      <w:r w:rsidRPr="000A40E6">
        <w:rPr>
          <w:rFonts w:cs="Times New Roman"/>
          <w:szCs w:val="24"/>
        </w:rPr>
        <w:t>.</w:t>
      </w:r>
    </w:p>
    <w:p w14:paraId="1EF6876C" w14:textId="57BA3B85" w:rsidR="00FD1DD5" w:rsidRPr="000A40E6" w:rsidRDefault="00FD1DD5" w:rsidP="00F756C3">
      <w:pPr>
        <w:suppressAutoHyphens/>
        <w:spacing w:after="120"/>
        <w:rPr>
          <w:rFonts w:cs="Times New Roman"/>
          <w:szCs w:val="24"/>
        </w:rPr>
      </w:pPr>
      <w:r w:rsidRPr="000A40E6">
        <w:rPr>
          <w:rFonts w:cs="Times New Roman"/>
          <w:szCs w:val="24"/>
        </w:rPr>
        <w:t xml:space="preserve">Hızla genişleyen maksiller süturların remodelingine ve </w:t>
      </w:r>
      <w:proofErr w:type="gramStart"/>
      <w:r w:rsidRPr="000A40E6">
        <w:rPr>
          <w:rFonts w:cs="Times New Roman"/>
          <w:szCs w:val="24"/>
        </w:rPr>
        <w:t>stabilizasyonuna</w:t>
      </w:r>
      <w:proofErr w:type="gramEnd"/>
      <w:r w:rsidRPr="000A40E6">
        <w:rPr>
          <w:rFonts w:cs="Times New Roman"/>
          <w:szCs w:val="24"/>
        </w:rPr>
        <w:t xml:space="preserve"> izin vermek için genellikle 3 ile 6 aylık bir retansiyon süresi önerilir. Bu ilk 3 ayda, RME apareyinin retansiyon aracı olarak işlev görmesi önemlidir. Ardından, çıkarılabilir bir retansiyon apareyi veya sabit bir transpalatal ark retansiyon içi</w:t>
      </w:r>
      <w:r w:rsidR="008B0B69" w:rsidRPr="000A40E6">
        <w:rPr>
          <w:rFonts w:cs="Times New Roman"/>
          <w:szCs w:val="24"/>
        </w:rPr>
        <w:t>n kullanılabilmektedir. (</w:t>
      </w:r>
      <w:r w:rsidR="002E204A" w:rsidRPr="000A40E6">
        <w:rPr>
          <w:rFonts w:cs="Times New Roman"/>
          <w:szCs w:val="24"/>
        </w:rPr>
        <w:t xml:space="preserve">da Silva Filho ve diğerleri, 2007; </w:t>
      </w:r>
      <w:r w:rsidR="008B0B69" w:rsidRPr="000A40E6">
        <w:rPr>
          <w:rFonts w:cs="Times New Roman"/>
          <w:szCs w:val="24"/>
        </w:rPr>
        <w:t>Lagravè</w:t>
      </w:r>
      <w:r w:rsidRPr="000A40E6">
        <w:rPr>
          <w:rFonts w:cs="Times New Roman"/>
          <w:szCs w:val="24"/>
        </w:rPr>
        <w:t>re ve diğerleri, 2005</w:t>
      </w:r>
      <w:r w:rsidR="008B0B69" w:rsidRPr="000A40E6">
        <w:rPr>
          <w:rFonts w:cs="Times New Roman"/>
          <w:szCs w:val="24"/>
        </w:rPr>
        <w:t>b</w:t>
      </w:r>
      <w:r w:rsidRPr="000A40E6">
        <w:rPr>
          <w:rFonts w:cs="Times New Roman"/>
          <w:szCs w:val="24"/>
        </w:rPr>
        <w:t>).</w:t>
      </w:r>
    </w:p>
    <w:p w14:paraId="72B5EA1C" w14:textId="3BD3D8C4" w:rsidR="00FD1DD5" w:rsidRPr="000A40E6" w:rsidRDefault="00FD1DD5" w:rsidP="00F756C3">
      <w:pPr>
        <w:suppressAutoHyphens/>
        <w:spacing w:after="120"/>
        <w:rPr>
          <w:rFonts w:cs="Times New Roman"/>
          <w:szCs w:val="24"/>
        </w:rPr>
      </w:pPr>
      <w:r w:rsidRPr="000A40E6">
        <w:rPr>
          <w:rFonts w:cs="Times New Roman"/>
          <w:szCs w:val="24"/>
        </w:rPr>
        <w:t xml:space="preserve">Literatürde bildirilen relaps miktarı ile ilgili farklı sonuçlar bulunmaktadır. Bazı araştırmacılar tedaviden sonraki ilk 5 yıl içinde nüks olmadığını bildirirken (Haas, 1965; Haas, 1970) , diğerleri hastaların yarısının RME'den 5 ile 15 yıl sonra nüks edeceğini göstermiştir (Stockfisch, 1969; </w:t>
      </w:r>
      <w:r w:rsidR="004F704F" w:rsidRPr="000A40E6">
        <w:rPr>
          <w:rFonts w:cs="Times New Roman"/>
          <w:szCs w:val="24"/>
        </w:rPr>
        <w:t>Timms ve Moss</w:t>
      </w:r>
      <w:r w:rsidRPr="000A40E6">
        <w:rPr>
          <w:rFonts w:cs="Times New Roman"/>
          <w:szCs w:val="24"/>
        </w:rPr>
        <w:t xml:space="preserve"> 1971). Timms ve Moss</w:t>
      </w:r>
      <w:r w:rsidR="00CF3C89" w:rsidRPr="000A40E6">
        <w:rPr>
          <w:rFonts w:cs="Times New Roman"/>
          <w:szCs w:val="24"/>
        </w:rPr>
        <w:t xml:space="preserve"> (1971)</w:t>
      </w:r>
      <w:r w:rsidRPr="000A40E6">
        <w:rPr>
          <w:rFonts w:cs="Times New Roman"/>
          <w:szCs w:val="24"/>
        </w:rPr>
        <w:t xml:space="preserve">, 5 ile 10 yıllık takip çalışmalarına dayanarak, </w:t>
      </w:r>
      <w:proofErr w:type="gramStart"/>
      <w:r w:rsidRPr="000A40E6">
        <w:rPr>
          <w:rFonts w:cs="Times New Roman"/>
          <w:szCs w:val="24"/>
        </w:rPr>
        <w:t>stabilizasyona</w:t>
      </w:r>
      <w:proofErr w:type="gramEnd"/>
      <w:r w:rsidRPr="000A40E6">
        <w:rPr>
          <w:rFonts w:cs="Times New Roman"/>
          <w:szCs w:val="24"/>
        </w:rPr>
        <w:t xml:space="preserve"> ulaşılana kadar 5 yılın geçebileceğini ve daha uzun retansiyon sürelerinin gerekli olduğunu da gö</w:t>
      </w:r>
      <w:r w:rsidR="00CF3C89" w:rsidRPr="000A40E6">
        <w:rPr>
          <w:rFonts w:cs="Times New Roman"/>
          <w:szCs w:val="24"/>
        </w:rPr>
        <w:t>stermiştir</w:t>
      </w:r>
      <w:r w:rsidRPr="000A40E6">
        <w:rPr>
          <w:rFonts w:cs="Times New Roman"/>
          <w:szCs w:val="24"/>
        </w:rPr>
        <w:t>. Wertz</w:t>
      </w:r>
      <w:r w:rsidR="00CF3C89" w:rsidRPr="000A40E6">
        <w:rPr>
          <w:rFonts w:cs="Times New Roman"/>
          <w:szCs w:val="24"/>
        </w:rPr>
        <w:t xml:space="preserve"> (1968)</w:t>
      </w:r>
      <w:r w:rsidRPr="000A40E6">
        <w:rPr>
          <w:rFonts w:cs="Times New Roman"/>
          <w:szCs w:val="24"/>
        </w:rPr>
        <w:t>, çalışmasında 8 aylık retansiyonun ardından ortalama relaps değerlerinin önemsiz old</w:t>
      </w:r>
      <w:r w:rsidR="00CF3C89" w:rsidRPr="000A40E6">
        <w:rPr>
          <w:rFonts w:cs="Times New Roman"/>
          <w:szCs w:val="24"/>
        </w:rPr>
        <w:t>uğunu bildirmiştir</w:t>
      </w:r>
      <w:r w:rsidRPr="000A40E6">
        <w:rPr>
          <w:rFonts w:cs="Times New Roman"/>
          <w:szCs w:val="24"/>
        </w:rPr>
        <w:t>. Haas</w:t>
      </w:r>
      <w:r w:rsidR="00CF3C89" w:rsidRPr="000A40E6">
        <w:rPr>
          <w:rFonts w:cs="Times New Roman"/>
          <w:szCs w:val="24"/>
        </w:rPr>
        <w:t xml:space="preserve"> (1980)</w:t>
      </w:r>
      <w:r w:rsidRPr="000A40E6">
        <w:rPr>
          <w:rFonts w:cs="Times New Roman"/>
          <w:szCs w:val="24"/>
        </w:rPr>
        <w:t>, 2 ile 6 aylık retansiyon süresinden sonra benzer so</w:t>
      </w:r>
      <w:r w:rsidR="00CF3C89" w:rsidRPr="000A40E6">
        <w:rPr>
          <w:rFonts w:cs="Times New Roman"/>
          <w:szCs w:val="24"/>
        </w:rPr>
        <w:t>nuçlar bildirmiştir</w:t>
      </w:r>
      <w:r w:rsidRPr="000A40E6">
        <w:rPr>
          <w:rFonts w:cs="Times New Roman"/>
          <w:szCs w:val="24"/>
        </w:rPr>
        <w:t>.</w:t>
      </w:r>
    </w:p>
    <w:p w14:paraId="47E336FF" w14:textId="4631BE76" w:rsidR="00FD1DD5" w:rsidRPr="000A40E6" w:rsidRDefault="00FD1DD5" w:rsidP="00F756C3">
      <w:pPr>
        <w:suppressAutoHyphens/>
        <w:spacing w:after="120"/>
        <w:rPr>
          <w:rFonts w:cs="Times New Roman"/>
          <w:szCs w:val="24"/>
        </w:rPr>
      </w:pPr>
      <w:r w:rsidRPr="000A40E6">
        <w:rPr>
          <w:rFonts w:cs="Times New Roman"/>
          <w:szCs w:val="24"/>
        </w:rPr>
        <w:t xml:space="preserve">Yetişkin hastalarda, genç hastalara kıyasla nüks daha olasıdır; bu da nüks miktarının yaşa bağlı olduğunu ve kraniyofasiyal </w:t>
      </w:r>
      <w:proofErr w:type="gramStart"/>
      <w:r w:rsidRPr="000A40E6">
        <w:rPr>
          <w:rFonts w:cs="Times New Roman"/>
          <w:szCs w:val="24"/>
        </w:rPr>
        <w:t>kompleksin</w:t>
      </w:r>
      <w:proofErr w:type="gramEnd"/>
      <w:r w:rsidRPr="000A40E6">
        <w:rPr>
          <w:rFonts w:cs="Times New Roman"/>
          <w:szCs w:val="24"/>
        </w:rPr>
        <w:t xml:space="preserve"> rijiditesi ile ilişkili olduğunu göstermiştir (Wertz ve Dreskin, 1977). Transversal iskeletsel maksiller ekspansiyonun uzun vadeli stabilitesinin, puberte öncesi ergenlerde, daha olgun hasta gruplarına göre daha iy</w:t>
      </w:r>
      <w:r w:rsidR="00C46B23" w:rsidRPr="000A40E6">
        <w:rPr>
          <w:rFonts w:cs="Times New Roman"/>
          <w:szCs w:val="24"/>
        </w:rPr>
        <w:t>i olduğu bildirilmiştir (Lagravè</w:t>
      </w:r>
      <w:r w:rsidR="00C806D8" w:rsidRPr="000A40E6">
        <w:rPr>
          <w:rFonts w:cs="Times New Roman"/>
          <w:szCs w:val="24"/>
        </w:rPr>
        <w:t>re ve Flores-Mir,</w:t>
      </w:r>
      <w:r w:rsidRPr="000A40E6">
        <w:rPr>
          <w:rFonts w:cs="Times New Roman"/>
          <w:szCs w:val="24"/>
        </w:rPr>
        <w:t xml:space="preserve"> 2005).</w:t>
      </w:r>
    </w:p>
    <w:p w14:paraId="61586AC7" w14:textId="7D648842" w:rsidR="00CB7B85" w:rsidRPr="000A40E6" w:rsidRDefault="00FD1DD5" w:rsidP="00F756C3">
      <w:pPr>
        <w:suppressAutoHyphens/>
        <w:spacing w:after="120"/>
        <w:rPr>
          <w:rFonts w:cs="Times New Roman"/>
          <w:szCs w:val="24"/>
        </w:rPr>
      </w:pPr>
      <w:r w:rsidRPr="000A40E6">
        <w:rPr>
          <w:rFonts w:cs="Times New Roman"/>
          <w:szCs w:val="24"/>
        </w:rPr>
        <w:t>RME’den sonra nüksü etkileyebilecek diğer faktörler; retansiyon süresi ve ekspansiyondan sonra kullanılan retansiyon apareyinin tipidir</w:t>
      </w:r>
      <w:r w:rsidR="001D2571" w:rsidRPr="000A40E6">
        <w:rPr>
          <w:rFonts w:cs="Times New Roman"/>
          <w:szCs w:val="24"/>
        </w:rPr>
        <w:t xml:space="preserve"> (Hicks, 1978).</w:t>
      </w:r>
      <w:r w:rsidRPr="000A40E6">
        <w:rPr>
          <w:rFonts w:cs="Times New Roman"/>
          <w:szCs w:val="24"/>
        </w:rPr>
        <w:t xml:space="preserve"> Hicks</w:t>
      </w:r>
      <w:r w:rsidR="007C5FD9" w:rsidRPr="000A40E6">
        <w:rPr>
          <w:rFonts w:cs="Times New Roman"/>
          <w:szCs w:val="24"/>
        </w:rPr>
        <w:t xml:space="preserve"> (1978)</w:t>
      </w:r>
      <w:r w:rsidRPr="000A40E6">
        <w:rPr>
          <w:rFonts w:cs="Times New Roman"/>
          <w:szCs w:val="24"/>
        </w:rPr>
        <w:t>, retansiyonun etkinliğini araştırdığı çalışmasında, retansiyon periyodunda hiçbir aparey kullanılmadığında 3 hafta içinde kazanılan ark genişliğinin yarı yarıya kaybedildiğini, 47 hafta sonunda ise %69’unun kaybedildiğini bildirmiştir. Ancak sabit retansiyon apareyinin 2-3 aylık kullanımı sonunda relapsın %10-23 oranında görüldüğünü, hareketli apareyler ile retansiyon yapıldığı takdirde ise %22-25 oranında relaps meydana geldiğin</w:t>
      </w:r>
      <w:r w:rsidR="007C5FD9" w:rsidRPr="000A40E6">
        <w:rPr>
          <w:rFonts w:cs="Times New Roman"/>
          <w:szCs w:val="24"/>
        </w:rPr>
        <w:t>i tespit etmiştir</w:t>
      </w:r>
      <w:r w:rsidRPr="000A40E6">
        <w:rPr>
          <w:rFonts w:cs="Times New Roman"/>
          <w:szCs w:val="24"/>
        </w:rPr>
        <w:t>.</w:t>
      </w:r>
    </w:p>
    <w:p w14:paraId="39A40C81" w14:textId="77777777" w:rsidR="00FD1DD5" w:rsidRPr="000A40E6" w:rsidRDefault="00FD1DD5" w:rsidP="00F756C3">
      <w:pPr>
        <w:suppressAutoHyphens/>
        <w:spacing w:after="120"/>
        <w:ind w:firstLine="0"/>
        <w:rPr>
          <w:rFonts w:cs="Times New Roman"/>
          <w:b/>
          <w:szCs w:val="24"/>
        </w:rPr>
      </w:pPr>
      <w:bookmarkStart w:id="45" w:name="_Toc136443387"/>
      <w:r w:rsidRPr="000A40E6">
        <w:rPr>
          <w:rFonts w:cs="Times New Roman"/>
          <w:b/>
          <w:szCs w:val="24"/>
        </w:rPr>
        <w:t>2.2.6.4. Rapid Maksiller Ekspansiyonun Başarısı</w:t>
      </w:r>
      <w:bookmarkEnd w:id="45"/>
    </w:p>
    <w:p w14:paraId="65808322" w14:textId="77777777" w:rsidR="00FD1DD5" w:rsidRPr="000A40E6" w:rsidRDefault="00FD1DD5" w:rsidP="00F756C3">
      <w:pPr>
        <w:suppressAutoHyphens/>
        <w:spacing w:after="120"/>
        <w:rPr>
          <w:rFonts w:cs="Times New Roman"/>
          <w:b/>
          <w:szCs w:val="24"/>
        </w:rPr>
      </w:pPr>
    </w:p>
    <w:p w14:paraId="0E339A21" w14:textId="7D87A763" w:rsidR="00FD1DD5" w:rsidRPr="000A40E6" w:rsidRDefault="00FD1DD5" w:rsidP="00F756C3">
      <w:pPr>
        <w:suppressAutoHyphens/>
        <w:spacing w:after="120"/>
        <w:rPr>
          <w:rFonts w:cs="Times New Roman"/>
          <w:szCs w:val="24"/>
        </w:rPr>
      </w:pPr>
      <w:r w:rsidRPr="000A40E6">
        <w:rPr>
          <w:rFonts w:cs="Times New Roman"/>
          <w:szCs w:val="24"/>
        </w:rPr>
        <w:t>RME apareyi kullanımının başarısı rijiditeye (rotasyon/devrilmeye karşı direnç) bağlıdır. Dentoalveolar yapıların eğilmesini sınırlamak için, genişleyen vida, üretilen kuvveti etkili bir şekilde maksiller bazal kemiğe iletmelidir (Timms, 1981). Bu özellik, retansiyon aşamasında nüksün önlenmesine yardımcı olur (Zimring ve Isaacson, 1965). Bantlı olana göre daha rijit olması nedeniyle bonded RME tedavisinde nüks ihtimali daha düşüktür (Sarver ve Johnston, 1989</w:t>
      </w:r>
      <w:r w:rsidR="0002753D" w:rsidRPr="000A40E6">
        <w:rPr>
          <w:rFonts w:cs="Times New Roman"/>
          <w:szCs w:val="24"/>
        </w:rPr>
        <w:t>; Spolyar, 1984</w:t>
      </w:r>
      <w:r w:rsidRPr="000A40E6">
        <w:rPr>
          <w:rFonts w:cs="Times New Roman"/>
          <w:szCs w:val="24"/>
        </w:rPr>
        <w:t>).</w:t>
      </w:r>
    </w:p>
    <w:p w14:paraId="6CAC913E" w14:textId="63EF49E2" w:rsidR="00FD1DD5" w:rsidRPr="000A40E6" w:rsidRDefault="00FD1DD5" w:rsidP="00F756C3">
      <w:pPr>
        <w:suppressAutoHyphens/>
        <w:spacing w:after="120"/>
        <w:rPr>
          <w:rFonts w:cs="Times New Roman"/>
          <w:szCs w:val="24"/>
        </w:rPr>
      </w:pPr>
      <w:r w:rsidRPr="000A40E6">
        <w:rPr>
          <w:rFonts w:cs="Times New Roman"/>
          <w:szCs w:val="24"/>
        </w:rPr>
        <w:t xml:space="preserve">Apareyde yer alan diş sayısı da bir diğer önemli faktördür. Kuvveti tüm alveolar bileşene yaymak için mümkün olduğu kadar çok dişin apareye </w:t>
      </w:r>
      <w:proofErr w:type="gramStart"/>
      <w:r w:rsidRPr="000A40E6">
        <w:rPr>
          <w:rFonts w:cs="Times New Roman"/>
          <w:szCs w:val="24"/>
        </w:rPr>
        <w:t>dahil</w:t>
      </w:r>
      <w:proofErr w:type="gramEnd"/>
      <w:r w:rsidRPr="000A40E6">
        <w:rPr>
          <w:rFonts w:cs="Times New Roman"/>
          <w:szCs w:val="24"/>
        </w:rPr>
        <w:t xml:space="preserve"> edilmesi tavsiye edilir (Timms, 1974). Daha geniş bir kuvvet dağılımı, her bir diş üzerindeki yükü azaltarak dişlerin zarar görme olasılığını düşürmektedir. Bu nedenle, sadece birkaç dişe yapıştırılabilen bantlar yerine tüm dişlere uygulanan bir cap splint apareyinin kullanılması savunulmaktadır (Timms, 1981).</w:t>
      </w:r>
    </w:p>
    <w:p w14:paraId="334CECA3" w14:textId="6DF2445B" w:rsidR="00FD1DD5" w:rsidRPr="000A40E6" w:rsidRDefault="00FD1DD5" w:rsidP="00F756C3">
      <w:pPr>
        <w:suppressAutoHyphens/>
        <w:spacing w:after="120"/>
        <w:rPr>
          <w:rFonts w:cs="Times New Roman"/>
          <w:szCs w:val="24"/>
        </w:rPr>
      </w:pPr>
      <w:r w:rsidRPr="000A40E6">
        <w:rPr>
          <w:rFonts w:cs="Times New Roman"/>
          <w:szCs w:val="24"/>
        </w:rPr>
        <w:t>RME’nin başarısında etkili bir diğer faktör de hastanın yaşıdır. Midpalatal süturun kaynaşma aşaması değişken olduğundan, RME için en uygun yaşın 13-15 yaş olduğu öne sürülmektedir. RME daha büyük bir yaş grubuna uygulanırsa, kemik rijiditesinin maksiller ekspansiyon miktarını ve sonraki stabiliteyi azaltma riski vardır (Bishara ve Staley, 1987).</w:t>
      </w:r>
    </w:p>
    <w:p w14:paraId="291EFF76" w14:textId="02354E6C" w:rsidR="00FD1DD5" w:rsidRPr="000A40E6" w:rsidRDefault="00FD1DD5" w:rsidP="00F756C3">
      <w:pPr>
        <w:suppressAutoHyphens/>
        <w:spacing w:after="120"/>
        <w:rPr>
          <w:rFonts w:cs="Times New Roman"/>
          <w:szCs w:val="24"/>
        </w:rPr>
      </w:pPr>
      <w:r w:rsidRPr="000A40E6">
        <w:rPr>
          <w:rFonts w:cs="Times New Roman"/>
          <w:szCs w:val="24"/>
        </w:rPr>
        <w:t>Çeşitli çalışmalar, hastaların yaşı arttıkça sütural açılmanın zorlaştığını ve RME’nin iskeletsel etkisinin azaldığını göstermiştir. Handelman</w:t>
      </w:r>
      <w:r w:rsidR="00B063BB" w:rsidRPr="000A40E6">
        <w:rPr>
          <w:rFonts w:cs="Times New Roman"/>
          <w:szCs w:val="24"/>
        </w:rPr>
        <w:t xml:space="preserve"> ve diğerleri</w:t>
      </w:r>
      <w:r w:rsidR="00AF7689" w:rsidRPr="000A40E6">
        <w:rPr>
          <w:rFonts w:cs="Times New Roman"/>
          <w:szCs w:val="24"/>
        </w:rPr>
        <w:t xml:space="preserve"> </w:t>
      </w:r>
      <w:r w:rsidR="00B063BB" w:rsidRPr="000A40E6">
        <w:rPr>
          <w:rFonts w:cs="Times New Roman"/>
          <w:szCs w:val="24"/>
        </w:rPr>
        <w:t>(2000)</w:t>
      </w:r>
      <w:r w:rsidR="00AF7689" w:rsidRPr="000A40E6">
        <w:rPr>
          <w:rFonts w:cs="Times New Roman"/>
          <w:szCs w:val="24"/>
        </w:rPr>
        <w:t>’nin</w:t>
      </w:r>
      <w:r w:rsidRPr="000A40E6">
        <w:rPr>
          <w:rFonts w:cs="Times New Roman"/>
          <w:szCs w:val="24"/>
        </w:rPr>
        <w:t>, RME ile tedavi edilen çocuk ve yetişkinlerdeki dişsel ve iskeletsel değişiklik</w:t>
      </w:r>
      <w:r w:rsidR="00256C5B" w:rsidRPr="000A40E6">
        <w:rPr>
          <w:rFonts w:cs="Times New Roman"/>
          <w:szCs w:val="24"/>
        </w:rPr>
        <w:t xml:space="preserve"> miktarını inceledikleri çalışma</w:t>
      </w:r>
      <w:r w:rsidR="007213F9" w:rsidRPr="000A40E6">
        <w:rPr>
          <w:rFonts w:cs="Times New Roman"/>
          <w:szCs w:val="24"/>
        </w:rPr>
        <w:t>sın</w:t>
      </w:r>
      <w:r w:rsidRPr="000A40E6">
        <w:rPr>
          <w:rFonts w:cs="Times New Roman"/>
          <w:szCs w:val="24"/>
        </w:rPr>
        <w:t>da, çocuklardaki iskeletsel ekspansiyon oranı %56 olup, yetişkinlerde ise bu oran %18’dir. Ayrıca yetişkin grupta alveolar eğilme ve bukkal inklinasyon miktarında çocuklara kıyasla istatistiksel olarak anlam</w:t>
      </w:r>
      <w:r w:rsidR="00BD708B" w:rsidRPr="000A40E6">
        <w:rPr>
          <w:rFonts w:cs="Times New Roman"/>
          <w:szCs w:val="24"/>
        </w:rPr>
        <w:t>lı bir artış olduğu bulunmuştur.</w:t>
      </w:r>
      <w:r w:rsidRPr="000A40E6">
        <w:rPr>
          <w:rFonts w:cs="Times New Roman"/>
          <w:szCs w:val="24"/>
        </w:rPr>
        <w:t xml:space="preserve"> Bu bulgular, hastaların yaşı ilerledikçe daha fazla dentoalveolar eğilme ve dişlerde devrilme meydana geldiğini göstermektedir. Hicks</w:t>
      </w:r>
      <w:r w:rsidR="00415D9A" w:rsidRPr="000A40E6">
        <w:rPr>
          <w:rFonts w:cs="Times New Roman"/>
          <w:szCs w:val="24"/>
        </w:rPr>
        <w:t xml:space="preserve"> (1978)</w:t>
      </w:r>
      <w:r w:rsidRPr="000A40E6">
        <w:rPr>
          <w:rFonts w:cs="Times New Roman"/>
          <w:szCs w:val="24"/>
        </w:rPr>
        <w:t xml:space="preserve"> tarafından yapılan bir araştırma, iskeletsel ekspansiyonun 10-11 yaş arası hastalarda toplam ark genişliği değişikliklerinin %30'unu oluşturduğunu, oysa 14-15 yaşlarındaki hastalarda ise sadece % 16’sını oluşturd</w:t>
      </w:r>
      <w:r w:rsidR="00415D9A" w:rsidRPr="000A40E6">
        <w:rPr>
          <w:rFonts w:cs="Times New Roman"/>
          <w:szCs w:val="24"/>
        </w:rPr>
        <w:t>uğu belirtilmiştir</w:t>
      </w:r>
      <w:r w:rsidRPr="000A40E6">
        <w:rPr>
          <w:rFonts w:cs="Times New Roman"/>
          <w:szCs w:val="24"/>
        </w:rPr>
        <w:t>. Krebs</w:t>
      </w:r>
      <w:r w:rsidR="00A37EA6" w:rsidRPr="000A40E6">
        <w:rPr>
          <w:rFonts w:cs="Times New Roman"/>
          <w:szCs w:val="24"/>
        </w:rPr>
        <w:t xml:space="preserve"> (1964)</w:t>
      </w:r>
      <w:r w:rsidRPr="000A40E6">
        <w:rPr>
          <w:rFonts w:cs="Times New Roman"/>
          <w:szCs w:val="24"/>
        </w:rPr>
        <w:t xml:space="preserve"> ise RME ile tedavi edilen hastalarda, iskeletsel değişikliğe bağlı ark genişliğindeki artış miktarını incelemiştir. İskeletsel değişikliğin 8-12 yaş arası hastalarda ark genişliği artışının yarısını oluşturduğunu ancak 13-18 yaş arası hastalarda artışın sadece üçte birini oluşturd</w:t>
      </w:r>
      <w:r w:rsidR="00A37EA6" w:rsidRPr="000A40E6">
        <w:rPr>
          <w:rFonts w:cs="Times New Roman"/>
          <w:szCs w:val="24"/>
        </w:rPr>
        <w:t>uğunu belirtmiştir</w:t>
      </w:r>
      <w:r w:rsidR="00E74B75" w:rsidRPr="000A40E6">
        <w:rPr>
          <w:rFonts w:cs="Times New Roman"/>
          <w:szCs w:val="24"/>
        </w:rPr>
        <w:t>. Wertz ve Dreskin (1977)</w:t>
      </w:r>
      <w:r w:rsidRPr="000A40E6">
        <w:rPr>
          <w:rFonts w:cs="Times New Roman"/>
          <w:szCs w:val="24"/>
        </w:rPr>
        <w:t xml:space="preserve"> tarafından yapılan bir çalışmada da, iskeletsel ekspansiyonun her yaşta klinik olarak etkili olmasına rağmen, yetişkin hastaların minimum iskeletsel değişiklik gösterdiği ve ortopedik sonuçlarının uzun vadede </w:t>
      </w:r>
      <w:proofErr w:type="gramStart"/>
      <w:r w:rsidRPr="000A40E6">
        <w:rPr>
          <w:rFonts w:cs="Times New Roman"/>
          <w:szCs w:val="24"/>
        </w:rPr>
        <w:t>stabil</w:t>
      </w:r>
      <w:proofErr w:type="gramEnd"/>
      <w:r w:rsidRPr="000A40E6">
        <w:rPr>
          <w:rFonts w:cs="Times New Roman"/>
          <w:szCs w:val="24"/>
        </w:rPr>
        <w:t xml:space="preserve"> olmadığı bi</w:t>
      </w:r>
      <w:r w:rsidR="00E74B75" w:rsidRPr="000A40E6">
        <w:rPr>
          <w:rFonts w:cs="Times New Roman"/>
          <w:szCs w:val="24"/>
        </w:rPr>
        <w:t>ldirilmiştir</w:t>
      </w:r>
      <w:r w:rsidRPr="000A40E6">
        <w:rPr>
          <w:rFonts w:cs="Times New Roman"/>
          <w:szCs w:val="24"/>
        </w:rPr>
        <w:t>.</w:t>
      </w:r>
    </w:p>
    <w:p w14:paraId="253B07F8" w14:textId="520E4659" w:rsidR="00FD1DD5" w:rsidRPr="000A40E6" w:rsidRDefault="00FD1DD5" w:rsidP="00F756C3">
      <w:pPr>
        <w:suppressAutoHyphens/>
        <w:spacing w:after="120"/>
        <w:rPr>
          <w:rFonts w:cs="Times New Roman"/>
          <w:szCs w:val="24"/>
        </w:rPr>
      </w:pPr>
      <w:r w:rsidRPr="000A40E6">
        <w:rPr>
          <w:rFonts w:cs="Times New Roman"/>
          <w:szCs w:val="24"/>
        </w:rPr>
        <w:t>Ekspansiyon genellikle bir sarmal yay veya vidalar ile sağlanmaktadır. Sarmal yayın kullanılması, rijiditeyi ve ekspansiyonun kontrolünü azaltır; bu nedenle sarmal yayların kullanımı daha azdır (Timms, 1981).</w:t>
      </w:r>
      <w:r w:rsidR="005437C8" w:rsidRPr="000A40E6">
        <w:rPr>
          <w:rFonts w:cs="Times New Roman"/>
          <w:szCs w:val="24"/>
        </w:rPr>
        <w:t xml:space="preserve"> </w:t>
      </w:r>
      <w:r w:rsidRPr="000A40E6">
        <w:rPr>
          <w:rFonts w:cs="Times New Roman"/>
          <w:szCs w:val="24"/>
        </w:rPr>
        <w:t>Kullanılan vidanın apareydeki konumu kritik önem taşır. Süt dişlenmede direnç merkezi damağın ortasında yer alır; daimi dişlenmede bu pozisyon, 2. premolar ve daimi 1. molar dişleri arasındaki embraşürün posterioruna doğru hareket eder. RME kuvveti uygulanmasıyla birlikte frontonasal sütur ve posterior midpalatal süturda iki moment veya rotasyon merkezi oluşmaktadır. Bu momentlerin konumları, vidanın daha posteriora veya anteriora yerleşmesinden etkilenmekt</w:t>
      </w:r>
      <w:r w:rsidR="005437C8" w:rsidRPr="000A40E6">
        <w:rPr>
          <w:rFonts w:cs="Times New Roman"/>
          <w:szCs w:val="24"/>
        </w:rPr>
        <w:t>edir (Jafari ve diğerleri, 2003</w:t>
      </w:r>
      <w:r w:rsidRPr="000A40E6">
        <w:rPr>
          <w:rFonts w:cs="Times New Roman"/>
          <w:szCs w:val="24"/>
        </w:rPr>
        <w:t>).</w:t>
      </w:r>
    </w:p>
    <w:p w14:paraId="64AD6E1D" w14:textId="08AD9842" w:rsidR="00FD1DD5" w:rsidRPr="000A40E6" w:rsidRDefault="00FD1DD5" w:rsidP="00F756C3">
      <w:pPr>
        <w:suppressAutoHyphens/>
        <w:spacing w:after="120"/>
        <w:rPr>
          <w:rFonts w:cs="Times New Roman"/>
          <w:szCs w:val="24"/>
        </w:rPr>
      </w:pPr>
      <w:r w:rsidRPr="000A40E6">
        <w:rPr>
          <w:rFonts w:cs="Times New Roman"/>
          <w:szCs w:val="24"/>
        </w:rPr>
        <w:t>RME apareyinin yüksekliği diş hareketi tipini etkilem</w:t>
      </w:r>
      <w:r w:rsidR="006178E0" w:rsidRPr="000A40E6">
        <w:rPr>
          <w:rFonts w:cs="Times New Roman"/>
          <w:szCs w:val="24"/>
        </w:rPr>
        <w:t xml:space="preserve">ektedir. </w:t>
      </w:r>
      <w:r w:rsidR="00893A74" w:rsidRPr="000A40E6">
        <w:rPr>
          <w:rFonts w:cs="Times New Roman"/>
          <w:szCs w:val="24"/>
        </w:rPr>
        <w:t xml:space="preserve">Araugio ve diğerleri </w:t>
      </w:r>
      <w:r w:rsidR="0012538C" w:rsidRPr="000A40E6">
        <w:rPr>
          <w:rFonts w:cs="Times New Roman"/>
          <w:szCs w:val="24"/>
        </w:rPr>
        <w:t>(2013)</w:t>
      </w:r>
      <w:r w:rsidR="00893A74" w:rsidRPr="000A40E6">
        <w:rPr>
          <w:rFonts w:cs="Times New Roman"/>
          <w:szCs w:val="24"/>
        </w:rPr>
        <w:t>’nin</w:t>
      </w:r>
      <w:r w:rsidR="0012538C" w:rsidRPr="000A40E6">
        <w:rPr>
          <w:rFonts w:cs="Times New Roman"/>
          <w:szCs w:val="24"/>
        </w:rPr>
        <w:t xml:space="preserve"> </w:t>
      </w:r>
      <w:r w:rsidRPr="000A40E6">
        <w:rPr>
          <w:rFonts w:cs="Times New Roman"/>
          <w:szCs w:val="24"/>
        </w:rPr>
        <w:t>yaptığı bir sonlu eleman analizi çalışması, RME'nin damağa yakın yerleştirilmesi durumunda ekstrüzyon ve distal yer değiştirmenin meydana gelebileceğini göstermiştir. Ancak damaktan uzağa yerleştirildiğinde, mezial yer değiştirme ile kronun bukkale devrilmesi gelişebilmekte</w:t>
      </w:r>
      <w:r w:rsidR="0012538C" w:rsidRPr="000A40E6">
        <w:rPr>
          <w:rFonts w:cs="Times New Roman"/>
          <w:szCs w:val="24"/>
        </w:rPr>
        <w:t>dir</w:t>
      </w:r>
      <w:r w:rsidRPr="000A40E6">
        <w:rPr>
          <w:rFonts w:cs="Times New Roman"/>
          <w:szCs w:val="24"/>
        </w:rPr>
        <w:t>.</w:t>
      </w:r>
    </w:p>
    <w:p w14:paraId="0CBA8D13" w14:textId="77777777" w:rsidR="00FD1DD5" w:rsidRPr="000A40E6" w:rsidRDefault="00FD1DD5" w:rsidP="00F756C3">
      <w:pPr>
        <w:suppressAutoHyphens/>
        <w:spacing w:after="120"/>
        <w:rPr>
          <w:rFonts w:cs="Times New Roman"/>
          <w:szCs w:val="24"/>
        </w:rPr>
      </w:pPr>
    </w:p>
    <w:p w14:paraId="6BC2BD22" w14:textId="77777777" w:rsidR="00FD1DD5" w:rsidRPr="000A40E6" w:rsidRDefault="00FD1DD5" w:rsidP="00F756C3">
      <w:pPr>
        <w:suppressAutoHyphens/>
        <w:spacing w:after="120"/>
        <w:ind w:firstLine="0"/>
        <w:rPr>
          <w:rFonts w:cs="Times New Roman"/>
          <w:b/>
          <w:szCs w:val="24"/>
        </w:rPr>
      </w:pPr>
      <w:bookmarkStart w:id="46" w:name="_Toc136443388"/>
      <w:r w:rsidRPr="000A40E6">
        <w:rPr>
          <w:rFonts w:cs="Times New Roman"/>
          <w:b/>
          <w:szCs w:val="24"/>
        </w:rPr>
        <w:t>2.3. Rapid Maksiller Ekspansiyon Etkisinin Değerlendirilmesi</w:t>
      </w:r>
      <w:bookmarkEnd w:id="46"/>
    </w:p>
    <w:p w14:paraId="28DEBA23" w14:textId="77777777" w:rsidR="00FD1DD5" w:rsidRPr="000A40E6" w:rsidRDefault="00FD1DD5" w:rsidP="00F756C3">
      <w:pPr>
        <w:suppressAutoHyphens/>
        <w:spacing w:after="120"/>
        <w:rPr>
          <w:rFonts w:cs="Times New Roman"/>
          <w:b/>
          <w:szCs w:val="24"/>
        </w:rPr>
      </w:pPr>
    </w:p>
    <w:p w14:paraId="0397A311" w14:textId="06B6D0E1" w:rsidR="00FD1DD5" w:rsidRPr="000A40E6" w:rsidRDefault="00FD1DD5" w:rsidP="00F756C3">
      <w:pPr>
        <w:suppressAutoHyphens/>
        <w:spacing w:after="120"/>
        <w:rPr>
          <w:rFonts w:cs="Times New Roman"/>
          <w:szCs w:val="24"/>
        </w:rPr>
      </w:pPr>
      <w:r w:rsidRPr="000A40E6">
        <w:rPr>
          <w:rFonts w:cs="Times New Roman"/>
          <w:szCs w:val="24"/>
        </w:rPr>
        <w:t xml:space="preserve">RME’nin etkilerini değerlendirmede en yaygın yöntem hastanın klinik muayenesidir. Dental çalışma modelleri, iki boyutlu posteroanterior (PA) radyografiler veya oklüzal radyografiler ile de analiz </w:t>
      </w:r>
      <w:r w:rsidR="00534C31" w:rsidRPr="000A40E6">
        <w:rPr>
          <w:rFonts w:cs="Times New Roman"/>
          <w:szCs w:val="24"/>
        </w:rPr>
        <w:t>yapılabilir</w:t>
      </w:r>
      <w:r w:rsidRPr="000A40E6">
        <w:rPr>
          <w:rFonts w:cs="Times New Roman"/>
          <w:szCs w:val="24"/>
        </w:rPr>
        <w:t>. Dental çalışma modellerinin dezavantajı, ekspansiyon süresince oluşan değişikliklerin sadece klinik olarak belirgin olanını göstermeleridir. Midpalatal sütur açıklığı oklüzal radyografi ile tespit edilebilir (Habersack ve diğerleri, 2007).</w:t>
      </w:r>
    </w:p>
    <w:p w14:paraId="6B576830" w14:textId="2E78045B" w:rsidR="00FD1DD5" w:rsidRPr="000A40E6" w:rsidRDefault="00FD1DD5" w:rsidP="00F756C3">
      <w:pPr>
        <w:suppressAutoHyphens/>
        <w:spacing w:after="120"/>
        <w:rPr>
          <w:rFonts w:cs="Times New Roman"/>
          <w:szCs w:val="24"/>
        </w:rPr>
      </w:pPr>
      <w:r w:rsidRPr="000A40E6">
        <w:rPr>
          <w:rFonts w:cs="Times New Roman"/>
          <w:szCs w:val="24"/>
        </w:rPr>
        <w:t>Günümüzde radyografik analiz olarak, Baccetti ve diğerleri</w:t>
      </w:r>
      <w:r w:rsidR="005873A1" w:rsidRPr="000A40E6">
        <w:rPr>
          <w:rFonts w:cs="Times New Roman"/>
          <w:szCs w:val="24"/>
        </w:rPr>
        <w:t xml:space="preserve"> (2001)</w:t>
      </w:r>
      <w:r w:rsidRPr="000A40E6">
        <w:rPr>
          <w:rFonts w:cs="Times New Roman"/>
          <w:szCs w:val="24"/>
        </w:rPr>
        <w:t>; Geran ve diğerleri</w:t>
      </w:r>
      <w:r w:rsidR="005873A1" w:rsidRPr="000A40E6">
        <w:rPr>
          <w:rFonts w:cs="Times New Roman"/>
          <w:szCs w:val="24"/>
        </w:rPr>
        <w:t xml:space="preserve"> (2006)</w:t>
      </w:r>
      <w:r w:rsidRPr="000A40E6">
        <w:rPr>
          <w:rFonts w:cs="Times New Roman"/>
          <w:szCs w:val="24"/>
        </w:rPr>
        <w:t>'nin değerlendirme yöntemleri daha yaygın olarak kullanılmaktadır</w:t>
      </w:r>
      <w:r w:rsidR="005873A1" w:rsidRPr="000A40E6">
        <w:rPr>
          <w:rFonts w:cs="Times New Roman"/>
          <w:szCs w:val="24"/>
        </w:rPr>
        <w:t>.</w:t>
      </w:r>
      <w:r w:rsidR="006E6C62" w:rsidRPr="000A40E6">
        <w:rPr>
          <w:rFonts w:cs="Times New Roman"/>
          <w:szCs w:val="24"/>
        </w:rPr>
        <w:t xml:space="preserve"> </w:t>
      </w:r>
      <w:r w:rsidRPr="000A40E6">
        <w:rPr>
          <w:rFonts w:cs="Times New Roman"/>
          <w:szCs w:val="24"/>
        </w:rPr>
        <w:t>Geran ve diğerleri</w:t>
      </w:r>
      <w:r w:rsidR="001B4FA8" w:rsidRPr="000A40E6">
        <w:rPr>
          <w:rFonts w:cs="Times New Roman"/>
          <w:szCs w:val="24"/>
        </w:rPr>
        <w:t xml:space="preserve"> (2006)</w:t>
      </w:r>
      <w:r w:rsidRPr="000A40E6">
        <w:rPr>
          <w:rFonts w:cs="Times New Roman"/>
          <w:szCs w:val="24"/>
        </w:rPr>
        <w:t>, ark genişliği, derinliği, çevresi ve molar angulasyonundaki dental değişiklikleri ölçmek için PA radyograflarına dental alçı modelleri ölçümlerini eklemişl</w:t>
      </w:r>
      <w:r w:rsidR="001B4FA8" w:rsidRPr="000A40E6">
        <w:rPr>
          <w:rFonts w:cs="Times New Roman"/>
          <w:szCs w:val="24"/>
        </w:rPr>
        <w:t>erdir</w:t>
      </w:r>
      <w:r w:rsidRPr="000A40E6">
        <w:rPr>
          <w:rFonts w:cs="Times New Roman"/>
          <w:szCs w:val="24"/>
        </w:rPr>
        <w:t xml:space="preserve">. Hyrax apareyi maksiller dişlere sabitlendiğinden, apareye </w:t>
      </w:r>
      <w:proofErr w:type="gramStart"/>
      <w:r w:rsidRPr="000A40E6">
        <w:rPr>
          <w:rFonts w:cs="Times New Roman"/>
          <w:szCs w:val="24"/>
        </w:rPr>
        <w:t>dahil</w:t>
      </w:r>
      <w:proofErr w:type="gramEnd"/>
      <w:r w:rsidRPr="000A40E6">
        <w:rPr>
          <w:rFonts w:cs="Times New Roman"/>
          <w:szCs w:val="24"/>
        </w:rPr>
        <w:t xml:space="preserve"> edilen dişlerdeki değişiklikler sebebiyle, RME analizine dental ölçümlerin eklenmesi önemlidir. Ancak,  köklerin görüntüsünü tahmin etmekte yetersiz kalınır ve dişlerin gerçek angulasyon değişiklikleri ölçülemez. Bu nedenle, RME'nin etkilerini incelemek için üç boyu</w:t>
      </w:r>
      <w:r w:rsidR="006962FA" w:rsidRPr="000A40E6">
        <w:rPr>
          <w:rFonts w:cs="Times New Roman"/>
          <w:szCs w:val="24"/>
        </w:rPr>
        <w:t xml:space="preserve">tlu görüntüleme kullanılabilir </w:t>
      </w:r>
      <w:r w:rsidRPr="000A40E6">
        <w:rPr>
          <w:rFonts w:cs="Times New Roman"/>
          <w:szCs w:val="24"/>
        </w:rPr>
        <w:t>(Garib ve diğerleri, 2005; Garib ve diğerleri, 2006; Habersack ve diğerleri, 2007).</w:t>
      </w:r>
    </w:p>
    <w:p w14:paraId="1344EF4E" w14:textId="77777777" w:rsidR="00FD1DD5" w:rsidRPr="000A40E6" w:rsidRDefault="00FD1DD5" w:rsidP="00F756C3">
      <w:pPr>
        <w:suppressAutoHyphens/>
        <w:spacing w:after="120"/>
        <w:rPr>
          <w:rFonts w:cs="Times New Roman"/>
          <w:szCs w:val="24"/>
        </w:rPr>
      </w:pPr>
      <w:r w:rsidRPr="000A40E6">
        <w:rPr>
          <w:rFonts w:cs="Times New Roman"/>
          <w:szCs w:val="24"/>
        </w:rPr>
        <w:t xml:space="preserve">Manyetik Rezonans Görüntüleme (MRI) hem yumuşak hem de sert dokuların net ve bozulmamış görüntüsünü sağlar ve radyasyon içermez, bu nedenle nazomaksiller </w:t>
      </w:r>
      <w:proofErr w:type="gramStart"/>
      <w:r w:rsidRPr="000A40E6">
        <w:rPr>
          <w:rFonts w:cs="Times New Roman"/>
          <w:szCs w:val="24"/>
        </w:rPr>
        <w:t>kompleks</w:t>
      </w:r>
      <w:proofErr w:type="gramEnd"/>
      <w:r w:rsidRPr="000A40E6">
        <w:rPr>
          <w:rFonts w:cs="Times New Roman"/>
          <w:szCs w:val="24"/>
        </w:rPr>
        <w:t xml:space="preserve"> için kullanılabilir. Ancak bu tekniğin yüksek maliyeti, sınırlı mevcudiyeti ve metalik apareylerin sınırlamaları nedeniyle ortodontide kullanılması pek mümkün değildir. Geleneksel bilgisayarlı </w:t>
      </w:r>
      <w:proofErr w:type="gramStart"/>
      <w:r w:rsidRPr="000A40E6">
        <w:rPr>
          <w:rFonts w:cs="Times New Roman"/>
          <w:szCs w:val="24"/>
        </w:rPr>
        <w:t>tomografi</w:t>
      </w:r>
      <w:proofErr w:type="gramEnd"/>
      <w:r w:rsidRPr="000A40E6">
        <w:rPr>
          <w:rFonts w:cs="Times New Roman"/>
          <w:szCs w:val="24"/>
        </w:rPr>
        <w:t xml:space="preserve"> (BT), iskelet yapılarının üç boyutlu görüntülenmesini sağlar ancak yumuşak dokular iyi ayırt edilemez. BT'nin dezavantajları, yüksek radyasyon dozu ve yüksek maliyetidir (Cavalcanti ve diğerleri, 1999).</w:t>
      </w:r>
    </w:p>
    <w:p w14:paraId="569D2C2C" w14:textId="4D4BEEE0" w:rsidR="00FD1DD5" w:rsidRPr="000A40E6" w:rsidRDefault="00FD1DD5" w:rsidP="00F756C3">
      <w:pPr>
        <w:suppressAutoHyphens/>
        <w:spacing w:after="120"/>
        <w:rPr>
          <w:rFonts w:cs="Times New Roman"/>
          <w:szCs w:val="24"/>
        </w:rPr>
      </w:pPr>
      <w:r w:rsidRPr="000A40E6">
        <w:rPr>
          <w:rFonts w:cs="Times New Roman"/>
          <w:szCs w:val="24"/>
        </w:rPr>
        <w:t>RME’nin etkilerini değerlendirmede faydalı olan diğer yöntemler; rinomanometri (Hilberg, 2002), akustik rinomanometri (</w:t>
      </w:r>
      <w:proofErr w:type="gramStart"/>
      <w:r w:rsidRPr="000A40E6">
        <w:rPr>
          <w:rFonts w:cs="Times New Roman"/>
          <w:szCs w:val="24"/>
        </w:rPr>
        <w:t>Kase</w:t>
      </w:r>
      <w:proofErr w:type="gramEnd"/>
      <w:r w:rsidRPr="000A40E6">
        <w:rPr>
          <w:rFonts w:cs="Times New Roman"/>
          <w:szCs w:val="24"/>
        </w:rPr>
        <w:t xml:space="preserve"> ve diğerleri, 1994), histolojiye dayalı çalışmalar (Murray ve Cleall, 1971), sonlu elemanlar analizi ve lazer tarama kullanımını içerir (Gordon ve diğerleri, 2009).</w:t>
      </w:r>
    </w:p>
    <w:p w14:paraId="732D50DE" w14:textId="77777777" w:rsidR="005443C7" w:rsidRPr="000A40E6" w:rsidRDefault="005443C7" w:rsidP="00F756C3">
      <w:pPr>
        <w:suppressAutoHyphens/>
        <w:spacing w:after="120"/>
        <w:rPr>
          <w:rFonts w:cs="Times New Roman"/>
          <w:szCs w:val="24"/>
        </w:rPr>
      </w:pPr>
    </w:p>
    <w:p w14:paraId="2C84481D" w14:textId="77777777" w:rsidR="00FD1DD5" w:rsidRPr="000A40E6" w:rsidRDefault="00FD1DD5" w:rsidP="00F756C3">
      <w:pPr>
        <w:suppressAutoHyphens/>
        <w:spacing w:after="120"/>
        <w:ind w:firstLine="0"/>
        <w:rPr>
          <w:rFonts w:cs="Times New Roman"/>
          <w:b/>
          <w:szCs w:val="24"/>
        </w:rPr>
      </w:pPr>
      <w:bookmarkStart w:id="47" w:name="_Toc136443389"/>
      <w:r w:rsidRPr="000A40E6">
        <w:rPr>
          <w:rFonts w:cs="Times New Roman"/>
          <w:b/>
          <w:szCs w:val="24"/>
        </w:rPr>
        <w:t>2.3.1. İskeletsel Etkiler</w:t>
      </w:r>
      <w:bookmarkEnd w:id="47"/>
    </w:p>
    <w:p w14:paraId="69CF56ED" w14:textId="77777777" w:rsidR="00FD1DD5" w:rsidRPr="000A40E6" w:rsidRDefault="00FD1DD5" w:rsidP="00F756C3">
      <w:pPr>
        <w:suppressAutoHyphens/>
        <w:spacing w:after="120"/>
        <w:rPr>
          <w:rFonts w:cs="Times New Roman"/>
          <w:b/>
          <w:szCs w:val="24"/>
        </w:rPr>
      </w:pPr>
    </w:p>
    <w:p w14:paraId="5246AC7F" w14:textId="2F7B546A" w:rsidR="00FD1DD5" w:rsidRPr="000A40E6" w:rsidRDefault="00FD1DD5" w:rsidP="00F756C3">
      <w:pPr>
        <w:suppressAutoHyphens/>
        <w:spacing w:after="120"/>
        <w:rPr>
          <w:rFonts w:cs="Times New Roman"/>
          <w:szCs w:val="24"/>
        </w:rPr>
      </w:pPr>
      <w:r w:rsidRPr="000A40E6">
        <w:rPr>
          <w:rFonts w:cs="Times New Roman"/>
          <w:szCs w:val="24"/>
        </w:rPr>
        <w:t>RME esas olarak, iki maksiller yarının birbirinden tamamen ayrılması sonucunda ortopedik bir etki ve posterior dişlerin alveolar proçeslerinin bukkale hareketi sayesinde ortodontik bir etki ile maksiller arkın transversal boyutlarını arttırır  (da Silva Filho ve diğerleri, 1995). Aparey aktive edildiğinde, periodontal ligamentte ani bir sıkışma, alveolar proçeslerin eğilmesi ve ankraj dişlerin devrilmesi gerçekleşir. Uygulanan kuvvetler ortodontik diş ha</w:t>
      </w:r>
      <w:r w:rsidR="00F83E1E" w:rsidRPr="000A40E6">
        <w:rPr>
          <w:rFonts w:cs="Times New Roman"/>
          <w:szCs w:val="24"/>
        </w:rPr>
        <w:t xml:space="preserve">reketi sınırlarını aştığında ve </w:t>
      </w:r>
      <w:r w:rsidRPr="000A40E6">
        <w:rPr>
          <w:rFonts w:cs="Times New Roman"/>
          <w:szCs w:val="24"/>
        </w:rPr>
        <w:t>henüz kemikleşmemiş midpalatal sütur üzerinde distraksiyon kuvveti oluştuğunda iskeletsel ekspansiyon gerçekleşir (Bishara ve Staley, 1987). Palatinal kemikler arasındaki sütur açıldığında, eklem yapan sfenoid kemikler de etkilenir ve sonuçta pterygiod hamulus arasındaki genişlikte bir artış olur (Timms, 1980). Histolojik olarak, RME yoluyla uygulanan hızlı ve ağır ek</w:t>
      </w:r>
      <w:r w:rsidR="00C71D8D" w:rsidRPr="000A40E6">
        <w:rPr>
          <w:rFonts w:cs="Times New Roman"/>
          <w:szCs w:val="24"/>
        </w:rPr>
        <w:t xml:space="preserve">spansiyon kuvvetleri (4500–9000 </w:t>
      </w:r>
      <w:r w:rsidRPr="000A40E6">
        <w:rPr>
          <w:rFonts w:cs="Times New Roman"/>
          <w:szCs w:val="24"/>
        </w:rPr>
        <w:t>g), midpalatal süturun bozulmasına neden olur, kemik defektinde oluşan yeni kemik ile süturların retansiyon süresinden sonra normal morfolojiye dönmesi sağlanır (Cleall ve diğerleri, 1965).</w:t>
      </w:r>
    </w:p>
    <w:p w14:paraId="7C545B46" w14:textId="360F8D40" w:rsidR="00FD1DD5" w:rsidRPr="000A40E6" w:rsidRDefault="00FD1DD5" w:rsidP="00F756C3">
      <w:pPr>
        <w:suppressAutoHyphens/>
        <w:spacing w:after="120"/>
        <w:rPr>
          <w:rFonts w:cs="Times New Roman"/>
          <w:szCs w:val="24"/>
        </w:rPr>
      </w:pPr>
      <w:r w:rsidRPr="000A40E6">
        <w:rPr>
          <w:rFonts w:cs="Times New Roman"/>
          <w:szCs w:val="24"/>
        </w:rPr>
        <w:t xml:space="preserve">Daimi dişlenmede, RME'nin ortopedik/ ortodontik etkisinin oranı vida aktivasyon miktarının yaklaşık </w:t>
      </w:r>
      <w:proofErr w:type="gramStart"/>
      <w:r w:rsidRPr="000A40E6">
        <w:rPr>
          <w:rFonts w:cs="Times New Roman"/>
          <w:szCs w:val="24"/>
        </w:rPr>
        <w:t>1:3'ü</w:t>
      </w:r>
      <w:proofErr w:type="gramEnd"/>
      <w:r w:rsidRPr="000A40E6">
        <w:rPr>
          <w:rFonts w:cs="Times New Roman"/>
          <w:szCs w:val="24"/>
        </w:rPr>
        <w:t xml:space="preserve"> iken, karışık ve süt dişlenmede oran 1:2'dir  (da Silva Filho ve diğerleri, 1995). Ortodontik etkinin miktarı; aktivasyon biçimi, ekspansiyon apareyinin tipi ve hastanın yaşı gibi maksillayı çevreleyen iskelet ve yumuşak doku yapılarının direncini etkileyebilecek bir dizi faktörden etkilenir (Braun ve diğerleri, 2000).</w:t>
      </w:r>
    </w:p>
    <w:p w14:paraId="4B3E9626" w14:textId="0DAAA73F" w:rsidR="00FD1DD5" w:rsidRPr="000A40E6" w:rsidRDefault="00FD1DD5" w:rsidP="00F756C3">
      <w:pPr>
        <w:suppressAutoHyphens/>
        <w:spacing w:after="120"/>
        <w:rPr>
          <w:rFonts w:cs="Times New Roman"/>
          <w:szCs w:val="24"/>
        </w:rPr>
      </w:pPr>
      <w:r w:rsidRPr="000A40E6">
        <w:rPr>
          <w:rFonts w:cs="Times New Roman"/>
          <w:szCs w:val="24"/>
        </w:rPr>
        <w:t>Horizontal düzlemde, midpalatal süturda paralel bir açılma olmasına karşı posteriorda bazı bölgeler direnç gösterir. Posteriorda en fazla direnç gösteren bölgeler, zigomatik ark ve sfenoid kemiğin korpusudur. Bu direnç bölgeleri sebebiyle oluşan etki, butressing etkisi olarak isimlendirilir (Doruk ve diğerleri, 2004). Bu etki nedeniyle, RME tedavisi ile A noktası 1-2 mm öne hareket eder (Akkaya ve diğerleri, 1999). Sagittal düzlemde, RME’nin maksillanın öne ve aşağı hareketine neden olabileceği</w:t>
      </w:r>
      <w:r w:rsidR="00413D27" w:rsidRPr="000A40E6">
        <w:rPr>
          <w:rFonts w:cs="Times New Roman"/>
          <w:szCs w:val="24"/>
        </w:rPr>
        <w:t xml:space="preserve"> bildirilmiştir </w:t>
      </w:r>
      <w:r w:rsidRPr="000A40E6">
        <w:rPr>
          <w:rFonts w:cs="Times New Roman"/>
          <w:szCs w:val="24"/>
        </w:rPr>
        <w:t>(Chung ve Font, 2004).</w:t>
      </w:r>
    </w:p>
    <w:p w14:paraId="3B130440" w14:textId="78BE05B5" w:rsidR="00FD1DD5" w:rsidRPr="000A40E6" w:rsidRDefault="00FD1DD5" w:rsidP="00F756C3">
      <w:pPr>
        <w:suppressAutoHyphens/>
        <w:spacing w:after="120"/>
        <w:rPr>
          <w:rFonts w:cs="Times New Roman"/>
          <w:szCs w:val="24"/>
        </w:rPr>
      </w:pPr>
      <w:r w:rsidRPr="000A40E6">
        <w:rPr>
          <w:rFonts w:cs="Times New Roman"/>
          <w:szCs w:val="24"/>
        </w:rPr>
        <w:t>Maksillanın aşağı doğru yer değiştirmesi, toplam yüz boyutundaki artışla ilişkilendirilmiştir. Bu değişiklikler iskeletsel Sınıf III vakalarda olduğu gibi bazı durumlarda yararlı olabilir, ancak iskeletsel Sınıf II vakalarda, mevcut açık kapanış veya artan vertikal boyutların olduğu durumlarda istenmeyebilir (Haas, 1970; Wertz, 1970). Artan vertikal boyutun nedenleri arasında, A noktasının ileri ve aşağı rotasyonu, B noktasının geriye doğru hareketi ve mandibulanın saat yönünde rotasyonu ile birlikte palatal düzlemin posteriora devrilmesi yer alır (Gardner ve Kronman, 1971).</w:t>
      </w:r>
      <w:r w:rsidR="00796D3E" w:rsidRPr="000A40E6">
        <w:rPr>
          <w:rFonts w:cs="Times New Roman"/>
          <w:szCs w:val="24"/>
        </w:rPr>
        <w:t xml:space="preserve"> </w:t>
      </w:r>
      <w:proofErr w:type="gramStart"/>
      <w:r w:rsidR="005A6179" w:rsidRPr="000A40E6">
        <w:rPr>
          <w:rFonts w:cs="Times New Roman"/>
          <w:szCs w:val="24"/>
        </w:rPr>
        <w:t>da</w:t>
      </w:r>
      <w:proofErr w:type="gramEnd"/>
      <w:r w:rsidR="005A6179" w:rsidRPr="000A40E6">
        <w:rPr>
          <w:rFonts w:cs="Times New Roman"/>
          <w:szCs w:val="24"/>
        </w:rPr>
        <w:t xml:space="preserve"> Silva Filho</w:t>
      </w:r>
      <w:r w:rsidRPr="000A40E6">
        <w:rPr>
          <w:rFonts w:cs="Times New Roman"/>
          <w:szCs w:val="24"/>
        </w:rPr>
        <w:t xml:space="preserve"> ve diğerleri</w:t>
      </w:r>
      <w:r w:rsidR="00A9396B" w:rsidRPr="000A40E6">
        <w:rPr>
          <w:rFonts w:cs="Times New Roman"/>
          <w:szCs w:val="24"/>
        </w:rPr>
        <w:t xml:space="preserve"> (1991)</w:t>
      </w:r>
      <w:r w:rsidRPr="000A40E6">
        <w:rPr>
          <w:rFonts w:cs="Times New Roman"/>
          <w:szCs w:val="24"/>
        </w:rPr>
        <w:t>, maksillanın öne doğru yer değ</w:t>
      </w:r>
      <w:r w:rsidR="00796D3E" w:rsidRPr="000A40E6">
        <w:rPr>
          <w:rFonts w:cs="Times New Roman"/>
          <w:szCs w:val="24"/>
        </w:rPr>
        <w:t>iştirmediğini iddia etmişlerdir</w:t>
      </w:r>
      <w:r w:rsidRPr="000A40E6">
        <w:rPr>
          <w:rFonts w:cs="Times New Roman"/>
          <w:szCs w:val="24"/>
        </w:rPr>
        <w:t xml:space="preserve">. Alveolar eğilme ile birlikte maksiller posterior dişlerin ekstrüzyonu ve devrilmesi, </w:t>
      </w:r>
      <w:r w:rsidR="006A7B85" w:rsidRPr="000A40E6">
        <w:rPr>
          <w:rFonts w:cs="Times New Roman"/>
          <w:szCs w:val="24"/>
        </w:rPr>
        <w:t xml:space="preserve">mandibulanın </w:t>
      </w:r>
      <w:r w:rsidRPr="000A40E6">
        <w:rPr>
          <w:rFonts w:cs="Times New Roman"/>
          <w:szCs w:val="24"/>
        </w:rPr>
        <w:t>aşağı ve geri hareket</w:t>
      </w:r>
      <w:r w:rsidR="006A7B85" w:rsidRPr="000A40E6">
        <w:rPr>
          <w:rFonts w:cs="Times New Roman"/>
          <w:szCs w:val="24"/>
        </w:rPr>
        <w:t xml:space="preserve">inin sebebi </w:t>
      </w:r>
      <w:proofErr w:type="gramStart"/>
      <w:r w:rsidR="006A7B85" w:rsidRPr="000A40E6">
        <w:rPr>
          <w:rFonts w:cs="Times New Roman"/>
          <w:szCs w:val="24"/>
        </w:rPr>
        <w:t xml:space="preserve">olarak </w:t>
      </w:r>
      <w:r w:rsidRPr="000A40E6">
        <w:rPr>
          <w:rFonts w:cs="Times New Roman"/>
          <w:szCs w:val="24"/>
        </w:rPr>
        <w:t xml:space="preserve"> kabul</w:t>
      </w:r>
      <w:proofErr w:type="gramEnd"/>
      <w:r w:rsidRPr="000A40E6">
        <w:rPr>
          <w:rFonts w:cs="Times New Roman"/>
          <w:szCs w:val="24"/>
        </w:rPr>
        <w:t xml:space="preserve"> edi</w:t>
      </w:r>
      <w:r w:rsidR="006A7B85" w:rsidRPr="000A40E6">
        <w:rPr>
          <w:rFonts w:cs="Times New Roman"/>
          <w:szCs w:val="24"/>
        </w:rPr>
        <w:t>lebi</w:t>
      </w:r>
      <w:r w:rsidRPr="000A40E6">
        <w:rPr>
          <w:rFonts w:cs="Times New Roman"/>
          <w:szCs w:val="24"/>
        </w:rPr>
        <w:t xml:space="preserve">lir (Bishara ve Staley, 1987). Bazı araştırmacılar ise, RME tedavisinden sonra vertikal yönde herhangi bir değişikliğin bulunmadığını göstermiştir (Chang ve diğerleri, 1997; Garib ve diğerleri, 2006; </w:t>
      </w:r>
      <w:proofErr w:type="gramStart"/>
      <w:r w:rsidRPr="000A40E6">
        <w:rPr>
          <w:rFonts w:cs="Times New Roman"/>
          <w:szCs w:val="24"/>
        </w:rPr>
        <w:t>Sari</w:t>
      </w:r>
      <w:proofErr w:type="gramEnd"/>
      <w:r w:rsidRPr="000A40E6">
        <w:rPr>
          <w:rFonts w:cs="Times New Roman"/>
          <w:szCs w:val="24"/>
        </w:rPr>
        <w:t xml:space="preserve"> ve diğerleri, 2003; Velázquez ve diğerleri, 1996). Benzer bir çalışma, vertikal yöndeki değişikliklerin geçici olduğunu bildirmiştir (Velázquez ve diğerleri, 1996). Mandibulanın saat yönünde rotasyonu retansiyon fazı sırasında azalır (Bishara ve Staley, 1987) ve apareyin çıkarılmasından sonra tamamen eski haline gelir (Garib ve diğerleri, 2006; </w:t>
      </w:r>
      <w:proofErr w:type="gramStart"/>
      <w:r w:rsidRPr="000A40E6">
        <w:rPr>
          <w:rFonts w:cs="Times New Roman"/>
          <w:szCs w:val="24"/>
        </w:rPr>
        <w:t>Sari</w:t>
      </w:r>
      <w:proofErr w:type="gramEnd"/>
      <w:r w:rsidRPr="000A40E6">
        <w:rPr>
          <w:rFonts w:cs="Times New Roman"/>
          <w:szCs w:val="24"/>
        </w:rPr>
        <w:t xml:space="preserve"> ve diğerleri, 2003).</w:t>
      </w:r>
    </w:p>
    <w:p w14:paraId="6396D9EC" w14:textId="0C1C5C17" w:rsidR="00FD1DD5" w:rsidRPr="000A40E6" w:rsidRDefault="00FD1DD5" w:rsidP="00F756C3">
      <w:pPr>
        <w:suppressAutoHyphens/>
        <w:spacing w:after="120"/>
        <w:rPr>
          <w:rFonts w:cs="Times New Roman"/>
          <w:szCs w:val="24"/>
        </w:rPr>
      </w:pPr>
      <w:r w:rsidRPr="000A40E6">
        <w:rPr>
          <w:rFonts w:cs="Times New Roman"/>
          <w:szCs w:val="24"/>
        </w:rPr>
        <w:t>RME ile transversal yöndeki genişlemenin kama şeklinde veya piramidal bir düzende gerçekleştiği, tabanı palatal seviyede ve apeksi nazal kavite içinde olduğu belirtilmiştir (Chung ve Font, 2004; da Silva Filho ve diğerleri, 2005; Garrett ve diğerleri, 200</w:t>
      </w:r>
      <w:r w:rsidR="00E35C9F" w:rsidRPr="000A40E6">
        <w:rPr>
          <w:rFonts w:cs="Times New Roman"/>
          <w:szCs w:val="24"/>
        </w:rPr>
        <w:t>8; Lione ve diğerleri, 2008; Ong ve diğerleri, 2015</w:t>
      </w:r>
      <w:r w:rsidRPr="000A40E6">
        <w:rPr>
          <w:rFonts w:cs="Times New Roman"/>
          <w:szCs w:val="24"/>
        </w:rPr>
        <w:t>). Ancak, Wertz</w:t>
      </w:r>
      <w:r w:rsidR="0089519B" w:rsidRPr="000A40E6">
        <w:rPr>
          <w:rFonts w:cs="Times New Roman"/>
          <w:szCs w:val="24"/>
        </w:rPr>
        <w:t xml:space="preserve"> </w:t>
      </w:r>
      <w:r w:rsidRPr="000A40E6">
        <w:rPr>
          <w:rFonts w:cs="Times New Roman"/>
          <w:szCs w:val="24"/>
        </w:rPr>
        <w:t>genişleyen alanın apeksinin frontomaksiller sütur bölgesinde olduğunu öne sürmüştür</w:t>
      </w:r>
      <w:r w:rsidR="004173E4" w:rsidRPr="000A40E6">
        <w:rPr>
          <w:rFonts w:cs="Times New Roman"/>
          <w:szCs w:val="24"/>
        </w:rPr>
        <w:t xml:space="preserve"> (Wertz, 1970)</w:t>
      </w:r>
      <w:r w:rsidRPr="000A40E6">
        <w:rPr>
          <w:rFonts w:cs="Times New Roman"/>
          <w:szCs w:val="24"/>
        </w:rPr>
        <w:t>. Wertz</w:t>
      </w:r>
      <w:r w:rsidR="00064C83" w:rsidRPr="000A40E6">
        <w:rPr>
          <w:rFonts w:cs="Times New Roman"/>
          <w:szCs w:val="24"/>
        </w:rPr>
        <w:t xml:space="preserve"> (1970),</w:t>
      </w:r>
      <w:r w:rsidRPr="000A40E6">
        <w:rPr>
          <w:rFonts w:cs="Times New Roman"/>
          <w:szCs w:val="24"/>
        </w:rPr>
        <w:t xml:space="preserve"> bu paralel olmayan genişlemeyi, RME'nin aktive edici vidasından uzakta, maksiller ayrılma için bir fulkrum görevi gören zygomatik arkın butress etkisi ile </w:t>
      </w:r>
      <w:r w:rsidR="00064C83" w:rsidRPr="000A40E6">
        <w:rPr>
          <w:rFonts w:cs="Times New Roman"/>
          <w:szCs w:val="24"/>
        </w:rPr>
        <w:t>ilişkilendirmiştir</w:t>
      </w:r>
      <w:r w:rsidRPr="000A40E6">
        <w:rPr>
          <w:rFonts w:cs="Times New Roman"/>
          <w:szCs w:val="24"/>
        </w:rPr>
        <w:t>. Bu fulkrum noktasının konumu yaşa bağlı olarak değişmektedir ve hasta yaşının artmasıyla birlikte aktive edici kuvvete daha yakın bir konumda olmaktadır (Ong ve diğe</w:t>
      </w:r>
      <w:r w:rsidR="00EA0091" w:rsidRPr="000A40E6">
        <w:rPr>
          <w:rFonts w:cs="Times New Roman"/>
          <w:szCs w:val="24"/>
        </w:rPr>
        <w:t>rleri, 2015</w:t>
      </w:r>
      <w:r w:rsidRPr="000A40E6">
        <w:rPr>
          <w:rFonts w:cs="Times New Roman"/>
          <w:szCs w:val="24"/>
        </w:rPr>
        <w:t>).</w:t>
      </w:r>
    </w:p>
    <w:p w14:paraId="2D33284C" w14:textId="37059E58" w:rsidR="00FD1DD5" w:rsidRPr="000A40E6" w:rsidRDefault="00FD1DD5" w:rsidP="00F756C3">
      <w:pPr>
        <w:suppressAutoHyphens/>
        <w:spacing w:after="120"/>
        <w:rPr>
          <w:rFonts w:cs="Times New Roman"/>
          <w:szCs w:val="24"/>
        </w:rPr>
      </w:pPr>
      <w:r w:rsidRPr="000A40E6">
        <w:rPr>
          <w:rFonts w:cs="Times New Roman"/>
          <w:szCs w:val="24"/>
        </w:rPr>
        <w:t>Oklüz</w:t>
      </w:r>
      <w:r w:rsidR="00F9208D" w:rsidRPr="000A40E6">
        <w:rPr>
          <w:rFonts w:cs="Times New Roman"/>
          <w:szCs w:val="24"/>
        </w:rPr>
        <w:t>al açıdan bakıldığında, maksiller parçalar</w:t>
      </w:r>
      <w:r w:rsidRPr="000A40E6">
        <w:rPr>
          <w:rFonts w:cs="Times New Roman"/>
          <w:szCs w:val="24"/>
        </w:rPr>
        <w:t xml:space="preserve"> tepesi posterior nazal çıkıntı bölgesinde, tabanı anterior nazal çıkıntı bölgesinde olan bir üçgene benzer şekilde midpalatal sütur boyunca birbirinden ayrılmaktadır. Midpalatal süturda, posteriorda daha az anteriorda daha fazla olmak üzere V şeklinde bir açılma gözlenir. Araştırmacılar, bunun sebebini posteriorda daha güçlü, anteriorda daha zayıf direnç bölgelerinin olmasına bağlamışlardır (</w:t>
      </w:r>
      <w:r w:rsidR="008766B2" w:rsidRPr="000A40E6">
        <w:rPr>
          <w:rFonts w:cs="Times New Roman"/>
          <w:szCs w:val="24"/>
        </w:rPr>
        <w:t>Davidovitch</w:t>
      </w:r>
      <w:r w:rsidRPr="000A40E6">
        <w:rPr>
          <w:rFonts w:cs="Times New Roman"/>
          <w:szCs w:val="24"/>
        </w:rPr>
        <w:t xml:space="preserve"> ve diğerleri, 2005</w:t>
      </w:r>
      <w:r w:rsidR="0089519B" w:rsidRPr="000A40E6">
        <w:rPr>
          <w:rFonts w:cs="Times New Roman"/>
          <w:szCs w:val="24"/>
        </w:rPr>
        <w:t>; Ekström ve diğerleri, 1977</w:t>
      </w:r>
      <w:r w:rsidRPr="000A40E6">
        <w:rPr>
          <w:rFonts w:cs="Times New Roman"/>
          <w:szCs w:val="24"/>
        </w:rPr>
        <w:t>). Bu görüş, maksiller ayrılmanın ANS'den PNS'ye paralel bir biçimde meydana geldiği bulgusu ile çelişmektedir (Haas, 1961). Daha posteriora yerleştirilmiş rijit bir apareyin kullanılmasının, rotasyon merkezini yukarı ve geriye doğru hareket ettirdiğine ve bunun da kemiklerin daha doğrusal bir şekilde ayrılmasına neden olabileceğine inanılmaktadır (Braun ve diğerleri, 2000).</w:t>
      </w:r>
    </w:p>
    <w:p w14:paraId="0E5D64F6" w14:textId="77777777" w:rsidR="009F2855" w:rsidRPr="000A40E6" w:rsidRDefault="009F2855" w:rsidP="00F756C3">
      <w:pPr>
        <w:suppressAutoHyphens/>
        <w:spacing w:after="120"/>
        <w:rPr>
          <w:rFonts w:cs="Times New Roman"/>
          <w:szCs w:val="24"/>
        </w:rPr>
      </w:pPr>
    </w:p>
    <w:p w14:paraId="1F743D7F" w14:textId="77777777" w:rsidR="00FD1DD5" w:rsidRPr="000A40E6" w:rsidRDefault="00FD1DD5" w:rsidP="00F756C3">
      <w:pPr>
        <w:suppressAutoHyphens/>
        <w:spacing w:after="120"/>
        <w:ind w:firstLine="0"/>
        <w:rPr>
          <w:rFonts w:cs="Times New Roman"/>
          <w:b/>
          <w:szCs w:val="24"/>
        </w:rPr>
      </w:pPr>
      <w:bookmarkStart w:id="48" w:name="_Toc136443390"/>
      <w:r w:rsidRPr="000A40E6">
        <w:rPr>
          <w:rFonts w:cs="Times New Roman"/>
          <w:b/>
          <w:szCs w:val="24"/>
        </w:rPr>
        <w:t>2.3.2. Dentoalveolar Etkiler</w:t>
      </w:r>
      <w:bookmarkEnd w:id="48"/>
    </w:p>
    <w:p w14:paraId="4967FE3D" w14:textId="77777777" w:rsidR="00FD1DD5" w:rsidRPr="000A40E6" w:rsidRDefault="00FD1DD5" w:rsidP="00F756C3">
      <w:pPr>
        <w:suppressAutoHyphens/>
        <w:spacing w:after="120"/>
        <w:rPr>
          <w:rFonts w:cs="Times New Roman"/>
          <w:b/>
          <w:szCs w:val="24"/>
        </w:rPr>
      </w:pPr>
    </w:p>
    <w:p w14:paraId="3591407A" w14:textId="6D987473" w:rsidR="00FD1DD5" w:rsidRPr="000A40E6" w:rsidRDefault="00FD1DD5" w:rsidP="00F756C3">
      <w:pPr>
        <w:suppressAutoHyphens/>
        <w:spacing w:after="120"/>
        <w:rPr>
          <w:rFonts w:cs="Times New Roman"/>
          <w:strike/>
          <w:szCs w:val="24"/>
        </w:rPr>
      </w:pPr>
      <w:r w:rsidRPr="000A40E6">
        <w:rPr>
          <w:rFonts w:cs="Times New Roman"/>
          <w:szCs w:val="24"/>
        </w:rPr>
        <w:t>RME tedavisi sonrası ark çevresinde klinik olarak anlamlı bir artış bildirilmiştir. Bu durum, ark derinliğindeki azalma ile ilişkilidir (Davidovitch ve diğerleri, 2005; McNamara Jr ve diğerleri, 2003). RME'nin transversal yöndeki dental değişiklikleri, iskeletsel düzeyde tespit edilenlerin tersidir; en fazla ekspansiyona posterior dişler uğrar ve bu da palatinal kemiğin posteriorda diğer kraniyofasiyal yapılarla eklem yapmasıyla açıklanır (Davidovitch ve diğerleri, 200</w:t>
      </w:r>
      <w:r w:rsidR="00D078F6" w:rsidRPr="000A40E6">
        <w:rPr>
          <w:rFonts w:cs="Times New Roman"/>
          <w:szCs w:val="24"/>
        </w:rPr>
        <w:t>5; Lagravère ve diğerleri, 2006</w:t>
      </w:r>
      <w:r w:rsidRPr="000A40E6">
        <w:rPr>
          <w:rFonts w:cs="Times New Roman"/>
          <w:szCs w:val="24"/>
        </w:rPr>
        <w:t>; Lamparski Jr ve diğerleri, 2003).</w:t>
      </w:r>
    </w:p>
    <w:p w14:paraId="20636BC1" w14:textId="0CB861DB" w:rsidR="00FD1DD5" w:rsidRPr="000A40E6" w:rsidRDefault="00FD1DD5" w:rsidP="00F756C3">
      <w:pPr>
        <w:suppressAutoHyphens/>
        <w:spacing w:after="120"/>
        <w:rPr>
          <w:rFonts w:cs="Times New Roman"/>
          <w:szCs w:val="24"/>
        </w:rPr>
      </w:pPr>
      <w:r w:rsidRPr="000A40E6">
        <w:rPr>
          <w:rFonts w:cs="Times New Roman"/>
          <w:szCs w:val="24"/>
        </w:rPr>
        <w:t>Handelman ve diğerleri</w:t>
      </w:r>
      <w:r w:rsidR="00CE6C1A" w:rsidRPr="000A40E6">
        <w:rPr>
          <w:rFonts w:cs="Times New Roman"/>
          <w:szCs w:val="24"/>
        </w:rPr>
        <w:t xml:space="preserve"> (2000)</w:t>
      </w:r>
      <w:r w:rsidRPr="000A40E6">
        <w:rPr>
          <w:rFonts w:cs="Times New Roman"/>
          <w:szCs w:val="24"/>
        </w:rPr>
        <w:t xml:space="preserve">, yetişkin bir hastada RME tedavisi sonrası yapılan retansiyondan 5 yıl sonra maksiller arktaki genişlemede </w:t>
      </w:r>
      <w:proofErr w:type="gramStart"/>
      <w:r w:rsidRPr="000A40E6">
        <w:rPr>
          <w:rFonts w:cs="Times New Roman"/>
          <w:szCs w:val="24"/>
        </w:rPr>
        <w:t>4.8</w:t>
      </w:r>
      <w:proofErr w:type="gramEnd"/>
      <w:r w:rsidRPr="000A40E6">
        <w:rPr>
          <w:rFonts w:cs="Times New Roman"/>
          <w:szCs w:val="24"/>
        </w:rPr>
        <w:t xml:space="preserve"> mm'lik net bir kazanç olduğunu belirtmişti</w:t>
      </w:r>
      <w:r w:rsidR="00CE6C1A" w:rsidRPr="000A40E6">
        <w:rPr>
          <w:rFonts w:cs="Times New Roman"/>
          <w:szCs w:val="24"/>
        </w:rPr>
        <w:t>r</w:t>
      </w:r>
      <w:r w:rsidRPr="000A40E6">
        <w:rPr>
          <w:rFonts w:cs="Times New Roman"/>
          <w:szCs w:val="24"/>
        </w:rPr>
        <w:t xml:space="preserve">. Benzer bulgular McNamara </w:t>
      </w:r>
      <w:r w:rsidR="00C91D82" w:rsidRPr="000A40E6">
        <w:rPr>
          <w:rFonts w:cs="Times New Roman"/>
          <w:szCs w:val="24"/>
        </w:rPr>
        <w:t xml:space="preserve">Jr </w:t>
      </w:r>
      <w:r w:rsidRPr="000A40E6">
        <w:rPr>
          <w:rFonts w:cs="Times New Roman"/>
          <w:szCs w:val="24"/>
        </w:rPr>
        <w:t>ve diğerleri</w:t>
      </w:r>
      <w:r w:rsidR="002E4780" w:rsidRPr="000A40E6">
        <w:rPr>
          <w:rFonts w:cs="Times New Roman"/>
          <w:szCs w:val="24"/>
        </w:rPr>
        <w:t xml:space="preserve"> </w:t>
      </w:r>
      <w:r w:rsidRPr="000A40E6">
        <w:rPr>
          <w:rFonts w:cs="Times New Roman"/>
          <w:szCs w:val="24"/>
        </w:rPr>
        <w:t>tarafından da bildirilmiştir</w:t>
      </w:r>
      <w:r w:rsidR="002E4780" w:rsidRPr="000A40E6">
        <w:rPr>
          <w:rFonts w:cs="Times New Roman"/>
          <w:szCs w:val="24"/>
        </w:rPr>
        <w:t xml:space="preserve"> (McNamara Jr ve diğerleri, 2003). </w:t>
      </w:r>
      <w:r w:rsidRPr="000A40E6">
        <w:rPr>
          <w:rFonts w:cs="Times New Roman"/>
          <w:szCs w:val="24"/>
        </w:rPr>
        <w:t>Kaninler arası genişlik ekspansiyon sırasında artmıştır ve retansiyon süresinden</w:t>
      </w:r>
      <w:r w:rsidR="005D0FE5" w:rsidRPr="000A40E6">
        <w:rPr>
          <w:rFonts w:cs="Times New Roman"/>
          <w:szCs w:val="24"/>
        </w:rPr>
        <w:t xml:space="preserve"> sonra </w:t>
      </w:r>
      <w:proofErr w:type="gramStart"/>
      <w:r w:rsidR="005D0FE5" w:rsidRPr="000A40E6">
        <w:rPr>
          <w:rFonts w:cs="Times New Roman"/>
          <w:szCs w:val="24"/>
        </w:rPr>
        <w:t>stabil</w:t>
      </w:r>
      <w:proofErr w:type="gramEnd"/>
      <w:r w:rsidR="005D0FE5" w:rsidRPr="000A40E6">
        <w:rPr>
          <w:rFonts w:cs="Times New Roman"/>
          <w:szCs w:val="24"/>
        </w:rPr>
        <w:t xml:space="preserve"> kalmıştır (Lagravère ve diğerleri, 2005a; Lagravè</w:t>
      </w:r>
      <w:r w:rsidRPr="000A40E6">
        <w:rPr>
          <w:rFonts w:cs="Times New Roman"/>
          <w:szCs w:val="24"/>
        </w:rPr>
        <w:t>re ve diğerleri, 2005b; Mutinelli ve diğerleri, 2008). Vertikal olarak, RME apareyinden gelen kuvvet, maksiller posterior dişlerin rotasyon merkezinin daha koronaline gelmesinden dolayı, artan cuspal interferanslar ve bunun sonucunda vertikal boyutta bir artış ile birlikte tipping ve ekstrüzyon şeklindedir (Chung ve Font, 2004).</w:t>
      </w:r>
    </w:p>
    <w:p w14:paraId="21298004" w14:textId="188ECEA0" w:rsidR="00FD1DD5" w:rsidRPr="000A40E6" w:rsidRDefault="00FD1DD5" w:rsidP="00F756C3">
      <w:pPr>
        <w:suppressAutoHyphens/>
        <w:spacing w:after="120"/>
        <w:rPr>
          <w:rFonts w:cs="Times New Roman"/>
          <w:szCs w:val="24"/>
        </w:rPr>
      </w:pPr>
      <w:r w:rsidRPr="000A40E6">
        <w:rPr>
          <w:rFonts w:cs="Times New Roman"/>
          <w:szCs w:val="24"/>
        </w:rPr>
        <w:t xml:space="preserve">RME’nin dental etkileri arasında, toplam vida genişlemesi miktarının yaklaşık yarısı değerinde santral kesici dişler arasında diastema oluşumu yer almaktadır. Ancak bu durum, süturda ayrılma miktarının bir göstergesi olarak kullanılmamalıdır. Bu diastema maksimum 4 mm'ye kadar ulaşabilir. RME apareyinin vida aktivasyonu sırasında santral kesici diş kökleri kronlardan daha fazla </w:t>
      </w:r>
      <w:r w:rsidR="006666D3" w:rsidRPr="000A40E6">
        <w:rPr>
          <w:rFonts w:cs="Times New Roman"/>
          <w:szCs w:val="24"/>
        </w:rPr>
        <w:t xml:space="preserve">distale doğru </w:t>
      </w:r>
      <w:r w:rsidRPr="000A40E6">
        <w:rPr>
          <w:rFonts w:cs="Times New Roman"/>
          <w:szCs w:val="24"/>
        </w:rPr>
        <w:t>uzaklaşır, ancak retansiyon aşamasında kökler mediale doğru hareket eder ve 4-6 ay içinde orijinal aksiyel inklinasyonlarına geri döner. Bu durum, santral kesici dişler arasında gerilen transseptal liflerin etkisiyle tekrar eski haline dönmesi sonucu oluşur (Wertz, 1970).</w:t>
      </w:r>
    </w:p>
    <w:p w14:paraId="5020D612" w14:textId="53180892" w:rsidR="00FD1DD5" w:rsidRPr="000A40E6" w:rsidRDefault="00482BEB" w:rsidP="00F756C3">
      <w:pPr>
        <w:suppressAutoHyphens/>
        <w:spacing w:after="120"/>
        <w:rPr>
          <w:rFonts w:cs="Times New Roman"/>
          <w:szCs w:val="24"/>
        </w:rPr>
      </w:pPr>
      <w:r w:rsidRPr="000A40E6">
        <w:rPr>
          <w:rFonts w:cs="Times New Roman"/>
          <w:szCs w:val="24"/>
        </w:rPr>
        <w:t>Ekspansiyon sonucunda alveola</w:t>
      </w:r>
      <w:r w:rsidR="00FD1DD5" w:rsidRPr="000A40E6">
        <w:rPr>
          <w:rFonts w:cs="Times New Roman"/>
          <w:szCs w:val="24"/>
        </w:rPr>
        <w:t>r eğilme ve periodontal ligamentin sıkışması nedeniyle, kesici dişlerden sonra en fazla maksiller posterior dişlerin inklinasyonunda belirgin bir değişim olabileceği bildirilmiştir (Davidovitch ve diğerleri, 2005; Kılıç ve diğerleri, 2008). RME ile posterior diş kronları bukkale devrilirler (da Silva Filho ve diğerleri, 1995). Hyrax apareyinin kullanımıyla posterior diş kronlarının bukkale devrilmeleri daha sık görülür (Davidovitch ve diğerleri, 2005; Kiliç ve Oktay, 2008).</w:t>
      </w:r>
    </w:p>
    <w:p w14:paraId="16C1485C" w14:textId="141FAD0A" w:rsidR="00FD1DD5" w:rsidRPr="000A40E6" w:rsidRDefault="00FD1DD5" w:rsidP="00F756C3">
      <w:pPr>
        <w:suppressAutoHyphens/>
        <w:spacing w:after="120"/>
        <w:rPr>
          <w:rFonts w:cs="Times New Roman"/>
          <w:szCs w:val="24"/>
        </w:rPr>
      </w:pPr>
      <w:r w:rsidRPr="000A40E6">
        <w:rPr>
          <w:rFonts w:cs="Times New Roman"/>
          <w:szCs w:val="24"/>
        </w:rPr>
        <w:t>Haas</w:t>
      </w:r>
      <w:r w:rsidR="006C3DBB" w:rsidRPr="000A40E6">
        <w:rPr>
          <w:rFonts w:cs="Times New Roman"/>
          <w:szCs w:val="24"/>
        </w:rPr>
        <w:t xml:space="preserve"> (1961)</w:t>
      </w:r>
      <w:r w:rsidRPr="000A40E6">
        <w:rPr>
          <w:rFonts w:cs="Times New Roman"/>
          <w:szCs w:val="24"/>
        </w:rPr>
        <w:t>, RME sırasında buksinatör kasın mandibular posterior dişler üzerindeki etkisinin zayıfladığını ve dilin kullanılan apareye bağlı olarak daha aşağıda konumlandığını bildirmiştir. Bunun sonucunda, mandibular dişler üzerinde ekspansiyon etkisi ile mandibular ark genişliğ</w:t>
      </w:r>
      <w:r w:rsidR="006C3DBB" w:rsidRPr="000A40E6">
        <w:rPr>
          <w:rFonts w:cs="Times New Roman"/>
          <w:szCs w:val="24"/>
        </w:rPr>
        <w:t>inde artış gözlenir</w:t>
      </w:r>
      <w:r w:rsidRPr="000A40E6">
        <w:rPr>
          <w:rFonts w:cs="Times New Roman"/>
          <w:szCs w:val="24"/>
        </w:rPr>
        <w:t>. Handelman ve diğerleri</w:t>
      </w:r>
      <w:r w:rsidR="006C3DBB" w:rsidRPr="000A40E6">
        <w:rPr>
          <w:rFonts w:cs="Times New Roman"/>
          <w:szCs w:val="24"/>
        </w:rPr>
        <w:t xml:space="preserve"> (2000)</w:t>
      </w:r>
      <w:r w:rsidRPr="000A40E6">
        <w:rPr>
          <w:rFonts w:cs="Times New Roman"/>
          <w:szCs w:val="24"/>
        </w:rPr>
        <w:t>, RME'den 5 yıl sonra yetişkin hastalarda mandibular intermolar genişliğinde 0,7 mm'lik net bir artış bulmuştu</w:t>
      </w:r>
      <w:r w:rsidR="006C3DBB" w:rsidRPr="000A40E6">
        <w:rPr>
          <w:rFonts w:cs="Times New Roman"/>
          <w:szCs w:val="24"/>
        </w:rPr>
        <w:t>r</w:t>
      </w:r>
      <w:r w:rsidRPr="000A40E6">
        <w:rPr>
          <w:rFonts w:cs="Times New Roman"/>
          <w:szCs w:val="24"/>
        </w:rPr>
        <w:t>.</w:t>
      </w:r>
    </w:p>
    <w:p w14:paraId="1001A068" w14:textId="77777777" w:rsidR="00FD1DD5" w:rsidRPr="000A40E6" w:rsidRDefault="00FD1DD5" w:rsidP="00F756C3">
      <w:pPr>
        <w:suppressAutoHyphens/>
        <w:spacing w:after="120"/>
        <w:rPr>
          <w:rFonts w:cs="Times New Roman"/>
          <w:szCs w:val="24"/>
        </w:rPr>
      </w:pPr>
    </w:p>
    <w:p w14:paraId="297364FD" w14:textId="77777777" w:rsidR="00FD1DD5" w:rsidRPr="000A40E6" w:rsidRDefault="00FD1DD5" w:rsidP="00F756C3">
      <w:pPr>
        <w:suppressAutoHyphens/>
        <w:spacing w:after="120"/>
        <w:ind w:firstLine="0"/>
        <w:rPr>
          <w:rFonts w:cs="Times New Roman"/>
          <w:b/>
          <w:szCs w:val="24"/>
        </w:rPr>
      </w:pPr>
      <w:bookmarkStart w:id="49" w:name="_Toc136443391"/>
      <w:r w:rsidRPr="000A40E6">
        <w:rPr>
          <w:rFonts w:cs="Times New Roman"/>
          <w:b/>
          <w:szCs w:val="24"/>
        </w:rPr>
        <w:t>2.3.3. Nazal Kavite Üzerindeki Etkiler</w:t>
      </w:r>
      <w:bookmarkEnd w:id="49"/>
    </w:p>
    <w:p w14:paraId="4AF60205" w14:textId="77777777" w:rsidR="00FD1DD5" w:rsidRPr="000A40E6" w:rsidRDefault="00FD1DD5" w:rsidP="00F756C3">
      <w:pPr>
        <w:suppressAutoHyphens/>
        <w:spacing w:after="120"/>
        <w:rPr>
          <w:rFonts w:cs="Times New Roman"/>
          <w:b/>
          <w:szCs w:val="24"/>
        </w:rPr>
      </w:pPr>
    </w:p>
    <w:p w14:paraId="5AB857ED" w14:textId="1E3E1B9F" w:rsidR="00FD1DD5" w:rsidRPr="000A40E6" w:rsidRDefault="00FD1DD5" w:rsidP="00F756C3">
      <w:pPr>
        <w:suppressAutoHyphens/>
        <w:spacing w:after="120"/>
        <w:rPr>
          <w:rFonts w:cs="Times New Roman"/>
          <w:szCs w:val="24"/>
        </w:rPr>
      </w:pPr>
      <w:r w:rsidRPr="000A40E6">
        <w:rPr>
          <w:rFonts w:cs="Times New Roman"/>
          <w:szCs w:val="24"/>
        </w:rPr>
        <w:t>RME’nin nazal etkileri, nazal hava yolu direncinin ölçülmesi, nazal fonksiyondaki (McDonald, 1995) veya nazal kavite boyutundaki artış yoluyla değerlendirilmiştir (Cross ve McDonald, 2000). Nazal genişlik ve geçirgenliğin artması nedeniyle RME sonrası nazal ve faringeal müköz membran hipertrofisinin azaldığı tespit edilmiştir (Haas, 1961).</w:t>
      </w:r>
    </w:p>
    <w:p w14:paraId="6D11FE54" w14:textId="77777777" w:rsidR="00FD1DD5" w:rsidRPr="000A40E6" w:rsidRDefault="00FD1DD5" w:rsidP="00F756C3">
      <w:pPr>
        <w:suppressAutoHyphens/>
        <w:spacing w:after="120"/>
        <w:rPr>
          <w:rFonts w:cs="Times New Roman"/>
          <w:szCs w:val="24"/>
        </w:rPr>
      </w:pPr>
    </w:p>
    <w:p w14:paraId="6656D78C" w14:textId="77777777" w:rsidR="00FD1DD5" w:rsidRPr="000A40E6" w:rsidRDefault="00FD1DD5" w:rsidP="00F756C3">
      <w:pPr>
        <w:suppressAutoHyphens/>
        <w:spacing w:after="120"/>
        <w:ind w:firstLine="0"/>
        <w:rPr>
          <w:rFonts w:cs="Times New Roman"/>
          <w:b/>
          <w:szCs w:val="24"/>
        </w:rPr>
      </w:pPr>
      <w:bookmarkStart w:id="50" w:name="_Toc136443392"/>
      <w:r w:rsidRPr="000A40E6">
        <w:rPr>
          <w:rFonts w:cs="Times New Roman"/>
          <w:b/>
          <w:szCs w:val="24"/>
        </w:rPr>
        <w:t>2.3.3.1. Nazal Kavite Boyutlarındaki Değişiklikler</w:t>
      </w:r>
      <w:bookmarkEnd w:id="50"/>
    </w:p>
    <w:p w14:paraId="2C97F997" w14:textId="77777777" w:rsidR="00FD1DD5" w:rsidRPr="000A40E6" w:rsidRDefault="00FD1DD5" w:rsidP="00F756C3">
      <w:pPr>
        <w:suppressAutoHyphens/>
        <w:spacing w:after="120"/>
        <w:rPr>
          <w:rFonts w:cs="Times New Roman"/>
          <w:b/>
          <w:szCs w:val="24"/>
        </w:rPr>
      </w:pPr>
    </w:p>
    <w:p w14:paraId="5D4EE6A0" w14:textId="4FB66513" w:rsidR="00FD1DD5" w:rsidRPr="000A40E6" w:rsidRDefault="00FD1DD5" w:rsidP="00F756C3">
      <w:pPr>
        <w:suppressAutoHyphens/>
        <w:spacing w:after="120"/>
        <w:rPr>
          <w:rFonts w:cs="Times New Roman"/>
          <w:szCs w:val="24"/>
        </w:rPr>
      </w:pPr>
      <w:r w:rsidRPr="000A40E6">
        <w:rPr>
          <w:rFonts w:cs="Times New Roman"/>
          <w:szCs w:val="24"/>
        </w:rPr>
        <w:t>RME’nin etkisi ile intranazal kapasitede meydana gelen artış; burun boşluğunun dış duvarının, inferior konka kemiklerinin ve burun duvarına bağlı olan konkaların laterale yer değiştirmesi sonucu oluşur. Ayrıca, lateral alveolar proçeslerin eğilmesi ve horizontal palatin proçesin aşağı hareketi nedeniyle, burun tabanı aşağı doğru yer değiştirerek burun boşl</w:t>
      </w:r>
      <w:r w:rsidR="009E69D6" w:rsidRPr="000A40E6">
        <w:rPr>
          <w:rFonts w:cs="Times New Roman"/>
          <w:szCs w:val="24"/>
        </w:rPr>
        <w:t xml:space="preserve">uğu boyutunda artışa neden olur. </w:t>
      </w:r>
      <w:r w:rsidRPr="000A40E6">
        <w:rPr>
          <w:rFonts w:cs="Times New Roman"/>
          <w:szCs w:val="24"/>
        </w:rPr>
        <w:t>Aynı zamanda, RME vomer kemiğe komşu olan nazal kemiğin medial kenarının laterale ve aşağıya doğru hareket etmesine neden olduğundan, nazal kavitede vertikal boyut artar ve nazal septum düzleşir (Gray, 1975).</w:t>
      </w:r>
    </w:p>
    <w:p w14:paraId="36F280FC" w14:textId="23505A3A" w:rsidR="00FD1DD5" w:rsidRPr="000A40E6" w:rsidRDefault="00FD1DD5" w:rsidP="00F756C3">
      <w:pPr>
        <w:suppressAutoHyphens/>
        <w:spacing w:after="120"/>
        <w:rPr>
          <w:rFonts w:cs="Times New Roman"/>
          <w:szCs w:val="24"/>
        </w:rPr>
      </w:pPr>
      <w:r w:rsidRPr="000A40E6">
        <w:rPr>
          <w:rFonts w:cs="Times New Roman"/>
          <w:szCs w:val="24"/>
        </w:rPr>
        <w:t>Nazal kavitedeki genişlemenin nazal kavitenin alt kısmı ile sınırlı olduğu ve nazal kavite yüksekliğinde anlamlı bir artış görüldüğü bildirilmiştir (Cross ve McDonald, 2000). Bu durum, ekspansiyon sırasında maksillanın öne doğru rotasyonu ve bunun sonucunda nazal tabanın alçalması ile ilişkilidir (da Silva Filho ve diğerleri, 1995).</w:t>
      </w:r>
    </w:p>
    <w:p w14:paraId="104B1CDD" w14:textId="55699AF0" w:rsidR="00FD1DD5" w:rsidRPr="000A40E6" w:rsidRDefault="00FD1DD5" w:rsidP="00F756C3">
      <w:pPr>
        <w:suppressAutoHyphens/>
        <w:spacing w:after="120"/>
        <w:rPr>
          <w:rFonts w:cs="Times New Roman"/>
          <w:b/>
          <w:szCs w:val="24"/>
        </w:rPr>
      </w:pPr>
      <w:r w:rsidRPr="000A40E6">
        <w:rPr>
          <w:rFonts w:cs="Times New Roman"/>
          <w:szCs w:val="24"/>
        </w:rPr>
        <w:t xml:space="preserve">Genel olarak, RME'nin nazal etkileri yaşla ilişkilidir ve gençlerde yetişkin hastalara göre nazal kavite genişliğinde daha büyük bir artış görülür (Cross ve McDonald, 2000; da Silva Filho ve diğerleri, 1995). Ancak </w:t>
      </w:r>
      <w:proofErr w:type="gramStart"/>
      <w:r w:rsidRPr="000A40E6">
        <w:rPr>
          <w:rFonts w:cs="Times New Roman"/>
          <w:szCs w:val="24"/>
        </w:rPr>
        <w:t>Sari</w:t>
      </w:r>
      <w:proofErr w:type="gramEnd"/>
      <w:r w:rsidRPr="000A40E6">
        <w:rPr>
          <w:rFonts w:cs="Times New Roman"/>
          <w:szCs w:val="24"/>
        </w:rPr>
        <w:t xml:space="preserve"> ve diğerleri tarafından yapılan bir çalışmada, karışık ve daimi dişlenme grupları karşılaştırıldığında nazal kavitenin genişleme miktarında istatistiksel olarak anlamlı bir fark olmadığı bildirilmiştir (Sari ve diğerleri, 2003).</w:t>
      </w:r>
    </w:p>
    <w:p w14:paraId="2C9F118B" w14:textId="77777777" w:rsidR="00FD1DD5" w:rsidRPr="000A40E6" w:rsidRDefault="00FD1DD5" w:rsidP="00F756C3">
      <w:pPr>
        <w:suppressAutoHyphens/>
        <w:spacing w:after="120"/>
        <w:rPr>
          <w:rFonts w:cs="Times New Roman"/>
          <w:b/>
          <w:szCs w:val="24"/>
        </w:rPr>
      </w:pPr>
    </w:p>
    <w:p w14:paraId="6D70D15E" w14:textId="77777777" w:rsidR="00FD1DD5" w:rsidRPr="000A40E6" w:rsidRDefault="00FD1DD5" w:rsidP="00F756C3">
      <w:pPr>
        <w:suppressAutoHyphens/>
        <w:spacing w:after="120"/>
        <w:ind w:firstLine="0"/>
        <w:rPr>
          <w:rFonts w:cs="Times New Roman"/>
          <w:b/>
          <w:szCs w:val="24"/>
        </w:rPr>
      </w:pPr>
      <w:bookmarkStart w:id="51" w:name="_Toc136443393"/>
      <w:r w:rsidRPr="000A40E6">
        <w:rPr>
          <w:rFonts w:cs="Times New Roman"/>
          <w:b/>
          <w:szCs w:val="24"/>
        </w:rPr>
        <w:t>2.3.3.2. Nazal Kavite Fonksiyonunda Değişiklikler</w:t>
      </w:r>
      <w:bookmarkEnd w:id="51"/>
    </w:p>
    <w:p w14:paraId="1C1CF51E" w14:textId="77777777" w:rsidR="00FD1DD5" w:rsidRPr="000A40E6" w:rsidRDefault="00FD1DD5" w:rsidP="00F756C3">
      <w:pPr>
        <w:suppressAutoHyphens/>
        <w:spacing w:after="120"/>
        <w:rPr>
          <w:rFonts w:cs="Times New Roman"/>
          <w:b/>
          <w:szCs w:val="24"/>
        </w:rPr>
      </w:pPr>
    </w:p>
    <w:p w14:paraId="1DF43E04" w14:textId="2A0C56F4" w:rsidR="00FD1DD5" w:rsidRPr="000A40E6" w:rsidRDefault="00FD1DD5" w:rsidP="00F756C3">
      <w:pPr>
        <w:suppressAutoHyphens/>
        <w:spacing w:after="120"/>
        <w:rPr>
          <w:rFonts w:cs="Times New Roman"/>
          <w:szCs w:val="24"/>
        </w:rPr>
      </w:pPr>
      <w:r w:rsidRPr="000A40E6">
        <w:rPr>
          <w:rFonts w:cs="Times New Roman"/>
          <w:szCs w:val="24"/>
        </w:rPr>
        <w:t>RME sonrası nazal hava yolu direncindeki azalmanın bir sebebi, lateral nazal duvarın genişlemesi ve nazal kavitenin genişlemesi sonucu nazal valf boyutundaki artıştır (Gordon ve diğerleri, 2009). Doruk ve diğerleri</w:t>
      </w:r>
      <w:r w:rsidR="002F64D2" w:rsidRPr="000A40E6">
        <w:rPr>
          <w:rFonts w:cs="Times New Roman"/>
          <w:szCs w:val="24"/>
        </w:rPr>
        <w:t xml:space="preserve"> (2007)</w:t>
      </w:r>
      <w:r w:rsidRPr="000A40E6">
        <w:rPr>
          <w:rFonts w:cs="Times New Roman"/>
          <w:szCs w:val="24"/>
        </w:rPr>
        <w:t>, lateral sefalometrik ve PA radyografilerin nazal fonksiyon ve açıklığın ölçümünde çok az kullanıldığını öne sürm</w:t>
      </w:r>
      <w:r w:rsidR="002F64D2" w:rsidRPr="000A40E6">
        <w:rPr>
          <w:rFonts w:cs="Times New Roman"/>
          <w:szCs w:val="24"/>
        </w:rPr>
        <w:t>üştür</w:t>
      </w:r>
      <w:r w:rsidRPr="000A40E6">
        <w:rPr>
          <w:rFonts w:cs="Times New Roman"/>
          <w:szCs w:val="24"/>
        </w:rPr>
        <w:t>. Bu radyografik görüntülemelerin kullanımının, görüntülenen yapının magnifikasyonuna neden olduğu bildirilmiştir (Adams ve diğerleri, 2004).</w:t>
      </w:r>
    </w:p>
    <w:p w14:paraId="3DFBE92F" w14:textId="77777777" w:rsidR="002C0F0D" w:rsidRPr="000A40E6" w:rsidRDefault="002C0F0D" w:rsidP="00F756C3">
      <w:pPr>
        <w:suppressAutoHyphens/>
        <w:spacing w:after="120"/>
        <w:rPr>
          <w:rFonts w:cs="Times New Roman"/>
          <w:szCs w:val="24"/>
        </w:rPr>
      </w:pPr>
    </w:p>
    <w:p w14:paraId="042D7FBA" w14:textId="77777777" w:rsidR="00FD1DD5" w:rsidRPr="000A40E6" w:rsidRDefault="00FD1DD5" w:rsidP="00F756C3">
      <w:pPr>
        <w:suppressAutoHyphens/>
        <w:spacing w:after="120"/>
        <w:ind w:firstLine="0"/>
        <w:rPr>
          <w:rFonts w:cs="Times New Roman"/>
          <w:b/>
          <w:szCs w:val="24"/>
        </w:rPr>
      </w:pPr>
      <w:bookmarkStart w:id="52" w:name="_Toc136443394"/>
      <w:r w:rsidRPr="000A40E6">
        <w:rPr>
          <w:rFonts w:cs="Times New Roman"/>
          <w:b/>
          <w:szCs w:val="24"/>
        </w:rPr>
        <w:t>2.3.4. Periodontal Etkiler</w:t>
      </w:r>
      <w:bookmarkEnd w:id="52"/>
    </w:p>
    <w:p w14:paraId="6089B944" w14:textId="77777777" w:rsidR="00FD1DD5" w:rsidRPr="000A40E6" w:rsidRDefault="00FD1DD5" w:rsidP="00F756C3">
      <w:pPr>
        <w:suppressAutoHyphens/>
        <w:spacing w:after="120"/>
        <w:rPr>
          <w:rFonts w:cs="Times New Roman"/>
          <w:b/>
          <w:szCs w:val="24"/>
        </w:rPr>
      </w:pPr>
    </w:p>
    <w:p w14:paraId="1E955679" w14:textId="3670A2C9" w:rsidR="00FD1DD5" w:rsidRPr="000A40E6" w:rsidRDefault="00FD1DD5" w:rsidP="00F756C3">
      <w:pPr>
        <w:suppressAutoHyphens/>
        <w:spacing w:after="120"/>
        <w:rPr>
          <w:rFonts w:cs="Times New Roman"/>
          <w:szCs w:val="24"/>
        </w:rPr>
      </w:pPr>
      <w:r w:rsidRPr="000A40E6">
        <w:rPr>
          <w:rFonts w:cs="Times New Roman"/>
          <w:szCs w:val="24"/>
        </w:rPr>
        <w:t xml:space="preserve">Ekspansiyon apareyi tarafından iletilen kuvvet, apareye </w:t>
      </w:r>
      <w:proofErr w:type="gramStart"/>
      <w:r w:rsidRPr="000A40E6">
        <w:rPr>
          <w:rFonts w:cs="Times New Roman"/>
          <w:szCs w:val="24"/>
        </w:rPr>
        <w:t>dahil</w:t>
      </w:r>
      <w:proofErr w:type="gramEnd"/>
      <w:r w:rsidRPr="000A40E6">
        <w:rPr>
          <w:rFonts w:cs="Times New Roman"/>
          <w:szCs w:val="24"/>
        </w:rPr>
        <w:t xml:space="preserve"> edilen dişlerin periodontal ligamentinde basınç alanları oluşturur ve meydana gelen alveolar kemik rezorpsiyonu dişin aynı yönde hareket etmesine yol açar (Starnbach</w:t>
      </w:r>
      <w:r w:rsidRPr="000A40E6">
        <w:rPr>
          <w:rFonts w:cs="Times New Roman"/>
          <w:szCs w:val="24"/>
          <w:vertAlign w:val="superscript"/>
        </w:rPr>
        <w:t xml:space="preserve"> </w:t>
      </w:r>
      <w:r w:rsidRPr="000A40E6">
        <w:rPr>
          <w:rFonts w:cs="Times New Roman"/>
          <w:szCs w:val="24"/>
        </w:rPr>
        <w:t>ve diğerleri, 1966). Kuvveti dentoalveolar bölgede yoğunlaştıran diş destekli ekspansiyon apareyleri, daha kolay temizlenebilir ve diş eti sağlığının korunması açısından faydalıdır. Ancak, kuvveti ankraj dişleri ile palatal yüzey arasında dağıtan diş ve doku destekli ekspansiyon apareylerine göre daha fazla kök rezorpsiyonuna neden olur (Odenrick</w:t>
      </w:r>
      <w:r w:rsidRPr="000A40E6">
        <w:rPr>
          <w:rFonts w:cs="Times New Roman"/>
          <w:szCs w:val="24"/>
          <w:vertAlign w:val="superscript"/>
        </w:rPr>
        <w:t xml:space="preserve"> </w:t>
      </w:r>
      <w:r w:rsidRPr="000A40E6">
        <w:rPr>
          <w:rFonts w:cs="Times New Roman"/>
          <w:szCs w:val="24"/>
        </w:rPr>
        <w:t>ve diğerleri, 1991). Her iki tip ekspansiyon apareyinin bukkal kemik üzerindeki rezorpsiyon etkisi oldukça önemlidir (Garib ve diğerleri, 2006).</w:t>
      </w:r>
    </w:p>
    <w:p w14:paraId="62232198" w14:textId="1A21D230" w:rsidR="00FD1DD5" w:rsidRPr="000A40E6" w:rsidRDefault="00FD1DD5" w:rsidP="00F756C3">
      <w:pPr>
        <w:suppressAutoHyphens/>
        <w:spacing w:after="120"/>
        <w:rPr>
          <w:rFonts w:cs="Times New Roman"/>
          <w:szCs w:val="24"/>
        </w:rPr>
      </w:pPr>
      <w:r w:rsidRPr="000A40E6">
        <w:rPr>
          <w:rFonts w:cs="Times New Roman"/>
          <w:szCs w:val="24"/>
        </w:rPr>
        <w:t>RME’nin periodontal etkisi sonucu (Rosa ve Cozzani, 1995), maksiller 1. molarların DOS’undaki interlökin-1β (IL-1β) ve β-glukoronidaz (βG) gibi inflamatuar mediyatörlerin seviyelerinde de değişiklikler görülmektedir (Tzannetou ve diğerleri, 2008). İnsanlarda RME apareyinin kullanımı (</w:t>
      </w:r>
      <w:r w:rsidR="006F076C" w:rsidRPr="000A40E6">
        <w:rPr>
          <w:rFonts w:cs="Times New Roman"/>
          <w:szCs w:val="24"/>
        </w:rPr>
        <w:t xml:space="preserve">Greenbaum ve Zachrisson, 1982; </w:t>
      </w:r>
      <w:r w:rsidRPr="000A40E6">
        <w:rPr>
          <w:rFonts w:cs="Times New Roman"/>
          <w:szCs w:val="24"/>
        </w:rPr>
        <w:t>Starnbach</w:t>
      </w:r>
      <w:r w:rsidRPr="000A40E6">
        <w:rPr>
          <w:rFonts w:cs="Times New Roman"/>
          <w:szCs w:val="24"/>
          <w:vertAlign w:val="superscript"/>
        </w:rPr>
        <w:t xml:space="preserve"> </w:t>
      </w:r>
      <w:r w:rsidRPr="000A40E6">
        <w:rPr>
          <w:rFonts w:cs="Times New Roman"/>
          <w:szCs w:val="24"/>
        </w:rPr>
        <w:t>ve diğerleri, 1966; Vardimon</w:t>
      </w:r>
      <w:r w:rsidRPr="000A40E6">
        <w:rPr>
          <w:rFonts w:cs="Times New Roman"/>
          <w:b/>
          <w:szCs w:val="24"/>
        </w:rPr>
        <w:t xml:space="preserve"> </w:t>
      </w:r>
      <w:r w:rsidRPr="000A40E6">
        <w:rPr>
          <w:rFonts w:cs="Times New Roman"/>
          <w:szCs w:val="24"/>
        </w:rPr>
        <w:t>ve diğerleri, 1991) sonrası, periodontal durum hakkında bilgi veren çok az sayıda radyograf çalışması bulunmaktadır (Greenbaum ve Zachrisson, 1982). Bunun nedeni olarak, ortodontik kayıtları oluşturan geleneksel radyografilerin iki boyutlu olması, bukkal ve lingual kemik kalınlığı ve seviyesini göstermemesidir (Fuhrmann ve diğerleri, 1995; Wehrbein ve diğerleri, 1995)</w:t>
      </w:r>
      <w:r w:rsidRPr="000A40E6">
        <w:rPr>
          <w:rFonts w:cs="Times New Roman"/>
          <w:szCs w:val="24"/>
          <w:vertAlign w:val="superscript"/>
        </w:rPr>
        <w:t xml:space="preserve"> </w:t>
      </w:r>
      <w:r w:rsidRPr="000A40E6">
        <w:rPr>
          <w:rFonts w:cs="Times New Roman"/>
          <w:szCs w:val="24"/>
        </w:rPr>
        <w:t>.</w:t>
      </w:r>
    </w:p>
    <w:p w14:paraId="78CCA28D" w14:textId="1E8934C3" w:rsidR="00FD1DD5" w:rsidRPr="000A40E6" w:rsidRDefault="00FD1DD5" w:rsidP="00F756C3">
      <w:pPr>
        <w:suppressAutoHyphens/>
        <w:spacing w:after="120"/>
        <w:rPr>
          <w:rFonts w:cs="Times New Roman"/>
          <w:szCs w:val="24"/>
        </w:rPr>
      </w:pPr>
      <w:r w:rsidRPr="000A40E6">
        <w:rPr>
          <w:rFonts w:cs="Times New Roman"/>
          <w:szCs w:val="24"/>
        </w:rPr>
        <w:t>RME apareyinin periodontal etkilerinin değerlendirilmesi, faydalı bir tanı aracı olan BT’nin kullanımına yol açmıştır (Parks, 2000). BT'de bukkal ve lingual kemik kalınlığının ve seviyesinin izlenmesi, bu alanın nicel olarak değerlendirilmesine olanak sağlar (Garib ve diğerleri, 2006).</w:t>
      </w:r>
    </w:p>
    <w:p w14:paraId="5D84EF5C" w14:textId="77777777" w:rsidR="00FD1DD5" w:rsidRPr="000A40E6" w:rsidRDefault="00FD1DD5" w:rsidP="00F756C3">
      <w:pPr>
        <w:suppressAutoHyphens/>
        <w:spacing w:after="120"/>
        <w:rPr>
          <w:rFonts w:cs="Times New Roman"/>
          <w:szCs w:val="24"/>
        </w:rPr>
      </w:pPr>
    </w:p>
    <w:p w14:paraId="4FDF8B3D" w14:textId="77777777" w:rsidR="00FD1DD5" w:rsidRPr="000A40E6" w:rsidRDefault="00FD1DD5" w:rsidP="00F756C3">
      <w:pPr>
        <w:suppressAutoHyphens/>
        <w:spacing w:after="120"/>
        <w:ind w:firstLine="0"/>
        <w:rPr>
          <w:rFonts w:cs="Times New Roman"/>
          <w:b/>
          <w:szCs w:val="24"/>
        </w:rPr>
      </w:pPr>
      <w:bookmarkStart w:id="53" w:name="_Toc136443395"/>
      <w:r w:rsidRPr="000A40E6">
        <w:rPr>
          <w:rFonts w:cs="Times New Roman"/>
          <w:b/>
          <w:szCs w:val="24"/>
        </w:rPr>
        <w:t>2.4. Diş Eti Oluğu Sıvısı (DOS)</w:t>
      </w:r>
      <w:bookmarkEnd w:id="53"/>
    </w:p>
    <w:p w14:paraId="4DED95CD" w14:textId="77777777" w:rsidR="00FD1DD5" w:rsidRPr="000A40E6" w:rsidRDefault="00FD1DD5" w:rsidP="00F756C3">
      <w:pPr>
        <w:suppressAutoHyphens/>
        <w:spacing w:after="120"/>
        <w:rPr>
          <w:rFonts w:cs="Times New Roman"/>
          <w:b/>
          <w:szCs w:val="24"/>
        </w:rPr>
      </w:pPr>
    </w:p>
    <w:p w14:paraId="2E98AFDE" w14:textId="10B9CE98" w:rsidR="00FD1DD5" w:rsidRPr="000A40E6" w:rsidRDefault="00FD1DD5" w:rsidP="00F756C3">
      <w:pPr>
        <w:suppressAutoHyphens/>
        <w:spacing w:after="120"/>
        <w:rPr>
          <w:rFonts w:cs="Times New Roman"/>
          <w:szCs w:val="24"/>
        </w:rPr>
      </w:pPr>
      <w:r w:rsidRPr="000A40E6">
        <w:rPr>
          <w:rFonts w:cs="Times New Roman"/>
          <w:szCs w:val="24"/>
        </w:rPr>
        <w:t xml:space="preserve">DOS analizi hem periodontoloji hem de ortodonti için çok faydalı bir tanı aracıdır (Kapoor ve diğerleri, 2014; Kellesarian ve diğerleri, 2017). İnflamasyonun ve subgingival plağın yokluğunda, DOS üretimi, hücre dışı sıvının ozmotik bir gradyan sayesinde pasif difüzyonu ile sağlanmaktadır. Bu durumda, DOS bir transüda olarak kabul edilir. Mikrobiyal kökenli bileşikler tarafından inflamatuar bir yanıt tetiklendiğinde, epitel bariyerinin ve alttaki damar sisteminin geçirgenliği artar ve DOS protein </w:t>
      </w:r>
      <w:proofErr w:type="gramStart"/>
      <w:r w:rsidRPr="000A40E6">
        <w:rPr>
          <w:rFonts w:cs="Times New Roman"/>
          <w:szCs w:val="24"/>
        </w:rPr>
        <w:t>konsantrasyonu</w:t>
      </w:r>
      <w:proofErr w:type="gramEnd"/>
      <w:r w:rsidRPr="000A40E6">
        <w:rPr>
          <w:rFonts w:cs="Times New Roman"/>
          <w:szCs w:val="24"/>
        </w:rPr>
        <w:t>, plazma protein eksüdasyonunun kapsamı ile modüle edilir. Sonrasında, DOS, inflamatuar bir eksüda</w:t>
      </w:r>
      <w:r w:rsidR="004F4185" w:rsidRPr="000A40E6">
        <w:rPr>
          <w:rFonts w:cs="Times New Roman"/>
          <w:szCs w:val="24"/>
        </w:rPr>
        <w:t xml:space="preserve"> olarak kabul edilir (Alhadlaq ve Patil, </w:t>
      </w:r>
      <w:r w:rsidRPr="000A40E6">
        <w:rPr>
          <w:rFonts w:cs="Times New Roman"/>
          <w:szCs w:val="24"/>
        </w:rPr>
        <w:t>2015; Delima ve Van Dyke, 2003). Ortodontik tedavi sırasında, DOS’un</w:t>
      </w:r>
      <w:r w:rsidR="00B10259" w:rsidRPr="000A40E6">
        <w:rPr>
          <w:rFonts w:cs="Times New Roman"/>
          <w:szCs w:val="24"/>
        </w:rPr>
        <w:t xml:space="preserve"> akış hızındaki artış, diş eti i</w:t>
      </w:r>
      <w:r w:rsidRPr="000A40E6">
        <w:rPr>
          <w:rFonts w:cs="Times New Roman"/>
          <w:szCs w:val="24"/>
        </w:rPr>
        <w:t>nflamasyonunun derecesi ile ilişkilidir. Ortodontik diş hareketi sırasında DOS’un bileşimini ölçmek için çeşitli araştırmalar yapılmıştır (Atug Ozcan ve diğerleri, 2014; Perinetti ve diğerleri, 2015; Takahashi ve diğerleri, 2006).</w:t>
      </w:r>
    </w:p>
    <w:p w14:paraId="329F9BAF" w14:textId="43376812" w:rsidR="00FD1DD5" w:rsidRPr="000A40E6" w:rsidRDefault="00583578" w:rsidP="00F756C3">
      <w:pPr>
        <w:suppressAutoHyphens/>
        <w:spacing w:after="120"/>
        <w:rPr>
          <w:rFonts w:cs="Times New Roman"/>
          <w:szCs w:val="24"/>
        </w:rPr>
      </w:pPr>
      <w:r w:rsidRPr="000A40E6">
        <w:rPr>
          <w:rFonts w:cs="Times New Roman"/>
          <w:szCs w:val="24"/>
        </w:rPr>
        <w:t xml:space="preserve">Griffiths ve diğerleri </w:t>
      </w:r>
      <w:r w:rsidR="00031F18" w:rsidRPr="000A40E6">
        <w:rPr>
          <w:rFonts w:cs="Times New Roman"/>
          <w:szCs w:val="24"/>
        </w:rPr>
        <w:t>(1992)</w:t>
      </w:r>
      <w:r w:rsidRPr="000A40E6">
        <w:rPr>
          <w:rFonts w:cs="Times New Roman"/>
          <w:szCs w:val="24"/>
        </w:rPr>
        <w:t>’nin</w:t>
      </w:r>
      <w:r w:rsidR="00FD1DD5" w:rsidRPr="000A40E6">
        <w:rPr>
          <w:rFonts w:cs="Times New Roman"/>
          <w:szCs w:val="24"/>
        </w:rPr>
        <w:t xml:space="preserve"> yaptığı çalışmada elde edilen bulgular, DOS hacminin, rutin klinik değerlendirmelerden daha iyi bir diş eti inflamasyon belirteci olabileceğini göstermiştir</w:t>
      </w:r>
      <w:r w:rsidR="00031F18" w:rsidRPr="000A40E6">
        <w:rPr>
          <w:rFonts w:cs="Times New Roman"/>
          <w:szCs w:val="24"/>
        </w:rPr>
        <w:t xml:space="preserve">. </w:t>
      </w:r>
      <w:r w:rsidR="00FD1DD5" w:rsidRPr="000A40E6">
        <w:rPr>
          <w:rFonts w:cs="Times New Roman"/>
          <w:szCs w:val="24"/>
        </w:rPr>
        <w:t>Ortodontik diş hareketine bağlı doku remodelinginin inflamatuar bir süreç tarafından tetiklendiği düşünüldüğünde (Krishnan ve Davidovitch, 2006), DOS üretim hacminin bu doku değişikliklerini yansıtacağı</w:t>
      </w:r>
      <w:r w:rsidR="00327758" w:rsidRPr="000A40E6">
        <w:rPr>
          <w:rFonts w:cs="Times New Roman"/>
          <w:szCs w:val="24"/>
        </w:rPr>
        <w:t xml:space="preserve"> bildirilmiştir (Griffiths, 2003</w:t>
      </w:r>
      <w:r w:rsidR="00FD1DD5" w:rsidRPr="000A40E6">
        <w:rPr>
          <w:rFonts w:cs="Times New Roman"/>
          <w:szCs w:val="24"/>
        </w:rPr>
        <w:t>). DOS hacmi Periotron cihazı kullanılarak herhangi bir klinik ortamda kolayca belirlenebilir (Chapple ve diğerleri, 1999</w:t>
      </w:r>
      <w:r w:rsidR="003D374C" w:rsidRPr="000A40E6">
        <w:rPr>
          <w:rFonts w:cs="Times New Roman"/>
          <w:szCs w:val="24"/>
        </w:rPr>
        <w:t>a</w:t>
      </w:r>
      <w:r w:rsidR="00FD1DD5" w:rsidRPr="000A40E6">
        <w:rPr>
          <w:rFonts w:cs="Times New Roman"/>
          <w:szCs w:val="24"/>
        </w:rPr>
        <w:t>).</w:t>
      </w:r>
    </w:p>
    <w:p w14:paraId="5268B072" w14:textId="77777777" w:rsidR="009E03C0" w:rsidRPr="000A40E6" w:rsidRDefault="009E03C0" w:rsidP="00F756C3">
      <w:pPr>
        <w:suppressAutoHyphens/>
        <w:spacing w:after="120"/>
        <w:rPr>
          <w:rFonts w:cs="Times New Roman"/>
          <w:b/>
          <w:szCs w:val="24"/>
        </w:rPr>
      </w:pPr>
    </w:p>
    <w:p w14:paraId="1545E3E7" w14:textId="77777777" w:rsidR="00FD1DD5" w:rsidRPr="000A40E6" w:rsidRDefault="00FD1DD5" w:rsidP="00F756C3">
      <w:pPr>
        <w:suppressAutoHyphens/>
        <w:spacing w:after="120"/>
        <w:ind w:firstLine="0"/>
        <w:rPr>
          <w:rFonts w:cs="Times New Roman"/>
          <w:b/>
          <w:szCs w:val="24"/>
        </w:rPr>
      </w:pPr>
      <w:bookmarkStart w:id="54" w:name="_Toc136443396"/>
      <w:r w:rsidRPr="000A40E6">
        <w:rPr>
          <w:rFonts w:cs="Times New Roman"/>
          <w:b/>
          <w:szCs w:val="24"/>
        </w:rPr>
        <w:t>2.4.1. Diş Eti Oluğu Sıvısı Toplama Yöntemleri</w:t>
      </w:r>
      <w:bookmarkEnd w:id="54"/>
    </w:p>
    <w:p w14:paraId="3544CA45" w14:textId="77777777" w:rsidR="00FD1DD5" w:rsidRPr="000A40E6" w:rsidRDefault="00FD1DD5" w:rsidP="00F756C3">
      <w:pPr>
        <w:suppressAutoHyphens/>
        <w:spacing w:after="120"/>
        <w:rPr>
          <w:rFonts w:cs="Times New Roman"/>
          <w:b/>
          <w:szCs w:val="24"/>
        </w:rPr>
      </w:pPr>
    </w:p>
    <w:p w14:paraId="2B107922" w14:textId="07756086" w:rsidR="00FD1DD5" w:rsidRPr="000A40E6" w:rsidRDefault="00FD1DD5" w:rsidP="00F756C3">
      <w:pPr>
        <w:suppressAutoHyphens/>
        <w:spacing w:after="120"/>
        <w:rPr>
          <w:rFonts w:cs="Times New Roman"/>
          <w:szCs w:val="24"/>
        </w:rPr>
      </w:pPr>
      <w:r w:rsidRPr="000A40E6">
        <w:rPr>
          <w:rFonts w:cs="Times New Roman"/>
          <w:szCs w:val="24"/>
        </w:rPr>
        <w:t>DOS toplamanın 3 ana yöntemi vardır:</w:t>
      </w:r>
    </w:p>
    <w:p w14:paraId="3203CC71" w14:textId="2711B63C" w:rsidR="00FD1DD5" w:rsidRPr="000A40E6" w:rsidRDefault="00FD1DD5" w:rsidP="00F756C3">
      <w:pPr>
        <w:suppressAutoHyphens/>
        <w:spacing w:after="120"/>
        <w:rPr>
          <w:rFonts w:cs="Times New Roman"/>
          <w:szCs w:val="24"/>
        </w:rPr>
      </w:pPr>
      <w:r w:rsidRPr="000A40E6">
        <w:rPr>
          <w:rFonts w:cs="Times New Roman"/>
          <w:szCs w:val="24"/>
        </w:rPr>
        <w:t>(a) DOS’un sabit hacimli izotonik bir solüsyonla perfüze edilmesini içeren ging</w:t>
      </w:r>
      <w:r w:rsidR="000E10B6" w:rsidRPr="000A40E6">
        <w:rPr>
          <w:rFonts w:cs="Times New Roman"/>
          <w:szCs w:val="24"/>
        </w:rPr>
        <w:t>ival yıkama tekniği; bu şekilde</w:t>
      </w:r>
      <w:r w:rsidRPr="000A40E6">
        <w:rPr>
          <w:rFonts w:cs="Times New Roman"/>
          <w:szCs w:val="24"/>
        </w:rPr>
        <w:t xml:space="preserve"> hücresel bileşenler ve plazma proteinlerini içeren seyreltilmiş bir DOS elde edilir.</w:t>
      </w:r>
    </w:p>
    <w:p w14:paraId="56C6E2A4" w14:textId="77777777" w:rsidR="00FD1DD5" w:rsidRPr="000A40E6" w:rsidRDefault="00FD1DD5" w:rsidP="00F756C3">
      <w:pPr>
        <w:suppressAutoHyphens/>
        <w:spacing w:after="120"/>
        <w:rPr>
          <w:rFonts w:cs="Times New Roman"/>
          <w:szCs w:val="24"/>
        </w:rPr>
      </w:pPr>
      <w:r w:rsidRPr="000A40E6">
        <w:rPr>
          <w:rFonts w:cs="Times New Roman"/>
          <w:szCs w:val="24"/>
        </w:rPr>
        <w:t>(b) Diş eti cebinin girişine belirli çapta kapiller tüplerin yerleştirilmesi; sıvı daha sonra kapiller hareketle tüpe göç eder.</w:t>
      </w:r>
    </w:p>
    <w:p w14:paraId="26F19462" w14:textId="753B4924" w:rsidR="0089200E" w:rsidRPr="000A40E6" w:rsidRDefault="00FD1DD5" w:rsidP="00F756C3">
      <w:pPr>
        <w:suppressAutoHyphens/>
        <w:spacing w:after="120"/>
        <w:rPr>
          <w:rFonts w:cs="Times New Roman"/>
          <w:szCs w:val="24"/>
        </w:rPr>
      </w:pPr>
      <w:r w:rsidRPr="000A40E6">
        <w:rPr>
          <w:rFonts w:cs="Times New Roman"/>
          <w:szCs w:val="24"/>
        </w:rPr>
        <w:t xml:space="preserve">(c) DOS toplamanın en yaygın yöntemi, emici </w:t>
      </w:r>
      <w:proofErr w:type="gramStart"/>
      <w:r w:rsidRPr="000A40E6">
        <w:rPr>
          <w:rFonts w:cs="Times New Roman"/>
          <w:szCs w:val="24"/>
        </w:rPr>
        <w:t>steril</w:t>
      </w:r>
      <w:proofErr w:type="gramEnd"/>
      <w:r w:rsidRPr="000A40E6">
        <w:rPr>
          <w:rFonts w:cs="Times New Roman"/>
          <w:szCs w:val="24"/>
        </w:rPr>
        <w:t xml:space="preserve"> kâğıt striplerin kullanılmasıdır. Kâğıt stripler diş eti cebine yerleştirilir ve DOS’un kâğıt tarafından adsorbe edilmesine izin vermek için 5 ile 60 saniye diş eti oluğu içerisinde bırakılır (Aguiar ve di</w:t>
      </w:r>
      <w:r w:rsidR="009E03C0" w:rsidRPr="000A40E6">
        <w:rPr>
          <w:rFonts w:cs="Times New Roman"/>
          <w:szCs w:val="24"/>
        </w:rPr>
        <w:t>ğerleri, 2017).</w:t>
      </w:r>
    </w:p>
    <w:p w14:paraId="1CD62F2C" w14:textId="7E71EC9A" w:rsidR="00FD1DD5" w:rsidRPr="000A40E6" w:rsidRDefault="00FD1DD5" w:rsidP="00F756C3">
      <w:pPr>
        <w:suppressAutoHyphens/>
        <w:spacing w:after="120"/>
        <w:rPr>
          <w:rFonts w:cs="Times New Roman"/>
          <w:szCs w:val="24"/>
        </w:rPr>
      </w:pPr>
    </w:p>
    <w:p w14:paraId="5FDC6DF8" w14:textId="77777777" w:rsidR="00FD1DD5" w:rsidRPr="000A40E6" w:rsidRDefault="00FD1DD5" w:rsidP="00F756C3">
      <w:pPr>
        <w:suppressAutoHyphens/>
        <w:spacing w:after="120"/>
        <w:ind w:firstLine="0"/>
        <w:rPr>
          <w:rFonts w:cs="Times New Roman"/>
          <w:b/>
          <w:szCs w:val="24"/>
        </w:rPr>
      </w:pPr>
      <w:bookmarkStart w:id="55" w:name="_Toc136443397"/>
      <w:r w:rsidRPr="000A40E6">
        <w:rPr>
          <w:rFonts w:cs="Times New Roman"/>
          <w:b/>
          <w:szCs w:val="24"/>
        </w:rPr>
        <w:t>2.4.1.1. Emici Kâğıt Stripler</w:t>
      </w:r>
      <w:bookmarkEnd w:id="55"/>
    </w:p>
    <w:p w14:paraId="2673ABC5" w14:textId="77777777" w:rsidR="00FD1DD5" w:rsidRPr="000A40E6" w:rsidRDefault="00FD1DD5" w:rsidP="00F756C3">
      <w:pPr>
        <w:suppressAutoHyphens/>
        <w:spacing w:after="120"/>
        <w:ind w:firstLine="0"/>
        <w:rPr>
          <w:rFonts w:cs="Times New Roman"/>
          <w:szCs w:val="24"/>
        </w:rPr>
      </w:pPr>
    </w:p>
    <w:p w14:paraId="3E9174E4" w14:textId="738EB9F7" w:rsidR="00FD1DD5" w:rsidRPr="000A40E6" w:rsidRDefault="000E10B6" w:rsidP="00F756C3">
      <w:pPr>
        <w:suppressAutoHyphens/>
        <w:spacing w:after="120"/>
        <w:rPr>
          <w:rFonts w:cs="Times New Roman"/>
          <w:szCs w:val="24"/>
        </w:rPr>
      </w:pPr>
      <w:r w:rsidRPr="000A40E6">
        <w:rPr>
          <w:rFonts w:cs="Times New Roman"/>
          <w:szCs w:val="24"/>
        </w:rPr>
        <w:t>Emici kâğıt stripler</w:t>
      </w:r>
      <w:r w:rsidR="00FD1DD5" w:rsidRPr="000A40E6">
        <w:rPr>
          <w:rFonts w:cs="Times New Roman"/>
          <w:szCs w:val="24"/>
        </w:rPr>
        <w:t xml:space="preserve"> hafif direnç tespit edilene kadar diş eti oluğuna (apikal yönde) veya sızan sıvıyı almak için diş eti cebinin girişine veya üzerine yerleştirerek DOS’u toplamak için </w:t>
      </w:r>
      <w:r w:rsidR="00272495" w:rsidRPr="000A40E6">
        <w:rPr>
          <w:rFonts w:cs="Times New Roman"/>
          <w:szCs w:val="24"/>
        </w:rPr>
        <w:t>kullanılır (</w:t>
      </w:r>
      <w:r w:rsidR="00272495" w:rsidRPr="000A40E6">
        <w:rPr>
          <w:rFonts w:cs="Times New Roman"/>
          <w:szCs w:val="24"/>
          <w:shd w:val="clear" w:color="auto" w:fill="FFFFFF"/>
        </w:rPr>
        <w:t>Subbarao ve diğerleri, 2019).</w:t>
      </w:r>
    </w:p>
    <w:p w14:paraId="6D3E1DE0" w14:textId="03E9C692" w:rsidR="00FD1DD5" w:rsidRPr="000A40E6" w:rsidRDefault="00FD1DD5" w:rsidP="00F756C3">
      <w:pPr>
        <w:suppressAutoHyphens/>
        <w:spacing w:after="120"/>
        <w:rPr>
          <w:rFonts w:cs="Times New Roman"/>
          <w:szCs w:val="24"/>
        </w:rPr>
      </w:pPr>
      <w:r w:rsidRPr="000A40E6">
        <w:rPr>
          <w:rFonts w:cs="Times New Roman"/>
          <w:szCs w:val="24"/>
        </w:rPr>
        <w:t xml:space="preserve">Striplerdeki sıvı </w:t>
      </w:r>
      <w:r w:rsidR="001C1A5E" w:rsidRPr="000A40E6">
        <w:rPr>
          <w:rFonts w:cs="Times New Roman"/>
          <w:szCs w:val="24"/>
        </w:rPr>
        <w:t>hacmi birkaç yolla ölçülebilir (</w:t>
      </w:r>
      <w:r w:rsidR="001C1A5E" w:rsidRPr="000A40E6">
        <w:rPr>
          <w:rFonts w:cs="Times New Roman"/>
          <w:szCs w:val="24"/>
          <w:shd w:val="clear" w:color="auto" w:fill="FFFFFF"/>
        </w:rPr>
        <w:t>Subbarao ve diğerleri, 2019).</w:t>
      </w:r>
    </w:p>
    <w:p w14:paraId="030D0C6B" w14:textId="2333F0AC" w:rsidR="00FD1DD5" w:rsidRPr="000A40E6" w:rsidRDefault="00E42778" w:rsidP="00F756C3">
      <w:pPr>
        <w:suppressAutoHyphens/>
        <w:spacing w:after="120"/>
        <w:rPr>
          <w:rFonts w:cs="Times New Roman"/>
          <w:szCs w:val="24"/>
        </w:rPr>
      </w:pPr>
      <w:r w:rsidRPr="000A40E6">
        <w:rPr>
          <w:rFonts w:cs="Times New Roman"/>
          <w:szCs w:val="24"/>
        </w:rPr>
        <w:t>1. Başlangıçta stripler</w:t>
      </w:r>
      <w:r w:rsidR="00FD1DD5" w:rsidRPr="000A40E6">
        <w:rPr>
          <w:rFonts w:cs="Times New Roman"/>
          <w:szCs w:val="24"/>
        </w:rPr>
        <w:t xml:space="preserve"> %</w:t>
      </w:r>
      <w:proofErr w:type="gramStart"/>
      <w:r w:rsidR="00FD1DD5" w:rsidRPr="000A40E6">
        <w:rPr>
          <w:rFonts w:cs="Times New Roman"/>
          <w:szCs w:val="24"/>
        </w:rPr>
        <w:t>0.2</w:t>
      </w:r>
      <w:proofErr w:type="gramEnd"/>
      <w:r w:rsidR="00FD1DD5" w:rsidRPr="000A40E6">
        <w:rPr>
          <w:rFonts w:cs="Times New Roman"/>
          <w:szCs w:val="24"/>
        </w:rPr>
        <w:t xml:space="preserve"> ile %2 arasında değişen konsantrasyonda ninhidrin gibi protein içeren bir boya ile boyanır. Lekeli alan, dereceli mikroskop gibi bir büyütme cihazı kullanılarak ölçülebilir.</w:t>
      </w:r>
    </w:p>
    <w:p w14:paraId="26A22A08" w14:textId="458139D5" w:rsidR="00FD1DD5" w:rsidRPr="000A40E6" w:rsidRDefault="00E42778" w:rsidP="00F756C3">
      <w:pPr>
        <w:suppressAutoHyphens/>
        <w:spacing w:after="120"/>
        <w:rPr>
          <w:rFonts w:cs="Times New Roman"/>
          <w:szCs w:val="24"/>
        </w:rPr>
      </w:pPr>
      <w:r w:rsidRPr="000A40E6">
        <w:rPr>
          <w:rFonts w:cs="Times New Roman"/>
          <w:szCs w:val="24"/>
        </w:rPr>
        <w:t>2. Stripler</w:t>
      </w:r>
      <w:r w:rsidR="00FD1DD5" w:rsidRPr="000A40E6">
        <w:rPr>
          <w:rFonts w:cs="Times New Roman"/>
          <w:szCs w:val="24"/>
        </w:rPr>
        <w:t xml:space="preserve"> ölçeklendirilmiş bir mikro </w:t>
      </w:r>
      <w:proofErr w:type="gramStart"/>
      <w:r w:rsidR="00FD1DD5" w:rsidRPr="000A40E6">
        <w:rPr>
          <w:rFonts w:cs="Times New Roman"/>
          <w:szCs w:val="24"/>
        </w:rPr>
        <w:t>santrifüj</w:t>
      </w:r>
      <w:proofErr w:type="gramEnd"/>
      <w:r w:rsidR="00FD1DD5" w:rsidRPr="000A40E6">
        <w:rPr>
          <w:rFonts w:cs="Times New Roman"/>
          <w:szCs w:val="24"/>
        </w:rPr>
        <w:t xml:space="preserve"> tüpü içinde DOS toplanmadan önce tartılır ve aynı mikrotüpte DOS toplandıktan hemen sonra tartım tekrarlanır.</w:t>
      </w:r>
    </w:p>
    <w:p w14:paraId="0584A57E" w14:textId="4FBF8533" w:rsidR="009E03C0" w:rsidRPr="000A40E6" w:rsidRDefault="00E42778" w:rsidP="00F756C3">
      <w:pPr>
        <w:suppressAutoHyphens/>
        <w:spacing w:after="120"/>
        <w:rPr>
          <w:rFonts w:cs="Times New Roman"/>
          <w:szCs w:val="24"/>
        </w:rPr>
      </w:pPr>
      <w:r w:rsidRPr="000A40E6">
        <w:rPr>
          <w:rFonts w:cs="Times New Roman"/>
          <w:szCs w:val="24"/>
        </w:rPr>
        <w:t>3. Periotron kullanılarak</w:t>
      </w:r>
      <w:r w:rsidR="00FD1DD5" w:rsidRPr="000A40E6">
        <w:rPr>
          <w:rFonts w:cs="Times New Roman"/>
          <w:szCs w:val="24"/>
        </w:rPr>
        <w:t xml:space="preserve"> kâğıt stripler (PerioPaper) üzerinde toplanan sıvının ölçülmesi için elektronik bir yöntem geliştirilmiştir. Periotron, elektriksel kapasitans değişimleri ile kâğıt stripteki DOS hacmini belirler</w:t>
      </w:r>
      <w:r w:rsidR="00C70AD5" w:rsidRPr="000A40E6">
        <w:rPr>
          <w:rFonts w:cs="Times New Roman"/>
          <w:szCs w:val="24"/>
        </w:rPr>
        <w:t xml:space="preserve"> (</w:t>
      </w:r>
      <w:r w:rsidR="00C70AD5" w:rsidRPr="000A40E6">
        <w:rPr>
          <w:rFonts w:cs="Times New Roman"/>
          <w:szCs w:val="24"/>
          <w:shd w:val="clear" w:color="auto" w:fill="FFFFFF"/>
        </w:rPr>
        <w:t>Subbarao ve diğerleri, 2019).</w:t>
      </w:r>
    </w:p>
    <w:p w14:paraId="4CCD85E0" w14:textId="77777777" w:rsidR="00FD1DD5" w:rsidRPr="000A40E6" w:rsidRDefault="00FD1DD5" w:rsidP="00F756C3">
      <w:pPr>
        <w:suppressAutoHyphens/>
        <w:spacing w:after="120"/>
        <w:rPr>
          <w:rFonts w:cs="Times New Roman"/>
          <w:b/>
          <w:szCs w:val="24"/>
        </w:rPr>
      </w:pPr>
    </w:p>
    <w:p w14:paraId="0395B793" w14:textId="77777777" w:rsidR="00FD1DD5" w:rsidRPr="000A40E6" w:rsidRDefault="00FD1DD5" w:rsidP="00F756C3">
      <w:pPr>
        <w:suppressAutoHyphens/>
        <w:spacing w:after="120"/>
        <w:ind w:firstLine="0"/>
        <w:rPr>
          <w:rFonts w:cs="Times New Roman"/>
          <w:b/>
          <w:szCs w:val="24"/>
        </w:rPr>
      </w:pPr>
      <w:bookmarkStart w:id="56" w:name="_Toc136443398"/>
      <w:r w:rsidRPr="000A40E6">
        <w:rPr>
          <w:rFonts w:cs="Times New Roman"/>
          <w:b/>
          <w:szCs w:val="24"/>
        </w:rPr>
        <w:t>2.4.1.2. Mikro Pipet veya Kapiller Tüp Kullanımı</w:t>
      </w:r>
      <w:bookmarkEnd w:id="56"/>
    </w:p>
    <w:p w14:paraId="21B023AC" w14:textId="77777777" w:rsidR="00FD1DD5" w:rsidRPr="000A40E6" w:rsidRDefault="00FD1DD5" w:rsidP="00F756C3">
      <w:pPr>
        <w:suppressAutoHyphens/>
        <w:spacing w:after="120"/>
        <w:rPr>
          <w:rFonts w:cs="Times New Roman"/>
          <w:b/>
          <w:szCs w:val="24"/>
        </w:rPr>
      </w:pPr>
    </w:p>
    <w:p w14:paraId="7D5549D5" w14:textId="4A5F5AAB" w:rsidR="00FD1DD5" w:rsidRPr="000A40E6" w:rsidRDefault="00FD1DD5" w:rsidP="00F756C3">
      <w:pPr>
        <w:suppressAutoHyphens/>
        <w:spacing w:after="120"/>
        <w:rPr>
          <w:rFonts w:cs="Times New Roman"/>
          <w:szCs w:val="24"/>
        </w:rPr>
      </w:pPr>
      <w:r w:rsidRPr="000A40E6">
        <w:rPr>
          <w:rFonts w:cs="Times New Roman"/>
          <w:szCs w:val="24"/>
        </w:rPr>
        <w:t>Bu yöntemde standart uzunluktaki ve çaptaki kapiller tüpler diş eti sulkusuna yerleştirilir ve içerikleri daha sonra santrifüjlenip analiz edilir. Kapiller tüpler, diş eti sulkusunda uzun süre konumlandırılırsa travmatik etkiye neden olabilir ve diş eti damar yapısının bozulmasını takiben serum akışıyla</w:t>
      </w:r>
      <w:r w:rsidR="004C51F3" w:rsidRPr="000A40E6">
        <w:rPr>
          <w:rFonts w:cs="Times New Roman"/>
          <w:szCs w:val="24"/>
        </w:rPr>
        <w:t xml:space="preserve"> doğal DOS’u kontamine edebilir (</w:t>
      </w:r>
      <w:r w:rsidR="004C51F3" w:rsidRPr="000A40E6">
        <w:rPr>
          <w:rFonts w:cs="Times New Roman"/>
          <w:szCs w:val="24"/>
          <w:shd w:val="clear" w:color="auto" w:fill="FFFFFF"/>
        </w:rPr>
        <w:t>Subbarao ve diğerleri, 2019).</w:t>
      </w:r>
    </w:p>
    <w:p w14:paraId="4BFE741A" w14:textId="77777777" w:rsidR="00FD1DD5" w:rsidRPr="000A40E6" w:rsidRDefault="00FD1DD5" w:rsidP="00F756C3">
      <w:pPr>
        <w:suppressAutoHyphens/>
        <w:spacing w:after="120"/>
        <w:rPr>
          <w:rFonts w:cs="Times New Roman"/>
          <w:szCs w:val="24"/>
          <w:u w:val="single"/>
        </w:rPr>
      </w:pPr>
    </w:p>
    <w:p w14:paraId="7BB8EFDE" w14:textId="77777777" w:rsidR="00FD1DD5" w:rsidRPr="000A40E6" w:rsidRDefault="00FD1DD5" w:rsidP="00F756C3">
      <w:pPr>
        <w:suppressAutoHyphens/>
        <w:spacing w:after="120"/>
        <w:ind w:firstLine="0"/>
        <w:rPr>
          <w:rFonts w:cs="Times New Roman"/>
          <w:b/>
          <w:szCs w:val="24"/>
        </w:rPr>
      </w:pPr>
      <w:bookmarkStart w:id="57" w:name="_Toc136443399"/>
      <w:r w:rsidRPr="000A40E6">
        <w:rPr>
          <w:rFonts w:cs="Times New Roman"/>
          <w:b/>
          <w:szCs w:val="24"/>
        </w:rPr>
        <w:t>2.4.1.3. Gingival Yıkama Tekniği</w:t>
      </w:r>
      <w:bookmarkEnd w:id="57"/>
    </w:p>
    <w:p w14:paraId="00D72378" w14:textId="77777777" w:rsidR="00FD1DD5" w:rsidRPr="000A40E6" w:rsidRDefault="00FD1DD5" w:rsidP="00F756C3">
      <w:pPr>
        <w:suppressAutoHyphens/>
        <w:spacing w:after="120"/>
        <w:rPr>
          <w:rFonts w:cs="Times New Roman"/>
          <w:b/>
          <w:szCs w:val="24"/>
        </w:rPr>
      </w:pPr>
    </w:p>
    <w:p w14:paraId="587863F8" w14:textId="09947906" w:rsidR="00FD1DD5" w:rsidRPr="000A40E6" w:rsidRDefault="00FD1DD5" w:rsidP="00F756C3">
      <w:pPr>
        <w:suppressAutoHyphens/>
        <w:spacing w:after="120"/>
        <w:rPr>
          <w:rFonts w:cs="Times New Roman"/>
          <w:szCs w:val="24"/>
        </w:rPr>
      </w:pPr>
      <w:r w:rsidRPr="000A40E6">
        <w:rPr>
          <w:rFonts w:cs="Times New Roman"/>
          <w:szCs w:val="24"/>
        </w:rPr>
        <w:t xml:space="preserve">Oppenheim tarafından gingival yıkama tekniği için tasarlanan aparey, </w:t>
      </w:r>
      <w:proofErr w:type="gramStart"/>
      <w:r w:rsidRPr="000A40E6">
        <w:rPr>
          <w:rFonts w:cs="Times New Roman"/>
          <w:szCs w:val="24"/>
        </w:rPr>
        <w:t>marjinal</w:t>
      </w:r>
      <w:proofErr w:type="gramEnd"/>
      <w:r w:rsidRPr="000A40E6">
        <w:rPr>
          <w:rFonts w:cs="Times New Roman"/>
          <w:szCs w:val="24"/>
        </w:rPr>
        <w:t xml:space="preserve"> diş etinin bütünlüğünü bozmadan diş eti oluğu sıvısının toplanmasına izin verir ve bu aparey, Takamori tarafından tarif edilen akrilik splint apareyinin bir modifikasyonudur (Takamori, 1963). Gingival yıkama, peristaltik pompa kullanılarak sulkular bölgenin palatinal ve bukkal kanallardan 4-6 ml solüsyon ile sabit</w:t>
      </w:r>
      <w:r w:rsidR="0023487C" w:rsidRPr="000A40E6">
        <w:rPr>
          <w:rFonts w:cs="Times New Roman"/>
          <w:szCs w:val="24"/>
        </w:rPr>
        <w:t xml:space="preserve"> bir süre yıkanmasıyla sağlanır (</w:t>
      </w:r>
      <w:r w:rsidR="0023487C" w:rsidRPr="000A40E6">
        <w:rPr>
          <w:rFonts w:cs="Times New Roman"/>
          <w:szCs w:val="24"/>
          <w:shd w:val="clear" w:color="auto" w:fill="FFFFFF"/>
        </w:rPr>
        <w:t>Subbarao ve diğerleri, 2019).</w:t>
      </w:r>
    </w:p>
    <w:p w14:paraId="1DA015D6" w14:textId="77777777" w:rsidR="00FD1DD5" w:rsidRPr="000A40E6" w:rsidRDefault="00FD1DD5" w:rsidP="00F756C3">
      <w:pPr>
        <w:suppressAutoHyphens/>
        <w:spacing w:after="120"/>
        <w:rPr>
          <w:rFonts w:cs="Times New Roman"/>
          <w:szCs w:val="24"/>
        </w:rPr>
      </w:pPr>
    </w:p>
    <w:p w14:paraId="21727189" w14:textId="14BE3264" w:rsidR="00FD1DD5" w:rsidRPr="000A40E6" w:rsidRDefault="00FD1DD5" w:rsidP="00F756C3">
      <w:pPr>
        <w:suppressAutoHyphens/>
        <w:spacing w:after="120"/>
        <w:ind w:firstLine="0"/>
        <w:rPr>
          <w:rFonts w:cs="Times New Roman"/>
          <w:b/>
          <w:szCs w:val="24"/>
        </w:rPr>
      </w:pPr>
      <w:bookmarkStart w:id="58" w:name="_Toc136443400"/>
      <w:r w:rsidRPr="000A40E6">
        <w:rPr>
          <w:rFonts w:cs="Times New Roman"/>
          <w:b/>
          <w:szCs w:val="24"/>
        </w:rPr>
        <w:t>2.4.2. Diş Eti Oluğu Sıvısında Ortodontik Diş Hareketinin Biyo</w:t>
      </w:r>
      <w:r w:rsidR="00907796" w:rsidRPr="000A40E6">
        <w:rPr>
          <w:rFonts w:cs="Times New Roman"/>
          <w:b/>
          <w:szCs w:val="24"/>
        </w:rPr>
        <w:t>markerları</w:t>
      </w:r>
      <w:bookmarkEnd w:id="58"/>
    </w:p>
    <w:p w14:paraId="3E7A507D" w14:textId="77777777" w:rsidR="00FD1DD5" w:rsidRPr="000A40E6" w:rsidRDefault="00FD1DD5" w:rsidP="00F756C3">
      <w:pPr>
        <w:suppressAutoHyphens/>
        <w:spacing w:after="120"/>
        <w:rPr>
          <w:rFonts w:cs="Times New Roman"/>
          <w:b/>
          <w:szCs w:val="24"/>
        </w:rPr>
      </w:pPr>
    </w:p>
    <w:p w14:paraId="756E9C54" w14:textId="1FF38A16" w:rsidR="00FD1DD5" w:rsidRPr="000A40E6" w:rsidRDefault="00FD1DD5" w:rsidP="00F756C3">
      <w:pPr>
        <w:suppressAutoHyphens/>
        <w:spacing w:after="120"/>
        <w:rPr>
          <w:rFonts w:cs="Times New Roman"/>
          <w:szCs w:val="24"/>
        </w:rPr>
      </w:pPr>
      <w:r w:rsidRPr="000A40E6">
        <w:rPr>
          <w:rFonts w:cs="Times New Roman"/>
          <w:szCs w:val="24"/>
        </w:rPr>
        <w:t xml:space="preserve">Ortodontik diş hareketi sırasında meydana gelen dişin yer değiştirmesi ve remodeling aktiviteleri, mekanik uyaranların neden olduğu inflamatuar sürecin bir sonucudur. Ortodontik diş hareketi ile meydana gelen hücresel, biyokimyasal ve moleküler olaylar kapsamlı bir şekilde incelenmiştir. Ortodontik tedavi sırasında dişe uygulanan kuvvetler periodontal ligamentin ekstrasellüler matrisini bozar ve hücresel şekli ve hücre iskeleti </w:t>
      </w:r>
      <w:proofErr w:type="gramStart"/>
      <w:r w:rsidRPr="000A40E6">
        <w:rPr>
          <w:rFonts w:cs="Times New Roman"/>
          <w:szCs w:val="24"/>
        </w:rPr>
        <w:t>konfigürasyonlarını</w:t>
      </w:r>
      <w:proofErr w:type="gramEnd"/>
      <w:r w:rsidRPr="000A40E6">
        <w:rPr>
          <w:rFonts w:cs="Times New Roman"/>
          <w:szCs w:val="24"/>
        </w:rPr>
        <w:t xml:space="preserve"> değiştirir. Bu değişiklikler, DOS akış hızını ve bileşimini değiştirebilir (</w:t>
      </w:r>
      <w:r w:rsidR="00BD2FFC" w:rsidRPr="000A40E6">
        <w:rPr>
          <w:rFonts w:cs="Times New Roman"/>
          <w:szCs w:val="24"/>
        </w:rPr>
        <w:t xml:space="preserve">Krishnan ve Davidovitch, 2006). </w:t>
      </w:r>
      <w:r w:rsidRPr="000A40E6">
        <w:rPr>
          <w:rFonts w:cs="Times New Roman"/>
          <w:szCs w:val="24"/>
        </w:rPr>
        <w:t>Ortodontik kuvvetler, periodondal ligament ve alveolar kemikteki hücreler içindeki biyolojik sistemi değiştirerek sitokinler, kemokinler, nörotransmiterler, prostaglandinler ve büyüme faktörleri gibi çeşitli biyolojik mediyatörlerin salınımını sağlar (Garlet ve diğerleri, 2007; M</w:t>
      </w:r>
      <w:r w:rsidR="00F24CA3" w:rsidRPr="000A40E6">
        <w:rPr>
          <w:rFonts w:cs="Times New Roman"/>
          <w:szCs w:val="24"/>
        </w:rPr>
        <w:t>eeran, 2013). DOS’t</w:t>
      </w:r>
      <w:r w:rsidRPr="000A40E6">
        <w:rPr>
          <w:rFonts w:cs="Times New Roman"/>
          <w:szCs w:val="24"/>
        </w:rPr>
        <w:t>aki kemik ve doku metabolizmasındaki değişiklikler hakkında bilgi sağlamak için ortodontik tedavi sırasında hücresel aktiviteler değerlendirilmiştir (Griffiths ve diğerleri, 1998; Lee ve diğerleri, 2004). DOS, periodonsiyumun en altında yer alan dokuların sağlık durumu ile ilgili önemli bir biyo</w:t>
      </w:r>
      <w:r w:rsidR="00D93931" w:rsidRPr="000A40E6">
        <w:rPr>
          <w:rFonts w:cs="Times New Roman"/>
          <w:szCs w:val="24"/>
        </w:rPr>
        <w:t xml:space="preserve">marker </w:t>
      </w:r>
      <w:r w:rsidRPr="000A40E6">
        <w:rPr>
          <w:rFonts w:cs="Times New Roman"/>
          <w:szCs w:val="24"/>
        </w:rPr>
        <w:t>kaynağıdır. DOS’un bu özelliği, ortodontik tedavi etkinliğinin ve alveolar kemiğin ortodontik kuvvetlere tepkisinin izlenmesinde önemlidir. Son yıllarda, gelişmiş biyokimyasal analizler sayesinde alveolar kemiğin çeşitli biyo</w:t>
      </w:r>
      <w:r w:rsidR="00FC77EB" w:rsidRPr="000A40E6">
        <w:rPr>
          <w:rFonts w:cs="Times New Roman"/>
          <w:szCs w:val="24"/>
        </w:rPr>
        <w:t xml:space="preserve">markerları </w:t>
      </w:r>
      <w:r w:rsidRPr="000A40E6">
        <w:rPr>
          <w:rFonts w:cs="Times New Roman"/>
          <w:szCs w:val="24"/>
        </w:rPr>
        <w:t>keşfedilmiştir. Bu biyo</w:t>
      </w:r>
      <w:r w:rsidR="00D2479C" w:rsidRPr="000A40E6">
        <w:rPr>
          <w:rFonts w:cs="Times New Roman"/>
          <w:szCs w:val="24"/>
        </w:rPr>
        <w:t>markerlar</w:t>
      </w:r>
      <w:r w:rsidRPr="000A40E6">
        <w:rPr>
          <w:rFonts w:cs="Times New Roman"/>
          <w:szCs w:val="24"/>
        </w:rPr>
        <w:t xml:space="preserve">, şiddetli periodontal hastalık, osseointegrasyon, ortodontik hareketlerden kaynaklanan </w:t>
      </w:r>
      <w:proofErr w:type="gramStart"/>
      <w:r w:rsidRPr="000A40E6">
        <w:rPr>
          <w:rFonts w:cs="Times New Roman"/>
          <w:szCs w:val="24"/>
        </w:rPr>
        <w:t>travma</w:t>
      </w:r>
      <w:proofErr w:type="gramEnd"/>
      <w:r w:rsidRPr="000A40E6">
        <w:rPr>
          <w:rFonts w:cs="Times New Roman"/>
          <w:szCs w:val="24"/>
        </w:rPr>
        <w:t xml:space="preserve"> gibi özel klinik durumlarda değişir ve bu nedenle hem aktif patolojinin hem de iyileşmenin göstergesidir (Lauritano ve diğerleri, 2014).</w:t>
      </w:r>
    </w:p>
    <w:p w14:paraId="2F704950" w14:textId="2108B0CB" w:rsidR="00FD1DD5" w:rsidRPr="000A40E6" w:rsidRDefault="00FD1DD5" w:rsidP="00F756C3">
      <w:pPr>
        <w:suppressAutoHyphens/>
        <w:spacing w:after="120"/>
        <w:rPr>
          <w:rFonts w:cs="Times New Roman"/>
          <w:szCs w:val="24"/>
        </w:rPr>
      </w:pPr>
      <w:r w:rsidRPr="000A40E6">
        <w:rPr>
          <w:rFonts w:cs="Times New Roman"/>
          <w:szCs w:val="24"/>
        </w:rPr>
        <w:t xml:space="preserve">Son yıllarda yapılan çalışmalar, ortodontik hareketlerle ilgili başlıca DOS </w:t>
      </w:r>
      <w:r w:rsidR="00BC6988" w:rsidRPr="000A40E6">
        <w:rPr>
          <w:rFonts w:cs="Times New Roman"/>
          <w:szCs w:val="24"/>
        </w:rPr>
        <w:t xml:space="preserve">biyomarkerlarını </w:t>
      </w:r>
      <w:r w:rsidRPr="000A40E6">
        <w:rPr>
          <w:rFonts w:cs="Times New Roman"/>
          <w:szCs w:val="24"/>
        </w:rPr>
        <w:t>inflamasyon, hücre yıkımı ve kemik metabolizması biyo</w:t>
      </w:r>
      <w:r w:rsidR="00761D84" w:rsidRPr="000A40E6">
        <w:rPr>
          <w:rFonts w:cs="Times New Roman"/>
          <w:szCs w:val="24"/>
        </w:rPr>
        <w:t xml:space="preserve">markerları </w:t>
      </w:r>
      <w:r w:rsidRPr="000A40E6">
        <w:rPr>
          <w:rFonts w:cs="Times New Roman"/>
          <w:szCs w:val="24"/>
        </w:rPr>
        <w:t>olarak tanımlar (</w:t>
      </w:r>
      <w:r w:rsidR="00156FE1" w:rsidRPr="000A40E6">
        <w:rPr>
          <w:rFonts w:cs="Times New Roman"/>
          <w:szCs w:val="24"/>
        </w:rPr>
        <w:t xml:space="preserve">Hamamci ve diğerleri, 2012; </w:t>
      </w:r>
      <w:r w:rsidR="009949D2" w:rsidRPr="000A40E6">
        <w:rPr>
          <w:rFonts w:cs="Times New Roman"/>
          <w:szCs w:val="24"/>
        </w:rPr>
        <w:t xml:space="preserve">Kunii ve diğerleri, 2013; </w:t>
      </w:r>
      <w:r w:rsidRPr="000A40E6">
        <w:rPr>
          <w:rFonts w:cs="Times New Roman"/>
          <w:szCs w:val="24"/>
        </w:rPr>
        <w:t>Luppa</w:t>
      </w:r>
      <w:r w:rsidR="00156FE1" w:rsidRPr="000A40E6">
        <w:rPr>
          <w:rFonts w:cs="Times New Roman"/>
          <w:szCs w:val="24"/>
        </w:rPr>
        <w:t xml:space="preserve">napornlarp ve diğerleri, 2010; </w:t>
      </w:r>
      <w:r w:rsidRPr="000A40E6">
        <w:rPr>
          <w:rFonts w:cs="Times New Roman"/>
          <w:szCs w:val="24"/>
        </w:rPr>
        <w:t>Ribagin ve Rashkova</w:t>
      </w:r>
      <w:r w:rsidR="009949D2" w:rsidRPr="000A40E6">
        <w:rPr>
          <w:rFonts w:cs="Times New Roman"/>
          <w:szCs w:val="24"/>
        </w:rPr>
        <w:t>, 2012</w:t>
      </w:r>
      <w:r w:rsidRPr="000A40E6">
        <w:rPr>
          <w:rFonts w:cs="Times New Roman"/>
          <w:szCs w:val="24"/>
        </w:rPr>
        <w:t>).</w:t>
      </w:r>
    </w:p>
    <w:p w14:paraId="01B95337" w14:textId="77777777" w:rsidR="0089200E" w:rsidRPr="000A40E6" w:rsidRDefault="0089200E" w:rsidP="00F756C3">
      <w:pPr>
        <w:suppressAutoHyphens/>
        <w:spacing w:after="120"/>
        <w:rPr>
          <w:rFonts w:cs="Times New Roman"/>
          <w:szCs w:val="24"/>
        </w:rPr>
      </w:pPr>
    </w:p>
    <w:p w14:paraId="3DBA0D98" w14:textId="20D687CD" w:rsidR="00FD1DD5" w:rsidRPr="000A40E6" w:rsidRDefault="00FD1DD5" w:rsidP="00F756C3">
      <w:pPr>
        <w:suppressAutoHyphens/>
        <w:spacing w:after="120"/>
        <w:ind w:firstLine="0"/>
        <w:rPr>
          <w:rFonts w:cs="Times New Roman"/>
          <w:szCs w:val="24"/>
        </w:rPr>
      </w:pPr>
      <w:bookmarkStart w:id="59" w:name="_Toc136443401"/>
      <w:r w:rsidRPr="000A40E6">
        <w:rPr>
          <w:rFonts w:cs="Times New Roman"/>
          <w:b/>
          <w:szCs w:val="24"/>
        </w:rPr>
        <w:t>2.4.2.1. İnflamasyon Biyo</w:t>
      </w:r>
      <w:r w:rsidR="006B73A1" w:rsidRPr="000A40E6">
        <w:rPr>
          <w:rFonts w:cs="Times New Roman"/>
          <w:b/>
          <w:szCs w:val="24"/>
        </w:rPr>
        <w:t>markerları</w:t>
      </w:r>
      <w:bookmarkEnd w:id="59"/>
    </w:p>
    <w:p w14:paraId="25A844EF" w14:textId="77777777" w:rsidR="00FD1DD5" w:rsidRPr="000A40E6" w:rsidRDefault="00FD1DD5" w:rsidP="00F756C3">
      <w:pPr>
        <w:suppressAutoHyphens/>
        <w:spacing w:after="120"/>
        <w:rPr>
          <w:rFonts w:cs="Times New Roman"/>
          <w:b/>
          <w:szCs w:val="24"/>
        </w:rPr>
      </w:pPr>
    </w:p>
    <w:p w14:paraId="43693E98" w14:textId="5D053C97" w:rsidR="00FD1DD5" w:rsidRPr="000A40E6" w:rsidRDefault="00FD1DD5" w:rsidP="00F756C3">
      <w:pPr>
        <w:suppressAutoHyphens/>
        <w:spacing w:after="120"/>
        <w:rPr>
          <w:rFonts w:cs="Times New Roman"/>
          <w:szCs w:val="24"/>
        </w:rPr>
      </w:pPr>
      <w:proofErr w:type="gramStart"/>
      <w:r w:rsidRPr="000A40E6">
        <w:rPr>
          <w:rFonts w:cs="Times New Roman"/>
          <w:szCs w:val="24"/>
        </w:rPr>
        <w:t>İnterlökinler (IL-1β, IL-6, IL-8), Tümör Nekrozis Faktör- alfa (TNF-</w:t>
      </w:r>
      <w:r w:rsidRPr="000A40E6">
        <w:rPr>
          <w:rFonts w:ascii="Cambria Math" w:hAnsi="Cambria Math" w:cs="Cambria Math"/>
          <w:szCs w:val="24"/>
        </w:rPr>
        <w:t>𝛼</w:t>
      </w:r>
      <w:r w:rsidRPr="000A40E6">
        <w:rPr>
          <w:rFonts w:cs="Times New Roman"/>
          <w:szCs w:val="24"/>
        </w:rPr>
        <w:t xml:space="preserve">), koloni uyarıcı faktörler (M-CSF, G-CSF, GM-CSF), Prostaglandin E2 (PGE2), Vasküler Endotelyal Büyüme Faktörü (VEGF), Kalsitonin gen-ilişkili peptid (CGRP), </w:t>
      </w:r>
      <w:r w:rsidRPr="000A40E6">
        <w:rPr>
          <w:rFonts w:cs="Times New Roman"/>
          <w:bCs/>
          <w:color w:val="000000"/>
          <w:szCs w:val="24"/>
          <w:shd w:val="clear" w:color="auto" w:fill="FFFFFF"/>
        </w:rPr>
        <w:t>P</w:t>
      </w:r>
      <w:r w:rsidRPr="000A40E6">
        <w:rPr>
          <w:rFonts w:cs="Times New Roman"/>
          <w:color w:val="222222"/>
          <w:szCs w:val="24"/>
          <w:shd w:val="clear" w:color="auto" w:fill="FFFFFF"/>
        </w:rPr>
        <w:t> </w:t>
      </w:r>
      <w:r w:rsidRPr="000A40E6">
        <w:rPr>
          <w:rFonts w:cs="Times New Roman"/>
          <w:bCs/>
          <w:color w:val="000000"/>
          <w:szCs w:val="24"/>
          <w:shd w:val="clear" w:color="auto" w:fill="FFFFFF"/>
        </w:rPr>
        <w:t>maddesi</w:t>
      </w:r>
      <w:r w:rsidRPr="000A40E6">
        <w:rPr>
          <w:rFonts w:cs="Times New Roman"/>
          <w:color w:val="222222"/>
          <w:szCs w:val="24"/>
          <w:shd w:val="clear" w:color="auto" w:fill="FFFFFF"/>
        </w:rPr>
        <w:t> </w:t>
      </w:r>
      <w:r w:rsidRPr="000A40E6">
        <w:rPr>
          <w:rFonts w:cs="Times New Roman"/>
          <w:szCs w:val="24"/>
          <w:shd w:val="clear" w:color="auto" w:fill="FFFFFF"/>
        </w:rPr>
        <w:t>(Substance </w:t>
      </w:r>
      <w:r w:rsidRPr="000A40E6">
        <w:rPr>
          <w:rFonts w:cs="Times New Roman"/>
          <w:bCs/>
          <w:color w:val="000000"/>
          <w:szCs w:val="24"/>
          <w:shd w:val="clear" w:color="auto" w:fill="FFFFFF"/>
        </w:rPr>
        <w:t>P)</w:t>
      </w:r>
      <w:r w:rsidR="006264A0" w:rsidRPr="000A40E6">
        <w:rPr>
          <w:rFonts w:cs="Times New Roman"/>
          <w:szCs w:val="24"/>
        </w:rPr>
        <w:t xml:space="preserve"> inflamasyon</w:t>
      </w:r>
      <w:r w:rsidRPr="000A40E6">
        <w:rPr>
          <w:rFonts w:cs="Times New Roman"/>
          <w:szCs w:val="24"/>
        </w:rPr>
        <w:t xml:space="preserve"> biyo</w:t>
      </w:r>
      <w:r w:rsidR="006264A0" w:rsidRPr="000A40E6">
        <w:rPr>
          <w:rFonts w:cs="Times New Roman"/>
          <w:szCs w:val="24"/>
        </w:rPr>
        <w:t xml:space="preserve">markerlarındandır </w:t>
      </w:r>
      <w:r w:rsidRPr="000A40E6">
        <w:rPr>
          <w:rFonts w:cs="Times New Roman"/>
          <w:szCs w:val="24"/>
        </w:rPr>
        <w:t>(</w:t>
      </w:r>
      <w:r w:rsidR="00CE3E8C" w:rsidRPr="000A40E6">
        <w:rPr>
          <w:rFonts w:cs="Times New Roman"/>
          <w:szCs w:val="24"/>
        </w:rPr>
        <w:t xml:space="preserve">Hamamci ve diğerleri, 2012; Kunii ve diğerleri, 2013; </w:t>
      </w:r>
      <w:r w:rsidRPr="000A40E6">
        <w:rPr>
          <w:rFonts w:cs="Times New Roman"/>
          <w:szCs w:val="24"/>
        </w:rPr>
        <w:t>Luppanapornlarp ve diğerleri, 201</w:t>
      </w:r>
      <w:r w:rsidR="00CE3E8C" w:rsidRPr="000A40E6">
        <w:rPr>
          <w:rFonts w:cs="Times New Roman"/>
          <w:szCs w:val="24"/>
        </w:rPr>
        <w:t>0;  Ribagin ve Rashkova, 2012</w:t>
      </w:r>
      <w:r w:rsidRPr="000A40E6">
        <w:rPr>
          <w:rFonts w:cs="Times New Roman"/>
          <w:szCs w:val="24"/>
        </w:rPr>
        <w:t xml:space="preserve"> ).</w:t>
      </w:r>
      <w:proofErr w:type="gramEnd"/>
    </w:p>
    <w:p w14:paraId="379328C8" w14:textId="6E70AB26" w:rsidR="00FD1DD5" w:rsidRPr="000A40E6" w:rsidRDefault="00FD1DD5" w:rsidP="00F756C3">
      <w:pPr>
        <w:suppressAutoHyphens/>
        <w:spacing w:after="120"/>
        <w:rPr>
          <w:rFonts w:cs="Times New Roman"/>
          <w:szCs w:val="24"/>
        </w:rPr>
      </w:pPr>
      <w:r w:rsidRPr="000A40E6">
        <w:rPr>
          <w:rFonts w:cs="Times New Roman"/>
          <w:szCs w:val="24"/>
        </w:rPr>
        <w:t>İnterlökinler (IL-1β, IL-6, IL-8), ortodontik hareketler sırasında kemiğin remodelinginde, kemik rezorpsiyonunda ve yeni kemik apozisyonunda rol oynayan sitokinlerdir (</w:t>
      </w:r>
      <w:r w:rsidR="00CE3E8C" w:rsidRPr="000A40E6">
        <w:rPr>
          <w:rFonts w:cs="Times New Roman"/>
          <w:szCs w:val="24"/>
        </w:rPr>
        <w:t xml:space="preserve">Hamamci ve diğerleri, 2012; Kunii ve diğerleri, 2013; </w:t>
      </w:r>
      <w:r w:rsidRPr="000A40E6">
        <w:rPr>
          <w:rFonts w:cs="Times New Roman"/>
          <w:szCs w:val="24"/>
        </w:rPr>
        <w:t xml:space="preserve">Luppanapornlarp ve diğerleri, </w:t>
      </w:r>
      <w:r w:rsidR="00CE3E8C" w:rsidRPr="000A40E6">
        <w:rPr>
          <w:rFonts w:cs="Times New Roman"/>
          <w:szCs w:val="24"/>
        </w:rPr>
        <w:t>2010; Ribagin ve Rashkova, 2012</w:t>
      </w:r>
      <w:r w:rsidRPr="000A40E6">
        <w:rPr>
          <w:rFonts w:cs="Times New Roman"/>
          <w:szCs w:val="24"/>
        </w:rPr>
        <w:t>). IL-1β osteoklast aktivitesini uyaran ve kemiğin remodeling sürecinde beyaz kan hücrelerini ve diğer hücresel mediyatörleri harekete geçiren en güçlü sitokindir. Mekanik stres ile ilgili olarak rezorpsiyon ve yeni kemik apozisyon süreçlerini düzenleyen ilk polipeptittir. Ayrıca, IL-1β, ağrıya neden olan maddelerin salgılanmasını indükleyen inflamasyon mediyatörlerinden biridir. IL-1β, periodontal ligament tarafından DOS’a yayılmaya yeterli bir miktarda üretilir ve ortodontik hareketin bir biyo</w:t>
      </w:r>
      <w:r w:rsidR="0065352B" w:rsidRPr="000A40E6">
        <w:rPr>
          <w:rFonts w:cs="Times New Roman"/>
          <w:szCs w:val="24"/>
        </w:rPr>
        <w:t xml:space="preserve">markerı </w:t>
      </w:r>
      <w:r w:rsidRPr="000A40E6">
        <w:rPr>
          <w:rFonts w:cs="Times New Roman"/>
          <w:szCs w:val="24"/>
        </w:rPr>
        <w:t>olarak tanımlanmıştır (Adebanjo ve diğerleri, 1998). İnterlökin-6 (IL-6), kemik rezorpsiyonu sürecinde yer alan bir sitokindir. IL-6, osteoklast hücrelerinin farklılaşmasını destekler ve olgun osteoklastları aktive edebilir (Adebanjo ve diğerleri, 1998). Ortodon</w:t>
      </w:r>
      <w:r w:rsidR="00F24CA3" w:rsidRPr="000A40E6">
        <w:rPr>
          <w:rFonts w:cs="Times New Roman"/>
          <w:szCs w:val="24"/>
        </w:rPr>
        <w:t>tik diş hareketi sırasında DOS’t</w:t>
      </w:r>
      <w:r w:rsidRPr="000A40E6">
        <w:rPr>
          <w:rFonts w:cs="Times New Roman"/>
          <w:szCs w:val="24"/>
        </w:rPr>
        <w:t>aki IL-6 seviyesi artar (Basaran ve diğerleri, 2006</w:t>
      </w:r>
      <w:r w:rsidR="0012148E" w:rsidRPr="000A40E6">
        <w:rPr>
          <w:rFonts w:cs="Times New Roman"/>
          <w:szCs w:val="24"/>
        </w:rPr>
        <w:t>a</w:t>
      </w:r>
      <w:r w:rsidRPr="000A40E6">
        <w:rPr>
          <w:rFonts w:cs="Times New Roman"/>
          <w:szCs w:val="24"/>
        </w:rPr>
        <w:t xml:space="preserve">), hatta IL-6, stromal veya osteoblastik hücreler aracılığıyla osteoklastogenezde yer alır </w:t>
      </w:r>
      <w:r w:rsidR="0090719D" w:rsidRPr="000A40E6">
        <w:rPr>
          <w:rFonts w:cs="Times New Roman"/>
          <w:szCs w:val="24"/>
        </w:rPr>
        <w:t>(Alhashimi ve diğerleri, 2001).</w:t>
      </w:r>
      <w:r w:rsidR="00ED7737" w:rsidRPr="000A40E6">
        <w:rPr>
          <w:rFonts w:cs="Times New Roman"/>
          <w:szCs w:val="24"/>
        </w:rPr>
        <w:t xml:space="preserve"> </w:t>
      </w:r>
      <w:r w:rsidRPr="000A40E6">
        <w:rPr>
          <w:rFonts w:cs="Times New Roman"/>
          <w:szCs w:val="24"/>
        </w:rPr>
        <w:t>Bu bulgular, IL-6'nın ortodontik diş hareketi sırasında kemik rezorpsiyonunda önemli roller oynayabileceğini düşündürmektedir</w:t>
      </w:r>
      <w:r w:rsidR="0053471B" w:rsidRPr="000A40E6">
        <w:rPr>
          <w:rFonts w:cs="Times New Roman"/>
          <w:szCs w:val="24"/>
        </w:rPr>
        <w:t xml:space="preserve"> (Tuncer ve diğerleri, 2005). </w:t>
      </w:r>
      <w:r w:rsidRPr="000A40E6">
        <w:rPr>
          <w:rFonts w:cs="Times New Roman"/>
          <w:szCs w:val="24"/>
        </w:rPr>
        <w:t>Tuncer ve diğerleri</w:t>
      </w:r>
      <w:r w:rsidR="00ED7737" w:rsidRPr="000A40E6">
        <w:rPr>
          <w:rFonts w:cs="Times New Roman"/>
          <w:szCs w:val="24"/>
        </w:rPr>
        <w:t xml:space="preserve"> (2005)</w:t>
      </w:r>
      <w:r w:rsidRPr="000A40E6">
        <w:rPr>
          <w:rFonts w:cs="Times New Roman"/>
          <w:szCs w:val="24"/>
        </w:rPr>
        <w:t>, periodontal ligamentin gerilim bölgelerinde IL-8 seviyesinin arttığını göstermiştir, bu nedenle IL-8, kemiğin remodelingi için düzenleyici bir faktördür. Bu proinflamatuar sitokinlerin artan seviyeleri, ortodon</w:t>
      </w:r>
      <w:r w:rsidR="00F24CA3" w:rsidRPr="000A40E6">
        <w:rPr>
          <w:rFonts w:cs="Times New Roman"/>
          <w:szCs w:val="24"/>
        </w:rPr>
        <w:t>tik diş hareketi sırasında DOS’t</w:t>
      </w:r>
      <w:r w:rsidRPr="000A40E6">
        <w:rPr>
          <w:rFonts w:cs="Times New Roman"/>
          <w:szCs w:val="24"/>
        </w:rPr>
        <w:t>a gösterilmi</w:t>
      </w:r>
      <w:r w:rsidR="00ED7737" w:rsidRPr="000A40E6">
        <w:rPr>
          <w:rFonts w:cs="Times New Roman"/>
          <w:szCs w:val="24"/>
        </w:rPr>
        <w:t>ştir</w:t>
      </w:r>
      <w:r w:rsidRPr="000A40E6">
        <w:rPr>
          <w:rFonts w:cs="Times New Roman"/>
          <w:szCs w:val="24"/>
        </w:rPr>
        <w:t>.</w:t>
      </w:r>
    </w:p>
    <w:p w14:paraId="23905926" w14:textId="2CF25B73" w:rsidR="00FD1DD5" w:rsidRPr="000A40E6" w:rsidRDefault="00FD1DD5" w:rsidP="00F756C3">
      <w:pPr>
        <w:suppressAutoHyphens/>
        <w:spacing w:after="120"/>
        <w:rPr>
          <w:rFonts w:cs="Times New Roman"/>
          <w:szCs w:val="24"/>
        </w:rPr>
      </w:pPr>
      <w:r w:rsidRPr="000A40E6">
        <w:rPr>
          <w:rFonts w:cs="Times New Roman"/>
          <w:szCs w:val="24"/>
        </w:rPr>
        <w:t>Makrofaj-Koloni Uyarıcı Faktör (M-CSF), monosit-makrofaj ve granülositlerin aktivitesini destekleyen glikoproteindir. M-CSF, osteoklastların olgunlaşmasını uyararak kemiğin remodelinginin erken evresinde üretilir (Brooks ve diğerleri, 2011).</w:t>
      </w:r>
    </w:p>
    <w:p w14:paraId="73B8CE22" w14:textId="68AB2883" w:rsidR="00FD1DD5" w:rsidRPr="000A40E6" w:rsidRDefault="00FD1DD5" w:rsidP="00F756C3">
      <w:pPr>
        <w:suppressAutoHyphens/>
        <w:spacing w:after="120"/>
        <w:rPr>
          <w:rFonts w:cs="Times New Roman"/>
          <w:szCs w:val="24"/>
        </w:rPr>
      </w:pPr>
      <w:r w:rsidRPr="000A40E6">
        <w:rPr>
          <w:rFonts w:cs="Times New Roman"/>
          <w:szCs w:val="24"/>
        </w:rPr>
        <w:t xml:space="preserve">Deforme olmuş osteoblastlar ve gingival fibroblastlar tarafından üretilen prostaglandinler, ortodontik diş hareketinin neden olduğu inflamasyonda rol oynayan sitokinlerdir. Prostaglandinlerin alt sınıfları arasındaki </w:t>
      </w:r>
      <w:r w:rsidR="00FA5C29" w:rsidRPr="000A40E6">
        <w:rPr>
          <w:rFonts w:cs="Times New Roman"/>
          <w:szCs w:val="24"/>
        </w:rPr>
        <w:t>PGE2</w:t>
      </w:r>
      <w:r w:rsidRPr="000A40E6">
        <w:rPr>
          <w:rFonts w:cs="Times New Roman"/>
          <w:szCs w:val="24"/>
        </w:rPr>
        <w:t>, kemik rezorpsiyonu ile ilişkilidir (</w:t>
      </w:r>
      <w:proofErr w:type="gramStart"/>
      <w:r w:rsidRPr="000A40E6">
        <w:rPr>
          <w:rFonts w:cs="Times New Roman"/>
          <w:szCs w:val="24"/>
        </w:rPr>
        <w:t>Sari</w:t>
      </w:r>
      <w:proofErr w:type="gramEnd"/>
      <w:r w:rsidRPr="000A40E6">
        <w:rPr>
          <w:rFonts w:cs="Times New Roman"/>
          <w:szCs w:val="24"/>
        </w:rPr>
        <w:t xml:space="preserve"> ve diğerleri, 2010). PGE2, IL-1β tarafından indüklenir. IL-1β ,ortodontik strese maruz kalan periodontal dokuda prostaglandinlerin oluşumunu sinerjik olarak yeniden düzenler. Ortodontik ve ortopedik kuvvetler, periodontal dokulardaki inflamatuar mediyatörlerin seviyelerinde değişikliklere neden olur ve diş kökü çevresindeki dokuda kemik rezorpsiyonu süreçlerini tetikleyebilir  (Chibebe ve diğerleri, 2010).</w:t>
      </w:r>
    </w:p>
    <w:p w14:paraId="13C8EB8F" w14:textId="6518BFEC" w:rsidR="00FD1DD5" w:rsidRPr="000A40E6" w:rsidRDefault="00FA5C29" w:rsidP="00F756C3">
      <w:pPr>
        <w:suppressAutoHyphens/>
        <w:spacing w:after="120"/>
        <w:rPr>
          <w:rFonts w:cs="Times New Roman"/>
          <w:szCs w:val="24"/>
        </w:rPr>
      </w:pPr>
      <w:r w:rsidRPr="000A40E6">
        <w:rPr>
          <w:rFonts w:cs="Times New Roman"/>
          <w:szCs w:val="24"/>
        </w:rPr>
        <w:t>VEGF</w:t>
      </w:r>
      <w:r w:rsidR="00FD1DD5" w:rsidRPr="000A40E6">
        <w:rPr>
          <w:rFonts w:cs="Times New Roman"/>
          <w:szCs w:val="24"/>
        </w:rPr>
        <w:t>, vasküler geçirgenliği arttırdığı ve anjiyogenezi desteklediği için doku neoformasyonunda rol oynayan bir sitokindir. Ortodontik hareketler sırasında basınç kuvvetleri VEGF'nin aktivasyonu ile yeni kılcal damarların oluşumunu indükler (Di Domenico ve diğerleri, 2012; Miyagawa ve diğerleri, 2009).</w:t>
      </w:r>
    </w:p>
    <w:p w14:paraId="1E019482" w14:textId="5743013F" w:rsidR="00FD1DD5" w:rsidRPr="000A40E6" w:rsidRDefault="00FD1DD5" w:rsidP="00F756C3">
      <w:pPr>
        <w:suppressAutoHyphens/>
        <w:spacing w:after="120"/>
        <w:rPr>
          <w:rFonts w:cs="Times New Roman"/>
          <w:szCs w:val="24"/>
        </w:rPr>
      </w:pPr>
      <w:r w:rsidRPr="000A40E6">
        <w:rPr>
          <w:rFonts w:cs="Times New Roman"/>
          <w:szCs w:val="24"/>
        </w:rPr>
        <w:t xml:space="preserve">Ortodontik tedavi sırasında biyolojik olarak aktif proteinlerin </w:t>
      </w:r>
      <w:proofErr w:type="gramStart"/>
      <w:r w:rsidRPr="000A40E6">
        <w:rPr>
          <w:rFonts w:cs="Times New Roman"/>
          <w:szCs w:val="24"/>
        </w:rPr>
        <w:t>konsantrasyonundaki</w:t>
      </w:r>
      <w:proofErr w:type="gramEnd"/>
      <w:r w:rsidRPr="000A40E6">
        <w:rPr>
          <w:rFonts w:cs="Times New Roman"/>
          <w:szCs w:val="24"/>
        </w:rPr>
        <w:t xml:space="preserve"> artış, nörojenik inflamasyonun artmasına katkıda bulunur. Nosiseptif somatosensoriyel nöronlar, periodontal dokuların periferik liflerinden merkezi sinir sistemine sinyal iletir. Ortodontik kuvvetlerin uygulanmasıyla periferik sinir sistemi uyarılır, periodonsiyum lifleri </w:t>
      </w:r>
      <w:r w:rsidR="00DA45FF" w:rsidRPr="000A40E6">
        <w:rPr>
          <w:rFonts w:cs="Times New Roman"/>
          <w:szCs w:val="24"/>
        </w:rPr>
        <w:t>CGRP</w:t>
      </w:r>
      <w:r w:rsidRPr="000A40E6">
        <w:rPr>
          <w:rFonts w:cs="Times New Roman"/>
          <w:szCs w:val="24"/>
        </w:rPr>
        <w:t xml:space="preserve"> ve ayrıca vazodilatör olarak işlev gören P maddesini serbest bırakır, vasküler akışı ve geçirgenliği arttırır (diapedez), plazma ekstravazasyonunu ve dokulara lökosit göçünü uyarır (transmigrasyon). Ayrıca, P maddesi immünokompetan sistem tarafından proinflamatuar sitokinlerin salgılanmasını destekler ve PGE2 üretimini uyarır (Levrini ve diğerleri, 2013).</w:t>
      </w:r>
    </w:p>
    <w:p w14:paraId="64DCB627" w14:textId="77777777" w:rsidR="00FD1DD5" w:rsidRPr="000A40E6" w:rsidRDefault="00FD1DD5" w:rsidP="00F756C3">
      <w:pPr>
        <w:suppressAutoHyphens/>
        <w:spacing w:after="120"/>
        <w:rPr>
          <w:rFonts w:cs="Times New Roman"/>
          <w:szCs w:val="24"/>
        </w:rPr>
      </w:pPr>
    </w:p>
    <w:p w14:paraId="0244DC13" w14:textId="77777777" w:rsidR="00FD1DD5" w:rsidRPr="000A40E6" w:rsidRDefault="00FD1DD5" w:rsidP="00F756C3">
      <w:pPr>
        <w:suppressAutoHyphens/>
        <w:spacing w:after="120"/>
        <w:ind w:firstLine="0"/>
        <w:rPr>
          <w:rFonts w:cs="Times New Roman"/>
          <w:b/>
          <w:szCs w:val="24"/>
        </w:rPr>
      </w:pPr>
      <w:bookmarkStart w:id="60" w:name="_Toc136443402"/>
      <w:r w:rsidRPr="000A40E6">
        <w:rPr>
          <w:rFonts w:cs="Times New Roman"/>
          <w:b/>
          <w:szCs w:val="24"/>
        </w:rPr>
        <w:t>2.4.2.1.1. TNF-alfa (Tümör Nekrozis Faktör -alfa)</w:t>
      </w:r>
      <w:bookmarkEnd w:id="60"/>
    </w:p>
    <w:p w14:paraId="26BB7994" w14:textId="77777777" w:rsidR="00FD1DD5" w:rsidRPr="000A40E6" w:rsidRDefault="00FD1DD5" w:rsidP="00F756C3">
      <w:pPr>
        <w:suppressAutoHyphens/>
        <w:spacing w:after="120"/>
        <w:rPr>
          <w:rFonts w:cs="Times New Roman"/>
          <w:b/>
          <w:szCs w:val="24"/>
        </w:rPr>
      </w:pPr>
    </w:p>
    <w:p w14:paraId="0133F0D9" w14:textId="093E0C59" w:rsidR="00FD1DD5" w:rsidRPr="000A40E6" w:rsidRDefault="00FD1DD5" w:rsidP="00F756C3">
      <w:pPr>
        <w:suppressAutoHyphens/>
        <w:spacing w:after="120"/>
        <w:rPr>
          <w:rFonts w:cs="Times New Roman"/>
          <w:szCs w:val="24"/>
          <w:lang w:val="en-GB"/>
        </w:rPr>
      </w:pPr>
      <w:r w:rsidRPr="000A40E6">
        <w:rPr>
          <w:rFonts w:cs="Times New Roman"/>
          <w:szCs w:val="24"/>
          <w:lang w:val="en-GB"/>
        </w:rPr>
        <w:t>TNF-</w:t>
      </w:r>
      <w:r w:rsidRPr="000A40E6">
        <w:rPr>
          <w:rFonts w:ascii="Cambria Math" w:hAnsi="Cambria Math" w:cs="Cambria Math"/>
          <w:szCs w:val="24"/>
        </w:rPr>
        <w:t>𝛼</w:t>
      </w:r>
      <w:r w:rsidR="0004199B" w:rsidRPr="000A40E6">
        <w:rPr>
          <w:rFonts w:cs="Times New Roman"/>
          <w:szCs w:val="24"/>
          <w:lang w:val="en-GB"/>
        </w:rPr>
        <w:t xml:space="preserve">, </w:t>
      </w:r>
      <w:r w:rsidRPr="000A40E6">
        <w:rPr>
          <w:rFonts w:cs="Times New Roman"/>
          <w:szCs w:val="24"/>
          <w:lang w:val="en-GB"/>
        </w:rPr>
        <w:t xml:space="preserve">proteolitik enzim sentezini ve osteoklast aktivitesini uyarabilen, monosit/makrofaj kaynaklı ve kemik rezorpsiyonu ile hem akut hem de kronik inflamasyonda rol oynayan proinflamatuar bir sitokindir. </w:t>
      </w:r>
      <w:proofErr w:type="gramStart"/>
      <w:r w:rsidRPr="000A40E6">
        <w:rPr>
          <w:rFonts w:cs="Times New Roman"/>
          <w:szCs w:val="24"/>
          <w:lang w:val="en-GB"/>
        </w:rPr>
        <w:t>TNF-</w:t>
      </w:r>
      <w:r w:rsidRPr="000A40E6">
        <w:rPr>
          <w:rFonts w:ascii="Cambria Math" w:hAnsi="Cambria Math" w:cs="Cambria Math"/>
          <w:szCs w:val="24"/>
        </w:rPr>
        <w:t>𝛼</w:t>
      </w:r>
      <w:r w:rsidRPr="000A40E6">
        <w:rPr>
          <w:rFonts w:cs="Times New Roman"/>
          <w:szCs w:val="24"/>
          <w:lang w:val="en-GB"/>
        </w:rPr>
        <w:t>, öncelikle aktive monositler ve makrofajlar, osteoblastlar, epitel hücreleri ve endotel hücreleri tarafından üretilir (</w:t>
      </w:r>
      <w:r w:rsidRPr="000A40E6">
        <w:rPr>
          <w:rFonts w:cs="Times New Roman"/>
          <w:szCs w:val="24"/>
        </w:rPr>
        <w:t>Aggarwal, 2000)</w:t>
      </w:r>
      <w:r w:rsidRPr="000A40E6">
        <w:rPr>
          <w:rFonts w:cs="Times New Roman"/>
          <w:szCs w:val="24"/>
          <w:lang w:val="en-GB"/>
        </w:rPr>
        <w:t>.</w:t>
      </w:r>
      <w:proofErr w:type="gramEnd"/>
      <w:r w:rsidRPr="000A40E6">
        <w:rPr>
          <w:rFonts w:cs="Times New Roman"/>
          <w:szCs w:val="24"/>
          <w:lang w:val="en-GB"/>
        </w:rPr>
        <w:t xml:space="preserve"> </w:t>
      </w:r>
      <w:proofErr w:type="gramStart"/>
      <w:r w:rsidRPr="000A40E6">
        <w:rPr>
          <w:rFonts w:cs="Times New Roman"/>
          <w:szCs w:val="24"/>
          <w:lang w:val="en-GB"/>
        </w:rPr>
        <w:t>Ayrıca osteoblastları inhibe ederken aynı zamanda periodontal ligament basıncına maruz kalan taraftaki kemiği rezorbe etmek için osteoklast alımının sinyali olabilen osteositler için apoptotik bir faktördür (</w:t>
      </w:r>
      <w:r w:rsidRPr="000A40E6">
        <w:rPr>
          <w:rFonts w:cs="Times New Roman"/>
          <w:szCs w:val="24"/>
        </w:rPr>
        <w:t>Ahuja ve diğerleri, 2003)</w:t>
      </w:r>
      <w:r w:rsidRPr="000A40E6">
        <w:rPr>
          <w:rFonts w:cs="Times New Roman"/>
          <w:szCs w:val="24"/>
          <w:lang w:val="en-GB"/>
        </w:rPr>
        <w:t>.</w:t>
      </w:r>
      <w:proofErr w:type="gramEnd"/>
    </w:p>
    <w:p w14:paraId="40AB634A" w14:textId="2C6C753F" w:rsidR="00FD1DD5" w:rsidRPr="000A40E6" w:rsidRDefault="00FD1DD5" w:rsidP="00F756C3">
      <w:pPr>
        <w:suppressAutoHyphens/>
        <w:spacing w:after="120"/>
        <w:rPr>
          <w:rFonts w:cs="Times New Roman"/>
          <w:szCs w:val="24"/>
          <w:lang w:val="en-GB"/>
        </w:rPr>
      </w:pPr>
      <w:proofErr w:type="gramStart"/>
      <w:r w:rsidRPr="000A40E6">
        <w:rPr>
          <w:rFonts w:cs="Times New Roman"/>
          <w:szCs w:val="24"/>
          <w:lang w:val="en-GB"/>
        </w:rPr>
        <w:t>TNF-α, fibroblastlar ve osteoblastlar dahil olmak üzere birçok hücre tipi tarafından kemik rezorpsiyonunu, prostaglandin sentezini ve proteaz üretimini uyarır (</w:t>
      </w:r>
      <w:r w:rsidRPr="000A40E6">
        <w:rPr>
          <w:rFonts w:cs="Times New Roman"/>
          <w:szCs w:val="24"/>
        </w:rPr>
        <w:t>Hall ve diğerleri, 2015)</w:t>
      </w:r>
      <w:r w:rsidRPr="000A40E6">
        <w:rPr>
          <w:rFonts w:cs="Times New Roman"/>
          <w:szCs w:val="24"/>
          <w:lang w:val="en-GB"/>
        </w:rPr>
        <w:t>.</w:t>
      </w:r>
      <w:proofErr w:type="gramEnd"/>
      <w:r w:rsidRPr="000A40E6">
        <w:rPr>
          <w:rFonts w:cs="Times New Roman"/>
          <w:szCs w:val="24"/>
          <w:lang w:val="en-GB"/>
        </w:rPr>
        <w:t xml:space="preserve"> TNF-</w:t>
      </w:r>
      <w:proofErr w:type="gramStart"/>
      <w:r w:rsidRPr="000A40E6">
        <w:rPr>
          <w:rFonts w:cs="Times New Roman"/>
          <w:szCs w:val="24"/>
          <w:lang w:val="en-GB"/>
        </w:rPr>
        <w:t>α'nın</w:t>
      </w:r>
      <w:proofErr w:type="gramEnd"/>
      <w:r w:rsidRPr="000A40E6">
        <w:rPr>
          <w:rFonts w:cs="Times New Roman"/>
          <w:szCs w:val="24"/>
          <w:lang w:val="en-GB"/>
        </w:rPr>
        <w:t xml:space="preserve"> hızlı sentezi ve erken salınımı, diğer hücreleri mikrobiyal saldırı ve enfeksiyon bölgelerine yönlendirir. </w:t>
      </w:r>
      <w:proofErr w:type="gramStart"/>
      <w:r w:rsidRPr="000A40E6">
        <w:rPr>
          <w:rFonts w:cs="Times New Roman"/>
          <w:szCs w:val="24"/>
          <w:lang w:val="en-GB"/>
        </w:rPr>
        <w:t>Peri-implantitis (</w:t>
      </w:r>
      <w:r w:rsidRPr="000A40E6">
        <w:rPr>
          <w:rFonts w:cs="Times New Roman"/>
          <w:szCs w:val="24"/>
        </w:rPr>
        <w:t>Duarte ve diğerleri, 2016;</w:t>
      </w:r>
      <w:r w:rsidRPr="000A40E6">
        <w:rPr>
          <w:rFonts w:cs="Times New Roman"/>
          <w:b/>
          <w:szCs w:val="24"/>
        </w:rPr>
        <w:t xml:space="preserve"> </w:t>
      </w:r>
      <w:r w:rsidRPr="000A40E6">
        <w:rPr>
          <w:rFonts w:cs="Times New Roman"/>
          <w:szCs w:val="24"/>
        </w:rPr>
        <w:t>Faot</w:t>
      </w:r>
      <w:r w:rsidRPr="000A40E6">
        <w:rPr>
          <w:rFonts w:cs="Times New Roman"/>
          <w:szCs w:val="24"/>
          <w:lang w:val="en-GB"/>
        </w:rPr>
        <w:t xml:space="preserve"> ve diğerleri, 2015) ve periodontitisli bölgelerde yüksek TNF-α seviyeleri tespit edilmiştir (</w:t>
      </w:r>
      <w:r w:rsidRPr="000A40E6">
        <w:rPr>
          <w:rFonts w:cs="Times New Roman"/>
          <w:szCs w:val="24"/>
        </w:rPr>
        <w:t>Wu</w:t>
      </w:r>
      <w:r w:rsidRPr="000A40E6">
        <w:rPr>
          <w:rFonts w:cs="Times New Roman"/>
          <w:szCs w:val="24"/>
          <w:lang w:val="en-GB"/>
        </w:rPr>
        <w:t xml:space="preserve"> ve diğerleri, 2015; </w:t>
      </w:r>
      <w:r w:rsidRPr="000A40E6">
        <w:rPr>
          <w:rFonts w:cs="Times New Roman"/>
          <w:szCs w:val="24"/>
        </w:rPr>
        <w:t>Zhang</w:t>
      </w:r>
      <w:r w:rsidRPr="000A40E6">
        <w:rPr>
          <w:rFonts w:cs="Times New Roman"/>
          <w:szCs w:val="24"/>
          <w:lang w:val="en-GB"/>
        </w:rPr>
        <w:t xml:space="preserve"> ve diğerleri, 2014).</w:t>
      </w:r>
      <w:proofErr w:type="gramEnd"/>
      <w:r w:rsidRPr="000A40E6">
        <w:rPr>
          <w:rFonts w:cs="Times New Roman"/>
          <w:szCs w:val="24"/>
          <w:lang w:val="en-GB"/>
        </w:rPr>
        <w:t xml:space="preserve"> </w:t>
      </w:r>
      <w:proofErr w:type="gramStart"/>
      <w:r w:rsidRPr="000A40E6">
        <w:rPr>
          <w:rFonts w:cs="Times New Roman"/>
          <w:szCs w:val="24"/>
          <w:lang w:val="en-GB"/>
        </w:rPr>
        <w:t>Bu çalışmalar, aşırı TNF-α salgılanmasının akut veya kronik inflamatuar hastalıklar için önemli bir klinik problem olduğunu göstermektedir (</w:t>
      </w:r>
      <w:r w:rsidRPr="000A40E6">
        <w:rPr>
          <w:rFonts w:cs="Times New Roman"/>
          <w:szCs w:val="24"/>
        </w:rPr>
        <w:t>Stow ve diğerleri, 2009</w:t>
      </w:r>
      <w:r w:rsidR="0004199B" w:rsidRPr="000A40E6">
        <w:rPr>
          <w:rFonts w:cs="Times New Roman"/>
          <w:szCs w:val="24"/>
        </w:rPr>
        <w:t>; Stow ve Murray, 2013</w:t>
      </w:r>
      <w:r w:rsidRPr="000A40E6">
        <w:rPr>
          <w:rFonts w:cs="Times New Roman"/>
          <w:szCs w:val="24"/>
        </w:rPr>
        <w:t>).</w:t>
      </w:r>
      <w:proofErr w:type="gramEnd"/>
    </w:p>
    <w:p w14:paraId="0A0CD90A" w14:textId="57DAAD3B" w:rsidR="00FD1DD5" w:rsidRPr="000A40E6" w:rsidRDefault="00FD1DD5" w:rsidP="00F756C3">
      <w:pPr>
        <w:suppressAutoHyphens/>
        <w:spacing w:after="120"/>
        <w:rPr>
          <w:rFonts w:cs="Times New Roman"/>
          <w:szCs w:val="24"/>
        </w:rPr>
      </w:pPr>
      <w:r w:rsidRPr="000A40E6">
        <w:rPr>
          <w:rFonts w:cs="Times New Roman"/>
          <w:szCs w:val="24"/>
          <w:lang w:val="en-GB"/>
        </w:rPr>
        <w:t xml:space="preserve">TNF-α aynı zamanda basınç bölgelerindeki osteoklastların ortaya çıkmasını da kontrol </w:t>
      </w:r>
      <w:proofErr w:type="gramStart"/>
      <w:r w:rsidRPr="000A40E6">
        <w:rPr>
          <w:rFonts w:cs="Times New Roman"/>
          <w:szCs w:val="24"/>
          <w:lang w:val="en-GB"/>
        </w:rPr>
        <w:t>eder</w:t>
      </w:r>
      <w:proofErr w:type="gramEnd"/>
      <w:r w:rsidRPr="000A40E6">
        <w:rPr>
          <w:rFonts w:cs="Times New Roman"/>
          <w:szCs w:val="24"/>
          <w:lang w:val="en-GB"/>
        </w:rPr>
        <w:t xml:space="preserve">. </w:t>
      </w:r>
      <w:proofErr w:type="gramStart"/>
      <w:r w:rsidRPr="000A40E6">
        <w:rPr>
          <w:rFonts w:cs="Times New Roman"/>
          <w:szCs w:val="24"/>
          <w:lang w:val="en-GB"/>
        </w:rPr>
        <w:t>Molar distalizasyonu uygulanan bir çalışmada, TNF-α ve IL-1β seviyeleri değerlendirilmiştir ve konsantrasyonlarında artış tespit edilmiştir (</w:t>
      </w:r>
      <w:r w:rsidRPr="000A40E6">
        <w:rPr>
          <w:rFonts w:cs="Times New Roman"/>
          <w:szCs w:val="24"/>
        </w:rPr>
        <w:t>Basaran ve diğerleri, 2006</w:t>
      </w:r>
      <w:r w:rsidR="00E87292" w:rsidRPr="000A40E6">
        <w:rPr>
          <w:rFonts w:cs="Times New Roman"/>
          <w:szCs w:val="24"/>
        </w:rPr>
        <w:t>b</w:t>
      </w:r>
      <w:r w:rsidRPr="000A40E6">
        <w:rPr>
          <w:rFonts w:cs="Times New Roman"/>
          <w:szCs w:val="24"/>
        </w:rPr>
        <w:t>)</w:t>
      </w:r>
      <w:r w:rsidRPr="000A40E6">
        <w:rPr>
          <w:rFonts w:cs="Times New Roman"/>
          <w:szCs w:val="24"/>
          <w:lang w:val="en-GB"/>
        </w:rPr>
        <w:t>.</w:t>
      </w:r>
      <w:proofErr w:type="gramEnd"/>
      <w:r w:rsidRPr="000A40E6">
        <w:rPr>
          <w:rFonts w:cs="Times New Roman"/>
          <w:szCs w:val="24"/>
          <w:lang w:val="en-GB"/>
        </w:rPr>
        <w:t xml:space="preserve"> </w:t>
      </w:r>
      <w:proofErr w:type="gramStart"/>
      <w:r w:rsidRPr="000A40E6">
        <w:rPr>
          <w:rFonts w:cs="Times New Roman"/>
          <w:szCs w:val="24"/>
          <w:lang w:val="en-GB"/>
        </w:rPr>
        <w:t>Lowney ve diğerleri</w:t>
      </w:r>
      <w:r w:rsidR="001F6609" w:rsidRPr="000A40E6">
        <w:rPr>
          <w:rFonts w:cs="Times New Roman"/>
          <w:szCs w:val="24"/>
          <w:lang w:val="en-GB"/>
        </w:rPr>
        <w:t xml:space="preserve"> (1995)</w:t>
      </w:r>
      <w:r w:rsidRPr="000A40E6">
        <w:rPr>
          <w:rFonts w:cs="Times New Roman"/>
          <w:szCs w:val="24"/>
          <w:lang w:val="en-GB"/>
        </w:rPr>
        <w:t xml:space="preserve"> de, ortodontik tedavi sırasında TNF-α salınımında artış olduğunu bildirmiştir</w:t>
      </w:r>
      <w:r w:rsidR="001F6609" w:rsidRPr="000A40E6">
        <w:rPr>
          <w:rFonts w:cs="Times New Roman"/>
          <w:szCs w:val="24"/>
          <w:lang w:val="en-GB"/>
        </w:rPr>
        <w:t>.</w:t>
      </w:r>
      <w:proofErr w:type="gramEnd"/>
    </w:p>
    <w:p w14:paraId="451B94B7" w14:textId="7B3484E0" w:rsidR="001647DB" w:rsidRPr="000A40E6" w:rsidRDefault="00FD1DD5" w:rsidP="00F756C3">
      <w:pPr>
        <w:suppressAutoHyphens/>
        <w:spacing w:after="120"/>
        <w:rPr>
          <w:rFonts w:cs="Times New Roman"/>
          <w:szCs w:val="24"/>
          <w:lang w:val="en-GB"/>
        </w:rPr>
      </w:pPr>
      <w:proofErr w:type="gramStart"/>
      <w:r w:rsidRPr="000A40E6">
        <w:rPr>
          <w:rFonts w:cs="Times New Roman"/>
          <w:szCs w:val="24"/>
          <w:lang w:val="en-GB"/>
        </w:rPr>
        <w:t>Ren ve diğerleri</w:t>
      </w:r>
      <w:r w:rsidR="00473BAD" w:rsidRPr="000A40E6">
        <w:rPr>
          <w:rFonts w:cs="Times New Roman"/>
          <w:szCs w:val="24"/>
          <w:lang w:val="en-GB"/>
        </w:rPr>
        <w:t xml:space="preserve"> (2007)</w:t>
      </w:r>
      <w:r w:rsidRPr="000A40E6">
        <w:rPr>
          <w:rFonts w:cs="Times New Roman"/>
          <w:szCs w:val="24"/>
          <w:lang w:val="en-GB"/>
        </w:rPr>
        <w:t>, TNF-α ve IL-6 seviyesinin 24.</w:t>
      </w:r>
      <w:proofErr w:type="gramEnd"/>
      <w:r w:rsidRPr="000A40E6">
        <w:rPr>
          <w:rFonts w:cs="Times New Roman"/>
          <w:szCs w:val="24"/>
          <w:lang w:val="en-GB"/>
        </w:rPr>
        <w:t xml:space="preserve"> </w:t>
      </w:r>
      <w:proofErr w:type="gramStart"/>
      <w:r w:rsidRPr="000A40E6">
        <w:rPr>
          <w:rFonts w:cs="Times New Roman"/>
          <w:szCs w:val="24"/>
          <w:lang w:val="en-GB"/>
        </w:rPr>
        <w:t>saatte</w:t>
      </w:r>
      <w:proofErr w:type="gramEnd"/>
      <w:r w:rsidRPr="000A40E6">
        <w:rPr>
          <w:rFonts w:cs="Times New Roman"/>
          <w:szCs w:val="24"/>
          <w:lang w:val="en-GB"/>
        </w:rPr>
        <w:t xml:space="preserve"> önemli ölçüde arttığını ve ortodontik diş hareketinin doğrusal fazı sırasında bu sitokinlerin konsantrasyonunun neredeyse başlangıç seviyesine düştüğünü bild</w:t>
      </w:r>
      <w:r w:rsidR="00473BAD" w:rsidRPr="000A40E6">
        <w:rPr>
          <w:rFonts w:cs="Times New Roman"/>
          <w:szCs w:val="24"/>
          <w:lang w:val="en-GB"/>
        </w:rPr>
        <w:t>irmişlerdir</w:t>
      </w:r>
      <w:r w:rsidR="0062370A" w:rsidRPr="000A40E6">
        <w:rPr>
          <w:rFonts w:cs="Times New Roman"/>
          <w:szCs w:val="24"/>
          <w:lang w:val="en-GB"/>
        </w:rPr>
        <w:t>.  Acun Kaya ve diğerleri (2011)</w:t>
      </w:r>
      <w:proofErr w:type="gramStart"/>
      <w:r w:rsidR="0062370A" w:rsidRPr="000A40E6">
        <w:rPr>
          <w:rFonts w:cs="Times New Roman"/>
          <w:szCs w:val="24"/>
          <w:lang w:val="en-GB"/>
        </w:rPr>
        <w:t>’nin</w:t>
      </w:r>
      <w:proofErr w:type="gramEnd"/>
      <w:r w:rsidRPr="000A40E6">
        <w:rPr>
          <w:rFonts w:cs="Times New Roman"/>
          <w:szCs w:val="24"/>
          <w:lang w:val="en-GB"/>
        </w:rPr>
        <w:t xml:space="preserve"> fareler üzerinde yaptıkları çalışmada, TNF-α ve IL-6 seviyeleri</w:t>
      </w:r>
      <w:r w:rsidR="00206EB8" w:rsidRPr="000A40E6">
        <w:rPr>
          <w:rFonts w:cs="Times New Roman"/>
          <w:szCs w:val="24"/>
          <w:lang w:val="en-GB"/>
        </w:rPr>
        <w:t>nin</w:t>
      </w:r>
      <w:r w:rsidRPr="000A40E6">
        <w:rPr>
          <w:rFonts w:cs="Times New Roman"/>
          <w:szCs w:val="24"/>
          <w:lang w:val="en-GB"/>
        </w:rPr>
        <w:t xml:space="preserve"> diş hareketinin aktif fazının 3. </w:t>
      </w:r>
      <w:proofErr w:type="gramStart"/>
      <w:r w:rsidRPr="000A40E6">
        <w:rPr>
          <w:rFonts w:cs="Times New Roman"/>
          <w:szCs w:val="24"/>
          <w:lang w:val="en-GB"/>
        </w:rPr>
        <w:t>gününde</w:t>
      </w:r>
      <w:proofErr w:type="gramEnd"/>
      <w:r w:rsidRPr="000A40E6">
        <w:rPr>
          <w:rFonts w:cs="Times New Roman"/>
          <w:szCs w:val="24"/>
          <w:lang w:val="en-GB"/>
        </w:rPr>
        <w:t xml:space="preserve"> maksimum seviyeye ulaş</w:t>
      </w:r>
      <w:r w:rsidR="00206EB8" w:rsidRPr="000A40E6">
        <w:rPr>
          <w:rFonts w:cs="Times New Roman"/>
          <w:szCs w:val="24"/>
          <w:lang w:val="en-GB"/>
        </w:rPr>
        <w:t>tığı ve</w:t>
      </w:r>
      <w:r w:rsidRPr="000A40E6">
        <w:rPr>
          <w:rFonts w:cs="Times New Roman"/>
          <w:szCs w:val="24"/>
          <w:lang w:val="en-GB"/>
        </w:rPr>
        <w:t xml:space="preserve"> 7. </w:t>
      </w:r>
      <w:proofErr w:type="gramStart"/>
      <w:r w:rsidRPr="000A40E6">
        <w:rPr>
          <w:rFonts w:cs="Times New Roman"/>
          <w:szCs w:val="24"/>
          <w:lang w:val="en-GB"/>
        </w:rPr>
        <w:t>ve</w:t>
      </w:r>
      <w:proofErr w:type="gramEnd"/>
      <w:r w:rsidRPr="000A40E6">
        <w:rPr>
          <w:rFonts w:cs="Times New Roman"/>
          <w:szCs w:val="24"/>
          <w:lang w:val="en-GB"/>
        </w:rPr>
        <w:t xml:space="preserve"> 10. </w:t>
      </w:r>
      <w:proofErr w:type="gramStart"/>
      <w:r w:rsidRPr="000A40E6">
        <w:rPr>
          <w:rFonts w:cs="Times New Roman"/>
          <w:szCs w:val="24"/>
          <w:lang w:val="en-GB"/>
        </w:rPr>
        <w:t>günlerden</w:t>
      </w:r>
      <w:proofErr w:type="gramEnd"/>
      <w:r w:rsidRPr="000A40E6">
        <w:rPr>
          <w:rFonts w:cs="Times New Roman"/>
          <w:szCs w:val="24"/>
          <w:lang w:val="en-GB"/>
        </w:rPr>
        <w:t xml:space="preserve"> itibaren azalmaya başla</w:t>
      </w:r>
      <w:r w:rsidR="0062370A" w:rsidRPr="000A40E6">
        <w:rPr>
          <w:rFonts w:cs="Times New Roman"/>
          <w:szCs w:val="24"/>
          <w:lang w:val="en-GB"/>
        </w:rPr>
        <w:t>dığı belirtilmiştir</w:t>
      </w:r>
      <w:r w:rsidRPr="000A40E6">
        <w:rPr>
          <w:rFonts w:cs="Times New Roman"/>
          <w:szCs w:val="24"/>
          <w:lang w:val="en-GB"/>
        </w:rPr>
        <w:t>.</w:t>
      </w:r>
    </w:p>
    <w:p w14:paraId="260DD512" w14:textId="3C18E0EB" w:rsidR="00FD1DD5" w:rsidRPr="000A40E6" w:rsidRDefault="00FD1DD5" w:rsidP="00F756C3">
      <w:pPr>
        <w:suppressAutoHyphens/>
        <w:spacing w:after="120"/>
        <w:ind w:firstLine="0"/>
        <w:rPr>
          <w:rFonts w:cs="Times New Roman"/>
          <w:b/>
          <w:szCs w:val="24"/>
        </w:rPr>
      </w:pPr>
      <w:bookmarkStart w:id="61" w:name="_Toc136443403"/>
      <w:r w:rsidRPr="000A40E6">
        <w:rPr>
          <w:rFonts w:cs="Times New Roman"/>
          <w:b/>
          <w:szCs w:val="24"/>
        </w:rPr>
        <w:t>2.4.2.2. Hücre Yıkım Biyo</w:t>
      </w:r>
      <w:r w:rsidR="00E540FF" w:rsidRPr="000A40E6">
        <w:rPr>
          <w:rFonts w:cs="Times New Roman"/>
          <w:b/>
          <w:szCs w:val="24"/>
        </w:rPr>
        <w:t>markerları</w:t>
      </w:r>
      <w:bookmarkEnd w:id="61"/>
    </w:p>
    <w:p w14:paraId="7BB3D7B8" w14:textId="77777777" w:rsidR="00FD1DD5" w:rsidRPr="000A40E6" w:rsidRDefault="00FD1DD5" w:rsidP="00F756C3">
      <w:pPr>
        <w:suppressAutoHyphens/>
        <w:spacing w:after="120"/>
        <w:ind w:firstLine="0"/>
        <w:rPr>
          <w:rFonts w:cs="Times New Roman"/>
          <w:szCs w:val="24"/>
        </w:rPr>
      </w:pPr>
    </w:p>
    <w:p w14:paraId="3D67B949" w14:textId="4770D0C7" w:rsidR="00FD1DD5" w:rsidRPr="000A40E6" w:rsidRDefault="00FD1DD5" w:rsidP="00F756C3">
      <w:pPr>
        <w:suppressAutoHyphens/>
        <w:spacing w:after="120"/>
        <w:rPr>
          <w:rFonts w:cs="Times New Roman"/>
          <w:szCs w:val="24"/>
        </w:rPr>
      </w:pPr>
      <w:r w:rsidRPr="000A40E6">
        <w:rPr>
          <w:rFonts w:cs="Times New Roman"/>
          <w:szCs w:val="24"/>
        </w:rPr>
        <w:t>Kaspaz-1, β-glukuronidaz (βG), aspartat aminotransferaz (AST), laktat de</w:t>
      </w:r>
      <w:r w:rsidR="00E540FF" w:rsidRPr="000A40E6">
        <w:rPr>
          <w:rFonts w:cs="Times New Roman"/>
          <w:szCs w:val="24"/>
        </w:rPr>
        <w:t xml:space="preserve">hidrojenaz (LDH) hücre yıkımın </w:t>
      </w:r>
      <w:r w:rsidRPr="000A40E6">
        <w:rPr>
          <w:rFonts w:cs="Times New Roman"/>
          <w:szCs w:val="24"/>
        </w:rPr>
        <w:t>biyo</w:t>
      </w:r>
      <w:r w:rsidR="00E540FF" w:rsidRPr="000A40E6">
        <w:rPr>
          <w:rFonts w:cs="Times New Roman"/>
          <w:szCs w:val="24"/>
        </w:rPr>
        <w:t>markerlarındandır</w:t>
      </w:r>
      <w:r w:rsidRPr="000A40E6">
        <w:rPr>
          <w:rFonts w:cs="Times New Roman"/>
          <w:szCs w:val="24"/>
        </w:rPr>
        <w:t>. Kapsas-1, hücre içi sıvıdaki değişikliklerle tetiklenen apoptotik yanıtın ana mediyatörüdür. Kapsaz-1, bir interlökin öncüsü olan IL-1β ve diğer proinflamatuar interlökinleri yönlendirme ve aktive etme fonksiyonuna sahiptir (Yan ve diğerleri, 2009). βG ise polimorfonükleer lökositlerin salınmasında rol oynayan lizozomal bir enzimdir. RME ile ortodontik tedavi gören a</w:t>
      </w:r>
      <w:r w:rsidR="00F84CEE" w:rsidRPr="000A40E6">
        <w:rPr>
          <w:rFonts w:cs="Times New Roman"/>
          <w:szCs w:val="24"/>
        </w:rPr>
        <w:t>dolesanların DOS’unda bu enzim</w:t>
      </w:r>
      <w:r w:rsidRPr="000A40E6">
        <w:rPr>
          <w:rFonts w:cs="Times New Roman"/>
          <w:szCs w:val="24"/>
        </w:rPr>
        <w:t xml:space="preserve"> seviyelerinde artış gözlenmiştir. Bununla birlikte, βG, dişlere doğrudan ve dolaylı mekanik kuvvetlerin uygulanması sırasında salınır (Tzannetou ve diğerleri, 2008).</w:t>
      </w:r>
    </w:p>
    <w:p w14:paraId="4F3C00B5" w14:textId="609703DB" w:rsidR="00FD1DD5" w:rsidRPr="000A40E6" w:rsidRDefault="00FD1DD5" w:rsidP="00F756C3">
      <w:pPr>
        <w:suppressAutoHyphens/>
        <w:spacing w:after="120"/>
        <w:rPr>
          <w:rFonts w:cs="Times New Roman"/>
          <w:szCs w:val="24"/>
        </w:rPr>
      </w:pPr>
      <w:r w:rsidRPr="000A40E6">
        <w:rPr>
          <w:rFonts w:cs="Times New Roman"/>
          <w:szCs w:val="24"/>
        </w:rPr>
        <w:t>Ortodontik hareket sırasında basınca maruz kalan periodontal bölgelerde, AST ve LDH gibi diğer enzimler ölçülür. Genellikle hücre sitoplazmasında bulunan bu enzimler, hücre nekrozundan sonra hücre dışı ortama salınır (</w:t>
      </w:r>
      <w:r w:rsidR="00AB0BFC" w:rsidRPr="000A40E6">
        <w:rPr>
          <w:rFonts w:cs="Times New Roman"/>
          <w:szCs w:val="24"/>
        </w:rPr>
        <w:t xml:space="preserve">Alfaqeeh ve Anil, 2011; </w:t>
      </w:r>
      <w:r w:rsidRPr="000A40E6">
        <w:rPr>
          <w:rFonts w:cs="Times New Roman"/>
          <w:szCs w:val="24"/>
        </w:rPr>
        <w:t xml:space="preserve">Perinetti </w:t>
      </w:r>
      <w:r w:rsidR="00AB0BFC" w:rsidRPr="000A40E6">
        <w:rPr>
          <w:rFonts w:cs="Times New Roman"/>
          <w:szCs w:val="24"/>
        </w:rPr>
        <w:t>ve diğerleri, 2011</w:t>
      </w:r>
      <w:r w:rsidRPr="000A40E6">
        <w:rPr>
          <w:rFonts w:cs="Times New Roman"/>
          <w:szCs w:val="24"/>
        </w:rPr>
        <w:t>).</w:t>
      </w:r>
    </w:p>
    <w:p w14:paraId="4BF3FBC4" w14:textId="77777777" w:rsidR="00FD1DD5" w:rsidRPr="000A40E6" w:rsidRDefault="00FD1DD5" w:rsidP="00F756C3">
      <w:pPr>
        <w:suppressAutoHyphens/>
        <w:spacing w:after="120"/>
        <w:rPr>
          <w:rFonts w:cs="Times New Roman"/>
          <w:szCs w:val="24"/>
          <w:lang w:val="en-GB"/>
        </w:rPr>
      </w:pPr>
    </w:p>
    <w:p w14:paraId="6A0E6A23" w14:textId="05F00EC5" w:rsidR="00FD1DD5" w:rsidRPr="000A40E6" w:rsidRDefault="00FD1DD5" w:rsidP="00F756C3">
      <w:pPr>
        <w:suppressAutoHyphens/>
        <w:spacing w:after="120"/>
        <w:ind w:firstLine="0"/>
        <w:rPr>
          <w:rFonts w:cs="Times New Roman"/>
          <w:szCs w:val="24"/>
        </w:rPr>
      </w:pPr>
      <w:bookmarkStart w:id="62" w:name="_Toc136443404"/>
      <w:r w:rsidRPr="000A40E6">
        <w:rPr>
          <w:rFonts w:cs="Times New Roman"/>
          <w:b/>
          <w:szCs w:val="24"/>
        </w:rPr>
        <w:t>2.4.2.3. Kemik Metabolizması Biyo</w:t>
      </w:r>
      <w:r w:rsidR="009F5C66" w:rsidRPr="000A40E6">
        <w:rPr>
          <w:rFonts w:cs="Times New Roman"/>
          <w:b/>
          <w:szCs w:val="24"/>
        </w:rPr>
        <w:t>markerları</w:t>
      </w:r>
      <w:bookmarkEnd w:id="62"/>
    </w:p>
    <w:p w14:paraId="460ABC0C" w14:textId="77777777" w:rsidR="00FD1DD5" w:rsidRPr="000A40E6" w:rsidRDefault="00FD1DD5" w:rsidP="00F756C3">
      <w:pPr>
        <w:suppressAutoHyphens/>
        <w:spacing w:after="120"/>
        <w:rPr>
          <w:rFonts w:cs="Times New Roman"/>
          <w:b/>
          <w:szCs w:val="24"/>
        </w:rPr>
      </w:pPr>
    </w:p>
    <w:p w14:paraId="24DCF173" w14:textId="54EB9D0F" w:rsidR="00FD1DD5" w:rsidRPr="000A40E6" w:rsidRDefault="00FD1DD5" w:rsidP="00F756C3">
      <w:pPr>
        <w:suppressAutoHyphens/>
        <w:spacing w:after="120"/>
        <w:rPr>
          <w:rFonts w:cs="Times New Roman"/>
          <w:szCs w:val="24"/>
        </w:rPr>
      </w:pPr>
      <w:r w:rsidRPr="000A40E6">
        <w:rPr>
          <w:rFonts w:cs="Times New Roman"/>
          <w:szCs w:val="24"/>
        </w:rPr>
        <w:t>Osteoprotegerin (OPG), Nükleer faktör kappa-B'nin (RANK) reseptör aktivatörü, Nükleer faktör kappa-B ligandını</w:t>
      </w:r>
      <w:r w:rsidR="007962DA" w:rsidRPr="000A40E6">
        <w:rPr>
          <w:rFonts w:cs="Times New Roman"/>
          <w:szCs w:val="24"/>
        </w:rPr>
        <w:t>n (RANKL) reseptör aktivatörü,</w:t>
      </w:r>
      <w:r w:rsidR="001F2132" w:rsidRPr="000A40E6">
        <w:rPr>
          <w:rFonts w:cs="Times New Roman"/>
          <w:szCs w:val="24"/>
        </w:rPr>
        <w:t xml:space="preserve"> kemik</w:t>
      </w:r>
      <w:r w:rsidR="007962DA" w:rsidRPr="000A40E6">
        <w:rPr>
          <w:rFonts w:cs="Times New Roman"/>
          <w:szCs w:val="24"/>
        </w:rPr>
        <w:t xml:space="preserve"> A</w:t>
      </w:r>
      <w:r w:rsidR="00191743" w:rsidRPr="000A40E6">
        <w:rPr>
          <w:rFonts w:cs="Times New Roman"/>
          <w:szCs w:val="24"/>
        </w:rPr>
        <w:t>lkalen F</w:t>
      </w:r>
      <w:r w:rsidRPr="000A40E6">
        <w:rPr>
          <w:rFonts w:cs="Times New Roman"/>
          <w:szCs w:val="24"/>
        </w:rPr>
        <w:t>osfa</w:t>
      </w:r>
      <w:r w:rsidR="00A073D3" w:rsidRPr="000A40E6">
        <w:rPr>
          <w:rFonts w:cs="Times New Roman"/>
          <w:szCs w:val="24"/>
        </w:rPr>
        <w:t>taz (</w:t>
      </w:r>
      <w:r w:rsidR="00191743" w:rsidRPr="000A40E6">
        <w:rPr>
          <w:rFonts w:cs="Times New Roman"/>
          <w:szCs w:val="24"/>
        </w:rPr>
        <w:t>B</w:t>
      </w:r>
      <w:r w:rsidR="00A073D3" w:rsidRPr="000A40E6">
        <w:rPr>
          <w:rFonts w:cs="Times New Roman"/>
          <w:szCs w:val="24"/>
        </w:rPr>
        <w:t>ALP) kemik metabolizması</w:t>
      </w:r>
      <w:r w:rsidRPr="000A40E6">
        <w:rPr>
          <w:rFonts w:cs="Times New Roman"/>
          <w:szCs w:val="24"/>
        </w:rPr>
        <w:t xml:space="preserve"> biyo</w:t>
      </w:r>
      <w:r w:rsidR="00A073D3" w:rsidRPr="000A40E6">
        <w:rPr>
          <w:rFonts w:cs="Times New Roman"/>
          <w:szCs w:val="24"/>
        </w:rPr>
        <w:t>markerlarındandır.</w:t>
      </w:r>
      <w:r w:rsidR="000734D1" w:rsidRPr="000A40E6">
        <w:rPr>
          <w:rFonts w:cs="Times New Roman"/>
          <w:szCs w:val="24"/>
        </w:rPr>
        <w:t xml:space="preserve"> </w:t>
      </w:r>
      <w:r w:rsidRPr="000A40E6">
        <w:rPr>
          <w:rFonts w:cs="Times New Roman"/>
          <w:szCs w:val="24"/>
        </w:rPr>
        <w:t>OPG, osteoklast farklılaşmasının son aşamalarında, osteoklastların aktivasyonunun baskılanmasında ve osteoklast apoptozunun indükle</w:t>
      </w:r>
      <w:r w:rsidR="007962DA" w:rsidRPr="000A40E6">
        <w:rPr>
          <w:rFonts w:cs="Times New Roman"/>
          <w:szCs w:val="24"/>
        </w:rPr>
        <w:t>nmesinde kemik hücreleri üzerin</w:t>
      </w:r>
      <w:r w:rsidRPr="000A40E6">
        <w:rPr>
          <w:rFonts w:cs="Times New Roman"/>
          <w:szCs w:val="24"/>
        </w:rPr>
        <w:t>e etki eder (Tyrovola ve diğerleri, 2010).</w:t>
      </w:r>
    </w:p>
    <w:p w14:paraId="4B27A17E" w14:textId="72170CB2" w:rsidR="00FD1DD5" w:rsidRPr="000A40E6" w:rsidRDefault="00FD1DD5" w:rsidP="00F756C3">
      <w:pPr>
        <w:suppressAutoHyphens/>
        <w:spacing w:after="120"/>
        <w:rPr>
          <w:rFonts w:cs="Times New Roman"/>
          <w:szCs w:val="24"/>
        </w:rPr>
      </w:pPr>
      <w:r w:rsidRPr="000A40E6">
        <w:rPr>
          <w:rFonts w:cs="Times New Roman"/>
          <w:szCs w:val="24"/>
        </w:rPr>
        <w:t>Kemik metabolizması, sırasıyla osteoblastlar ve osteoklas</w:t>
      </w:r>
      <w:r w:rsidR="00A92ED5" w:rsidRPr="000A40E6">
        <w:rPr>
          <w:rFonts w:cs="Times New Roman"/>
          <w:szCs w:val="24"/>
        </w:rPr>
        <w:t xml:space="preserve">tlar tarafından salınan </w:t>
      </w:r>
      <w:r w:rsidR="00AA55DE" w:rsidRPr="000A40E6">
        <w:rPr>
          <w:rFonts w:cs="Times New Roman"/>
          <w:szCs w:val="24"/>
        </w:rPr>
        <w:t>B</w:t>
      </w:r>
      <w:r w:rsidR="00A92ED5" w:rsidRPr="000A40E6">
        <w:rPr>
          <w:rFonts w:cs="Times New Roman"/>
          <w:szCs w:val="24"/>
        </w:rPr>
        <w:t>ALP ve A</w:t>
      </w:r>
      <w:r w:rsidRPr="000A40E6">
        <w:rPr>
          <w:rFonts w:cs="Times New Roman"/>
          <w:szCs w:val="24"/>
        </w:rPr>
        <w:t>sit fosfataz (ACP) ile bağlantılıdı</w:t>
      </w:r>
      <w:r w:rsidR="006549F9" w:rsidRPr="000A40E6">
        <w:rPr>
          <w:rFonts w:cs="Times New Roman"/>
          <w:szCs w:val="24"/>
        </w:rPr>
        <w:t xml:space="preserve">r. </w:t>
      </w:r>
      <w:r w:rsidRPr="000A40E6">
        <w:rPr>
          <w:rFonts w:cs="Times New Roman"/>
          <w:szCs w:val="24"/>
        </w:rPr>
        <w:t>Ortodontik tedaviler sırasında bu enzimler, peri</w:t>
      </w:r>
      <w:r w:rsidR="006549F9" w:rsidRPr="000A40E6">
        <w:rPr>
          <w:rFonts w:cs="Times New Roman"/>
          <w:szCs w:val="24"/>
        </w:rPr>
        <w:t xml:space="preserve">odonsiyumdan DOS’a difüze olur </w:t>
      </w:r>
      <w:r w:rsidRPr="000A40E6">
        <w:rPr>
          <w:rFonts w:cs="Times New Roman"/>
          <w:szCs w:val="24"/>
        </w:rPr>
        <w:t xml:space="preserve">(Perinetti ve diğerleri, 2011). Osteoblastlar yüksek </w:t>
      </w:r>
      <w:r w:rsidR="00AA55DE" w:rsidRPr="000A40E6">
        <w:rPr>
          <w:rFonts w:cs="Times New Roman"/>
          <w:szCs w:val="24"/>
        </w:rPr>
        <w:t>B</w:t>
      </w:r>
      <w:r w:rsidRPr="000A40E6">
        <w:rPr>
          <w:rFonts w:cs="Times New Roman"/>
          <w:szCs w:val="24"/>
        </w:rPr>
        <w:t>AL</w:t>
      </w:r>
      <w:r w:rsidR="00490A28" w:rsidRPr="000A40E6">
        <w:rPr>
          <w:rFonts w:cs="Times New Roman"/>
          <w:szCs w:val="24"/>
        </w:rPr>
        <w:t xml:space="preserve">P </w:t>
      </w:r>
      <w:proofErr w:type="gramStart"/>
      <w:r w:rsidR="00490A28" w:rsidRPr="000A40E6">
        <w:rPr>
          <w:rFonts w:cs="Times New Roman"/>
          <w:szCs w:val="24"/>
        </w:rPr>
        <w:t>konsantrasyonu</w:t>
      </w:r>
      <w:proofErr w:type="gramEnd"/>
      <w:r w:rsidR="00490A28" w:rsidRPr="000A40E6">
        <w:rPr>
          <w:rFonts w:cs="Times New Roman"/>
          <w:szCs w:val="24"/>
        </w:rPr>
        <w:t xml:space="preserve"> gösterir. </w:t>
      </w:r>
      <w:r w:rsidRPr="000A40E6">
        <w:rPr>
          <w:rFonts w:cs="Times New Roman"/>
          <w:szCs w:val="24"/>
        </w:rPr>
        <w:t xml:space="preserve">Osteoblastik aktivite ile ilişkili osteitis deformans gibi kemik patolojilerinde </w:t>
      </w:r>
      <w:r w:rsidR="00AA55DE" w:rsidRPr="000A40E6">
        <w:rPr>
          <w:rFonts w:cs="Times New Roman"/>
          <w:szCs w:val="24"/>
        </w:rPr>
        <w:t>B</w:t>
      </w:r>
      <w:r w:rsidRPr="000A40E6">
        <w:rPr>
          <w:rFonts w:cs="Times New Roman"/>
          <w:szCs w:val="24"/>
        </w:rPr>
        <w:t>ALP seviyeleri 10-25 kat artmaktadır</w:t>
      </w:r>
      <w:r w:rsidR="00490A28" w:rsidRPr="000A40E6">
        <w:rPr>
          <w:rFonts w:cs="Times New Roman"/>
          <w:szCs w:val="24"/>
        </w:rPr>
        <w:t xml:space="preserve">. </w:t>
      </w:r>
      <w:r w:rsidRPr="000A40E6">
        <w:rPr>
          <w:rFonts w:cs="Times New Roman"/>
          <w:szCs w:val="24"/>
        </w:rPr>
        <w:t>Kemik kırıklarının iyileşmesi ve fizyolojik kemik büyümesi sırasında da aktivitede geçici artış gözlenir (Batra ve diğerleri, 2006).</w:t>
      </w:r>
    </w:p>
    <w:p w14:paraId="2014BAE2" w14:textId="5F67C5A9" w:rsidR="000C2659" w:rsidRPr="000A40E6" w:rsidRDefault="000C2659" w:rsidP="00F756C3">
      <w:pPr>
        <w:suppressAutoHyphens/>
        <w:spacing w:after="200" w:line="276" w:lineRule="auto"/>
        <w:ind w:firstLine="0"/>
        <w:jc w:val="left"/>
        <w:rPr>
          <w:rFonts w:cs="Times New Roman"/>
          <w:szCs w:val="24"/>
        </w:rPr>
      </w:pPr>
      <w:r w:rsidRPr="000A40E6">
        <w:rPr>
          <w:rFonts w:cs="Times New Roman"/>
          <w:szCs w:val="24"/>
        </w:rPr>
        <w:br w:type="page"/>
      </w:r>
    </w:p>
    <w:p w14:paraId="0EC3AC92" w14:textId="17F26356" w:rsidR="00FD1DD5" w:rsidRPr="000A40E6" w:rsidRDefault="00FD1DD5" w:rsidP="00F756C3">
      <w:pPr>
        <w:suppressAutoHyphens/>
        <w:spacing w:after="120"/>
        <w:ind w:firstLine="0"/>
        <w:rPr>
          <w:rFonts w:cs="Times New Roman"/>
          <w:b/>
          <w:szCs w:val="24"/>
        </w:rPr>
      </w:pPr>
      <w:bookmarkStart w:id="63" w:name="_Toc136443405"/>
      <w:r w:rsidRPr="000A40E6">
        <w:rPr>
          <w:rFonts w:cs="Times New Roman"/>
          <w:b/>
          <w:szCs w:val="24"/>
        </w:rPr>
        <w:t xml:space="preserve">2.4.2.3.1. Asit ve </w:t>
      </w:r>
      <w:r w:rsidR="0024489D" w:rsidRPr="000A40E6">
        <w:rPr>
          <w:rFonts w:cs="Times New Roman"/>
          <w:b/>
          <w:szCs w:val="24"/>
        </w:rPr>
        <w:t>Kemik</w:t>
      </w:r>
      <w:r w:rsidR="00AA55DE" w:rsidRPr="000A40E6">
        <w:rPr>
          <w:rFonts w:cs="Times New Roman"/>
          <w:b/>
          <w:szCs w:val="24"/>
        </w:rPr>
        <w:t xml:space="preserve"> </w:t>
      </w:r>
      <w:r w:rsidRPr="000A40E6">
        <w:rPr>
          <w:rFonts w:cs="Times New Roman"/>
          <w:b/>
          <w:szCs w:val="24"/>
        </w:rPr>
        <w:t>Alkalen Fosfataz</w:t>
      </w:r>
      <w:bookmarkEnd w:id="63"/>
    </w:p>
    <w:p w14:paraId="03C025A6" w14:textId="77777777" w:rsidR="00FD1DD5" w:rsidRPr="000A40E6" w:rsidRDefault="00FD1DD5" w:rsidP="00F756C3">
      <w:pPr>
        <w:suppressAutoHyphens/>
        <w:spacing w:after="120"/>
        <w:rPr>
          <w:rFonts w:cs="Times New Roman"/>
          <w:b/>
          <w:szCs w:val="24"/>
        </w:rPr>
      </w:pPr>
    </w:p>
    <w:p w14:paraId="7D710527" w14:textId="794F0292" w:rsidR="00FD1DD5" w:rsidRPr="000A40E6" w:rsidRDefault="00AA55DE" w:rsidP="00F756C3">
      <w:pPr>
        <w:suppressAutoHyphens/>
        <w:spacing w:after="120"/>
        <w:rPr>
          <w:rFonts w:cs="Times New Roman"/>
          <w:szCs w:val="24"/>
        </w:rPr>
      </w:pPr>
      <w:r w:rsidRPr="000A40E6">
        <w:rPr>
          <w:rFonts w:cs="Times New Roman"/>
          <w:szCs w:val="24"/>
        </w:rPr>
        <w:t>B</w:t>
      </w:r>
      <w:r w:rsidR="00FD1DD5" w:rsidRPr="000A40E6">
        <w:rPr>
          <w:rFonts w:cs="Times New Roman"/>
          <w:szCs w:val="24"/>
        </w:rPr>
        <w:t xml:space="preserve">ALP, bir hidrolaz enzimidir ve aktivitesi kemik oluşturan hücrelerde belirgindir. Serum ve kemikte görülen enzimdeki herhangi bir değişiklik, birçok hastalıkta kemik metabolizmasını değerlendirmek için gösterge olarak kullanılmıştır. </w:t>
      </w:r>
      <w:r w:rsidRPr="000A40E6">
        <w:rPr>
          <w:rFonts w:cs="Times New Roman"/>
          <w:szCs w:val="24"/>
        </w:rPr>
        <w:t>B</w:t>
      </w:r>
      <w:r w:rsidR="00FD1DD5" w:rsidRPr="000A40E6">
        <w:rPr>
          <w:rFonts w:cs="Times New Roman"/>
          <w:szCs w:val="24"/>
        </w:rPr>
        <w:t xml:space="preserve">ALP, fibroblastlar, osteoblastlar ve osteoklastlar </w:t>
      </w:r>
      <w:proofErr w:type="gramStart"/>
      <w:r w:rsidR="00FD1DD5" w:rsidRPr="000A40E6">
        <w:rPr>
          <w:rFonts w:cs="Times New Roman"/>
          <w:szCs w:val="24"/>
        </w:rPr>
        <w:t>dahil</w:t>
      </w:r>
      <w:proofErr w:type="gramEnd"/>
      <w:r w:rsidR="00FD1DD5" w:rsidRPr="000A40E6">
        <w:rPr>
          <w:rFonts w:cs="Times New Roman"/>
          <w:szCs w:val="24"/>
        </w:rPr>
        <w:t xml:space="preserve"> olmak üzere çeşitli hücreler tarafından üretilmesine rağmen, esas olarak D</w:t>
      </w:r>
      <w:r w:rsidR="00F24CA3" w:rsidRPr="000A40E6">
        <w:rPr>
          <w:rFonts w:cs="Times New Roman"/>
          <w:szCs w:val="24"/>
        </w:rPr>
        <w:t>OS’t</w:t>
      </w:r>
      <w:r w:rsidR="00FD1DD5" w:rsidRPr="000A40E6">
        <w:rPr>
          <w:rFonts w:cs="Times New Roman"/>
          <w:szCs w:val="24"/>
        </w:rPr>
        <w:t xml:space="preserve">aki nötrofiller tarafından üretilir (Nakashima ve diğerleri, 1994). Ortodontide DOS ve </w:t>
      </w:r>
      <w:r w:rsidRPr="000A40E6">
        <w:rPr>
          <w:rFonts w:cs="Times New Roman"/>
          <w:szCs w:val="24"/>
        </w:rPr>
        <w:t>B</w:t>
      </w:r>
      <w:r w:rsidR="00FD1DD5" w:rsidRPr="000A40E6">
        <w:rPr>
          <w:rFonts w:cs="Times New Roman"/>
          <w:szCs w:val="24"/>
        </w:rPr>
        <w:t>ALP aktivitesi tanısal destek olarak önerilmiştir. Ortodont</w:t>
      </w:r>
      <w:r w:rsidR="00F24CA3" w:rsidRPr="000A40E6">
        <w:rPr>
          <w:rFonts w:cs="Times New Roman"/>
          <w:szCs w:val="24"/>
        </w:rPr>
        <w:t>ik diş hareketi sırasında, DOS’t</w:t>
      </w:r>
      <w:r w:rsidR="00FD1DD5" w:rsidRPr="000A40E6">
        <w:rPr>
          <w:rFonts w:cs="Times New Roman"/>
          <w:szCs w:val="24"/>
        </w:rPr>
        <w:t xml:space="preserve">aki </w:t>
      </w:r>
      <w:r w:rsidRPr="000A40E6">
        <w:rPr>
          <w:rFonts w:cs="Times New Roman"/>
          <w:szCs w:val="24"/>
        </w:rPr>
        <w:t>B</w:t>
      </w:r>
      <w:r w:rsidR="00FD1DD5" w:rsidRPr="000A40E6">
        <w:rPr>
          <w:rFonts w:cs="Times New Roman"/>
          <w:szCs w:val="24"/>
        </w:rPr>
        <w:t>ALP aktivitesinin ortodontik kuvvet uygulanan dişlerin basınç bölgelerinden ziyade gerilim bölgelerinde daha yüksek olduğu gösterilmiştir</w:t>
      </w:r>
      <w:r w:rsidR="004F0A4C" w:rsidRPr="000A40E6">
        <w:rPr>
          <w:rFonts w:cs="Times New Roman"/>
          <w:szCs w:val="24"/>
        </w:rPr>
        <w:t xml:space="preserve">. </w:t>
      </w:r>
      <w:r w:rsidR="00F24CA3" w:rsidRPr="000A40E6">
        <w:rPr>
          <w:rFonts w:cs="Times New Roman"/>
          <w:szCs w:val="24"/>
        </w:rPr>
        <w:t>Ayrıca DOS’t</w:t>
      </w:r>
      <w:r w:rsidR="00F135FA" w:rsidRPr="000A40E6">
        <w:rPr>
          <w:rFonts w:cs="Times New Roman"/>
          <w:szCs w:val="24"/>
        </w:rPr>
        <w:t xml:space="preserve">aki </w:t>
      </w:r>
      <w:r w:rsidR="00FD1DD5" w:rsidRPr="000A40E6">
        <w:rPr>
          <w:rFonts w:cs="Times New Roman"/>
          <w:szCs w:val="24"/>
        </w:rPr>
        <w:t xml:space="preserve">ACP ve </w:t>
      </w:r>
      <w:r w:rsidRPr="000A40E6">
        <w:rPr>
          <w:rFonts w:cs="Times New Roman"/>
          <w:szCs w:val="24"/>
        </w:rPr>
        <w:t>B</w:t>
      </w:r>
      <w:r w:rsidR="00FD1DD5" w:rsidRPr="000A40E6">
        <w:rPr>
          <w:rFonts w:cs="Times New Roman"/>
          <w:szCs w:val="24"/>
        </w:rPr>
        <w:t>ALP seviyeleri</w:t>
      </w:r>
      <w:r w:rsidR="007B1481" w:rsidRPr="000A40E6">
        <w:rPr>
          <w:rFonts w:cs="Times New Roman"/>
          <w:szCs w:val="24"/>
        </w:rPr>
        <w:t>nin</w:t>
      </w:r>
      <w:r w:rsidR="00FD1DD5" w:rsidRPr="000A40E6">
        <w:rPr>
          <w:rFonts w:cs="Times New Roman"/>
          <w:szCs w:val="24"/>
        </w:rPr>
        <w:t xml:space="preserve">, ortodontik tedavi sırasında dişlerin hareketi ve apareyin ağızda bulunduğu toplam süre ile ilişkili olduğu </w:t>
      </w:r>
      <w:r w:rsidR="00F135FA" w:rsidRPr="000A40E6">
        <w:rPr>
          <w:rFonts w:cs="Times New Roman"/>
          <w:szCs w:val="24"/>
        </w:rPr>
        <w:t xml:space="preserve">da </w:t>
      </w:r>
      <w:r w:rsidR="00FD1DD5" w:rsidRPr="000A40E6">
        <w:rPr>
          <w:rFonts w:cs="Times New Roman"/>
          <w:szCs w:val="24"/>
        </w:rPr>
        <w:t>belirtilmiştir (Perinetti ve diğerleri, 2002). Mishina ve diğerleri</w:t>
      </w:r>
      <w:r w:rsidR="0094743B" w:rsidRPr="000A40E6">
        <w:rPr>
          <w:rFonts w:cs="Times New Roman"/>
          <w:szCs w:val="24"/>
        </w:rPr>
        <w:t xml:space="preserve"> (2004</w:t>
      </w:r>
      <w:r w:rsidR="00334CA2" w:rsidRPr="000A40E6">
        <w:rPr>
          <w:rFonts w:cs="Times New Roman"/>
          <w:szCs w:val="24"/>
        </w:rPr>
        <w:t>)</w:t>
      </w:r>
      <w:r w:rsidR="00FD1DD5" w:rsidRPr="000A40E6">
        <w:rPr>
          <w:rFonts w:cs="Times New Roman"/>
          <w:szCs w:val="24"/>
        </w:rPr>
        <w:t xml:space="preserve">, fareler üzerinde yaptıkları bir çalışmada daha yüksek </w:t>
      </w:r>
      <w:r w:rsidRPr="000A40E6">
        <w:rPr>
          <w:rFonts w:cs="Times New Roman"/>
          <w:szCs w:val="24"/>
        </w:rPr>
        <w:t>B</w:t>
      </w:r>
      <w:r w:rsidR="00FD1DD5" w:rsidRPr="000A40E6">
        <w:rPr>
          <w:rFonts w:cs="Times New Roman"/>
          <w:szCs w:val="24"/>
        </w:rPr>
        <w:t>ALP aktivitelerinin aktif kemik oluşumuyla ilişkili olduğunu ifade etmişlerdir</w:t>
      </w:r>
      <w:r w:rsidR="00334CA2" w:rsidRPr="000A40E6">
        <w:rPr>
          <w:rFonts w:cs="Times New Roman"/>
          <w:szCs w:val="24"/>
        </w:rPr>
        <w:t>.</w:t>
      </w:r>
    </w:p>
    <w:p w14:paraId="73DF9DAE" w14:textId="67228942" w:rsidR="00FD1DD5" w:rsidRPr="000A40E6" w:rsidRDefault="00FD1DD5" w:rsidP="00F756C3">
      <w:pPr>
        <w:suppressAutoHyphens/>
        <w:spacing w:after="120"/>
        <w:rPr>
          <w:rFonts w:cs="Times New Roman"/>
          <w:szCs w:val="24"/>
        </w:rPr>
      </w:pPr>
      <w:r w:rsidRPr="000A40E6">
        <w:rPr>
          <w:rFonts w:cs="Times New Roman"/>
          <w:szCs w:val="24"/>
        </w:rPr>
        <w:t xml:space="preserve">Ayrıca ACP, kemik gibi dokularda mineral deformasyon süreçlerinde yer aldığı düşünülen bir enzimdir. Osteoklastlar ve makrofajlar gibi rezorbe edici hücrelerin yüksek ACP aktivitelerine sahip olduğu gösterilmiştir (Keeling ve diğerleri, 1993). </w:t>
      </w:r>
      <w:proofErr w:type="gramStart"/>
      <w:r w:rsidRPr="000A40E6">
        <w:rPr>
          <w:rFonts w:cs="Times New Roman"/>
          <w:szCs w:val="24"/>
          <w:lang w:val="en-GB"/>
        </w:rPr>
        <w:t xml:space="preserve">Dokulardaki ACP ve </w:t>
      </w:r>
      <w:r w:rsidR="00AA55DE" w:rsidRPr="000A40E6">
        <w:rPr>
          <w:rFonts w:cs="Times New Roman"/>
          <w:szCs w:val="24"/>
          <w:lang w:val="en-GB"/>
        </w:rPr>
        <w:t>B</w:t>
      </w:r>
      <w:r w:rsidRPr="000A40E6">
        <w:rPr>
          <w:rFonts w:cs="Times New Roman"/>
          <w:szCs w:val="24"/>
          <w:lang w:val="en-GB"/>
        </w:rPr>
        <w:t>ALP aktivitesinin izlenmesi, kemik döngüsünü değerlendirme</w:t>
      </w:r>
      <w:r w:rsidR="007B1481" w:rsidRPr="000A40E6">
        <w:rPr>
          <w:rFonts w:cs="Times New Roman"/>
          <w:szCs w:val="24"/>
          <w:lang w:val="en-GB"/>
        </w:rPr>
        <w:t>de etkili bir yöntemdir</w:t>
      </w:r>
      <w:r w:rsidRPr="000A40E6">
        <w:rPr>
          <w:rFonts w:cs="Times New Roman"/>
          <w:szCs w:val="24"/>
          <w:lang w:val="en-GB"/>
        </w:rPr>
        <w:t>.</w:t>
      </w:r>
      <w:proofErr w:type="gramEnd"/>
      <w:r w:rsidRPr="000A40E6">
        <w:rPr>
          <w:rFonts w:cs="Times New Roman"/>
          <w:szCs w:val="24"/>
          <w:lang w:val="en-GB"/>
        </w:rPr>
        <w:t xml:space="preserve"> </w:t>
      </w:r>
      <w:proofErr w:type="gramStart"/>
      <w:r w:rsidRPr="000A40E6">
        <w:rPr>
          <w:rFonts w:cs="Times New Roman"/>
          <w:szCs w:val="24"/>
          <w:lang w:val="en-GB"/>
        </w:rPr>
        <w:t xml:space="preserve">Kemik rezorpsiyonu ACP aktivitesinde yükselmelere neden olurken, kemik oluşumu daha yüksek </w:t>
      </w:r>
      <w:r w:rsidR="00AA55DE" w:rsidRPr="000A40E6">
        <w:rPr>
          <w:rFonts w:cs="Times New Roman"/>
          <w:szCs w:val="24"/>
          <w:lang w:val="en-GB"/>
        </w:rPr>
        <w:t>B</w:t>
      </w:r>
      <w:r w:rsidRPr="000A40E6">
        <w:rPr>
          <w:rFonts w:cs="Times New Roman"/>
          <w:szCs w:val="24"/>
          <w:lang w:val="en-GB"/>
        </w:rPr>
        <w:t>ALP aktivitesi ile ilişkilidir.</w:t>
      </w:r>
      <w:proofErr w:type="gramEnd"/>
      <w:r w:rsidRPr="000A40E6">
        <w:rPr>
          <w:rFonts w:cs="Times New Roman"/>
          <w:szCs w:val="24"/>
          <w:lang w:val="en-GB"/>
        </w:rPr>
        <w:t xml:space="preserve"> </w:t>
      </w:r>
      <w:proofErr w:type="gramStart"/>
      <w:r w:rsidRPr="000A40E6">
        <w:rPr>
          <w:rFonts w:cs="Times New Roman"/>
          <w:szCs w:val="24"/>
          <w:lang w:val="en-GB"/>
        </w:rPr>
        <w:t xml:space="preserve">Tipik olarak, erken diş hareketi sırasında </w:t>
      </w:r>
      <w:r w:rsidR="00AA55DE" w:rsidRPr="000A40E6">
        <w:rPr>
          <w:rFonts w:cs="Times New Roman"/>
          <w:szCs w:val="24"/>
          <w:lang w:val="en-GB"/>
        </w:rPr>
        <w:t>B</w:t>
      </w:r>
      <w:r w:rsidRPr="000A40E6">
        <w:rPr>
          <w:rFonts w:cs="Times New Roman"/>
          <w:szCs w:val="24"/>
          <w:lang w:val="en-GB"/>
        </w:rPr>
        <w:t>ALP yükselirken, ACP artışı diş hareketinin sonraki aşamalarına eşlik etmektedir (</w:t>
      </w:r>
      <w:r w:rsidRPr="000A40E6">
        <w:rPr>
          <w:rFonts w:cs="Times New Roman"/>
          <w:szCs w:val="24"/>
        </w:rPr>
        <w:t>Insoft ve diğerleri, 1996)</w:t>
      </w:r>
      <w:r w:rsidRPr="000A40E6">
        <w:rPr>
          <w:rFonts w:cs="Times New Roman"/>
          <w:szCs w:val="24"/>
          <w:lang w:val="en-GB"/>
        </w:rPr>
        <w:t>.</w:t>
      </w:r>
      <w:proofErr w:type="gramEnd"/>
    </w:p>
    <w:p w14:paraId="64B1076E" w14:textId="77777777" w:rsidR="00FD1DD5" w:rsidRPr="000A40E6" w:rsidRDefault="00FD1DD5" w:rsidP="00F756C3">
      <w:pPr>
        <w:suppressAutoHyphens/>
        <w:spacing w:after="120"/>
        <w:rPr>
          <w:rFonts w:cs="Times New Roman"/>
          <w:szCs w:val="24"/>
        </w:rPr>
      </w:pPr>
    </w:p>
    <w:p w14:paraId="76770476" w14:textId="26D92D70" w:rsidR="00FD1DD5" w:rsidRPr="000A40E6" w:rsidRDefault="00FD1DD5" w:rsidP="00F756C3">
      <w:pPr>
        <w:suppressAutoHyphens/>
        <w:spacing w:after="120"/>
        <w:ind w:firstLine="0"/>
        <w:rPr>
          <w:rFonts w:cs="Times New Roman"/>
          <w:b/>
          <w:szCs w:val="24"/>
        </w:rPr>
      </w:pPr>
      <w:bookmarkStart w:id="64" w:name="_Toc136443406"/>
      <w:r w:rsidRPr="000A40E6">
        <w:rPr>
          <w:rFonts w:cs="Times New Roman"/>
          <w:b/>
          <w:szCs w:val="24"/>
        </w:rPr>
        <w:t>2.4.2.3.2. RANK/RANKL/Osteoprotegerin (OPG) Sistemi</w:t>
      </w:r>
      <w:bookmarkEnd w:id="64"/>
    </w:p>
    <w:p w14:paraId="4EF32C96" w14:textId="77777777" w:rsidR="00FD1DD5" w:rsidRPr="000A40E6" w:rsidRDefault="00FD1DD5" w:rsidP="00F756C3">
      <w:pPr>
        <w:suppressAutoHyphens/>
        <w:spacing w:after="120"/>
        <w:rPr>
          <w:rFonts w:cs="Times New Roman"/>
          <w:b/>
          <w:szCs w:val="24"/>
        </w:rPr>
      </w:pPr>
    </w:p>
    <w:p w14:paraId="62024AEF" w14:textId="32F88A4F" w:rsidR="00FD1DD5" w:rsidRPr="000A40E6" w:rsidRDefault="00FD1DD5" w:rsidP="00F756C3">
      <w:pPr>
        <w:suppressAutoHyphens/>
        <w:spacing w:after="120"/>
        <w:rPr>
          <w:rFonts w:cs="Times New Roman"/>
          <w:szCs w:val="24"/>
          <w:lang w:val="en-GB"/>
        </w:rPr>
      </w:pPr>
      <w:proofErr w:type="gramStart"/>
      <w:r w:rsidRPr="000A40E6">
        <w:rPr>
          <w:rFonts w:cs="Times New Roman"/>
          <w:szCs w:val="24"/>
          <w:lang w:val="en-GB"/>
        </w:rPr>
        <w:t>RANKL, birçok hormon ve sitokinin osteorezorptif etkilerini üretmesini sağlayan, osteoklast oluşumu ve aktivasyonunun düzenleyicisidir (</w:t>
      </w:r>
      <w:r w:rsidRPr="000A40E6">
        <w:rPr>
          <w:rFonts w:cs="Times New Roman"/>
          <w:szCs w:val="24"/>
        </w:rPr>
        <w:t>Nakano ve diğerleri, 2011)</w:t>
      </w:r>
      <w:r w:rsidRPr="000A40E6">
        <w:rPr>
          <w:rFonts w:cs="Times New Roman"/>
          <w:szCs w:val="24"/>
          <w:lang w:val="en-GB"/>
        </w:rPr>
        <w:t>.</w:t>
      </w:r>
      <w:proofErr w:type="gramEnd"/>
      <w:r w:rsidRPr="000A40E6">
        <w:rPr>
          <w:rFonts w:cs="Times New Roman"/>
          <w:szCs w:val="24"/>
          <w:lang w:val="en-GB"/>
        </w:rPr>
        <w:t xml:space="preserve"> RANKL, osteoblast hücre dizisinde eksprese edilir ve etkisini osteoklast hücre dizisindeki RANK reseptörüne bağlanarak gösterir. </w:t>
      </w:r>
      <w:proofErr w:type="gramStart"/>
      <w:r w:rsidRPr="000A40E6">
        <w:rPr>
          <w:rFonts w:cs="Times New Roman"/>
          <w:szCs w:val="24"/>
          <w:lang w:val="en-GB"/>
        </w:rPr>
        <w:t>Bu bağlanma, hematopoetik osteoklast öncüllerinin olgun osteoklastlara hızlı bir şekilde farklılaşmasına yol açar.</w:t>
      </w:r>
      <w:proofErr w:type="gramEnd"/>
      <w:r w:rsidRPr="000A40E6">
        <w:rPr>
          <w:rFonts w:cs="Times New Roman"/>
          <w:szCs w:val="24"/>
          <w:lang w:val="en-GB"/>
        </w:rPr>
        <w:t xml:space="preserve"> OPG, RANKL’a bağlanması için RANK ile rekabet </w:t>
      </w:r>
      <w:proofErr w:type="gramStart"/>
      <w:r w:rsidRPr="000A40E6">
        <w:rPr>
          <w:rFonts w:cs="Times New Roman"/>
          <w:szCs w:val="24"/>
          <w:lang w:val="en-GB"/>
        </w:rPr>
        <w:t>eden</w:t>
      </w:r>
      <w:proofErr w:type="gramEnd"/>
      <w:r w:rsidRPr="000A40E6">
        <w:rPr>
          <w:rFonts w:cs="Times New Roman"/>
          <w:szCs w:val="24"/>
          <w:lang w:val="en-GB"/>
        </w:rPr>
        <w:t xml:space="preserve"> osteoblastik hücreler tarafından üretilen bir tuzak reseptördür. </w:t>
      </w:r>
      <w:proofErr w:type="gramStart"/>
      <w:r w:rsidRPr="000A40E6">
        <w:rPr>
          <w:rFonts w:cs="Times New Roman"/>
          <w:szCs w:val="24"/>
          <w:lang w:val="en-GB"/>
        </w:rPr>
        <w:t>OPG'nin kemik hücreleri üzerindeki biyolojik etkileri; osteoklast farklılaşmasının son aşamalarının inhibisyonu, matris osteoklastlarının aktivasyonunun baskılanması ve apo</w:t>
      </w:r>
      <w:r w:rsidR="00052F3E" w:rsidRPr="000A40E6">
        <w:rPr>
          <w:rFonts w:cs="Times New Roman"/>
          <w:szCs w:val="24"/>
          <w:lang w:val="en-GB"/>
        </w:rPr>
        <w:t>ptozun indüklenmesidir.</w:t>
      </w:r>
      <w:proofErr w:type="gramEnd"/>
      <w:r w:rsidR="00052F3E" w:rsidRPr="000A40E6">
        <w:rPr>
          <w:rFonts w:cs="Times New Roman"/>
          <w:szCs w:val="24"/>
          <w:lang w:val="en-GB"/>
        </w:rPr>
        <w:t xml:space="preserve"> </w:t>
      </w:r>
      <w:proofErr w:type="gramStart"/>
      <w:r w:rsidR="00052F3E" w:rsidRPr="000A40E6">
        <w:rPr>
          <w:rFonts w:cs="Times New Roman"/>
          <w:szCs w:val="24"/>
          <w:lang w:val="en-GB"/>
        </w:rPr>
        <w:t>Böylece</w:t>
      </w:r>
      <w:r w:rsidRPr="000A40E6">
        <w:rPr>
          <w:rFonts w:cs="Times New Roman"/>
          <w:szCs w:val="24"/>
          <w:lang w:val="en-GB"/>
        </w:rPr>
        <w:t xml:space="preserve"> kemiğin remodelingi, RANK/RANKL bağlanması ve OPG üretimi arasındaki bir denge ile kontrol edilir.</w:t>
      </w:r>
      <w:proofErr w:type="gramEnd"/>
      <w:r w:rsidRPr="000A40E6">
        <w:rPr>
          <w:rFonts w:cs="Times New Roman"/>
          <w:szCs w:val="24"/>
          <w:lang w:val="en-GB"/>
        </w:rPr>
        <w:t xml:space="preserve"> </w:t>
      </w:r>
      <w:r w:rsidRPr="000A40E6">
        <w:rPr>
          <w:rFonts w:cs="Times New Roman"/>
          <w:szCs w:val="24"/>
        </w:rPr>
        <w:t>(d’Apuzzo ve diğerleri, 2013).</w:t>
      </w:r>
    </w:p>
    <w:p w14:paraId="0D01A7DE" w14:textId="03DED0AB" w:rsidR="00FD1DD5" w:rsidRPr="000A40E6" w:rsidRDefault="00FD1DD5" w:rsidP="00F756C3">
      <w:pPr>
        <w:suppressAutoHyphens/>
        <w:spacing w:after="120"/>
        <w:rPr>
          <w:rFonts w:cs="Times New Roman"/>
          <w:szCs w:val="24"/>
          <w:lang w:val="en-GB"/>
        </w:rPr>
      </w:pPr>
      <w:r w:rsidRPr="000A40E6">
        <w:rPr>
          <w:rFonts w:cs="Times New Roman"/>
          <w:szCs w:val="24"/>
          <w:lang w:val="en-GB"/>
        </w:rPr>
        <w:t xml:space="preserve">RANK reseptör aktivatörünün, öncü hücrelerden osteoklastik oluşumu uyardığı bilinmektedir. RANK ve reseptörlerinin, yani OPG ve RANKL reseptör aktivatörünün rolü, kemiğin remodeling sürecinde çok önemlidir. Ortodontik diş hareketi sırasında RANKL, RANK'a bağlanarak diş hareketinin gerçekleştiği yöndeki basınç alanlarında osteoklastların oluşumunda ve korunmasında rol oynar. </w:t>
      </w:r>
      <w:proofErr w:type="gramStart"/>
      <w:r w:rsidRPr="000A40E6">
        <w:rPr>
          <w:rFonts w:cs="Times New Roman"/>
          <w:szCs w:val="24"/>
          <w:lang w:val="en-GB"/>
        </w:rPr>
        <w:t>Ortodontik kuvvet uygulanmasından 24 saat sonra kemik rezorpsiyonunu düşündüren RANKL-RANK seviyesinde artış ve OPG seviyesinde düşüş gözlemlenmiştir (</w:t>
      </w:r>
      <w:r w:rsidRPr="000A40E6">
        <w:rPr>
          <w:rFonts w:cs="Times New Roman"/>
          <w:szCs w:val="24"/>
        </w:rPr>
        <w:t>Nishijima ve diğerleri, 2006;</w:t>
      </w:r>
      <w:r w:rsidRPr="000A40E6">
        <w:rPr>
          <w:rFonts w:cs="Times New Roman"/>
          <w:szCs w:val="24"/>
          <w:lang w:val="en-GB"/>
        </w:rPr>
        <w:t xml:space="preserve"> </w:t>
      </w:r>
      <w:r w:rsidRPr="000A40E6">
        <w:rPr>
          <w:rFonts w:cs="Times New Roman"/>
          <w:szCs w:val="24"/>
        </w:rPr>
        <w:t>Kawasaki ve diğerleri, 2006)</w:t>
      </w:r>
      <w:r w:rsidRPr="000A40E6">
        <w:rPr>
          <w:rFonts w:cs="Times New Roman"/>
          <w:szCs w:val="24"/>
          <w:lang w:val="en-GB"/>
        </w:rPr>
        <w:t>.</w:t>
      </w:r>
      <w:proofErr w:type="gramEnd"/>
    </w:p>
    <w:p w14:paraId="1391987D" w14:textId="585C2256" w:rsidR="00FD1DD5" w:rsidRPr="000A40E6" w:rsidRDefault="005C4D5A" w:rsidP="00F756C3">
      <w:pPr>
        <w:suppressAutoHyphens/>
        <w:spacing w:after="120"/>
        <w:rPr>
          <w:rFonts w:cs="Times New Roman"/>
          <w:szCs w:val="24"/>
        </w:rPr>
      </w:pPr>
      <w:r w:rsidRPr="000A40E6">
        <w:rPr>
          <w:rFonts w:cs="Times New Roman"/>
          <w:szCs w:val="24"/>
          <w:lang w:val="en-GB"/>
        </w:rPr>
        <w:t>Kanzaki ve diğerleri (2004)</w:t>
      </w:r>
      <w:proofErr w:type="gramStart"/>
      <w:r w:rsidRPr="000A40E6">
        <w:rPr>
          <w:rFonts w:cs="Times New Roman"/>
          <w:szCs w:val="24"/>
          <w:lang w:val="en-GB"/>
        </w:rPr>
        <w:t>’nin</w:t>
      </w:r>
      <w:proofErr w:type="gramEnd"/>
      <w:r w:rsidRPr="000A40E6">
        <w:rPr>
          <w:rFonts w:cs="Times New Roman"/>
          <w:szCs w:val="24"/>
          <w:lang w:val="en-GB"/>
        </w:rPr>
        <w:t>,</w:t>
      </w:r>
      <w:r w:rsidR="00FD1DD5" w:rsidRPr="000A40E6">
        <w:rPr>
          <w:rFonts w:cs="Times New Roman"/>
          <w:szCs w:val="24"/>
          <w:lang w:val="en-GB"/>
        </w:rPr>
        <w:t xml:space="preserve"> fareler üzerinde yaptıkları bir çalışmada OPG gen transferinin periodontal dokularda RANKL aracılı osteoklastogenezi inhibe ettiğini ve diş ha</w:t>
      </w:r>
      <w:r w:rsidRPr="000A40E6">
        <w:rPr>
          <w:rFonts w:cs="Times New Roman"/>
          <w:szCs w:val="24"/>
          <w:lang w:val="en-GB"/>
        </w:rPr>
        <w:t>reketi ürettiğini bildirmiştir</w:t>
      </w:r>
      <w:r w:rsidR="00FD1DD5" w:rsidRPr="000A40E6">
        <w:rPr>
          <w:rFonts w:cs="Times New Roman"/>
          <w:szCs w:val="24"/>
          <w:lang w:val="en-GB"/>
        </w:rPr>
        <w:t xml:space="preserve">. </w:t>
      </w:r>
      <w:proofErr w:type="gramStart"/>
      <w:r w:rsidR="00FD1DD5" w:rsidRPr="000A40E6">
        <w:rPr>
          <w:rFonts w:cs="Times New Roman"/>
          <w:szCs w:val="24"/>
          <w:lang w:val="en-GB"/>
        </w:rPr>
        <w:t>Bu bulgu, ortodontik tedaviye ek olarak biyolojik bir ajanın kullanılmasının potansiyel değerini göstermektedir.</w:t>
      </w:r>
      <w:proofErr w:type="gramEnd"/>
      <w:r w:rsidR="00FD1DD5" w:rsidRPr="000A40E6">
        <w:rPr>
          <w:rFonts w:cs="Times New Roman"/>
          <w:szCs w:val="24"/>
          <w:lang w:val="en-GB"/>
        </w:rPr>
        <w:t xml:space="preserve"> </w:t>
      </w:r>
      <w:proofErr w:type="gramStart"/>
      <w:r w:rsidR="00FD1DD5" w:rsidRPr="000A40E6">
        <w:rPr>
          <w:rFonts w:cs="Times New Roman"/>
          <w:szCs w:val="24"/>
          <w:lang w:val="en-GB"/>
        </w:rPr>
        <w:t xml:space="preserve">Bu nedenle, osteoklast farklılaşmasını düzenleyen RANKL’ın aktivitesinin baskılanması ile, ortodontik tedavi sırasında ankraj dişlerin hareketini ve tedavi sonrası dönemde nüksü önlemede etkili olabileceği düşünülmektedir </w:t>
      </w:r>
      <w:r w:rsidR="00FD1DD5" w:rsidRPr="000A40E6">
        <w:rPr>
          <w:rFonts w:cs="Times New Roman"/>
          <w:szCs w:val="24"/>
        </w:rPr>
        <w:t>(d’Apuzzo ve diğerleri, 2013).</w:t>
      </w:r>
      <w:proofErr w:type="gramEnd"/>
    </w:p>
    <w:p w14:paraId="5393A6A9" w14:textId="77777777" w:rsidR="00B962B0" w:rsidRPr="000A40E6" w:rsidRDefault="00B962B0" w:rsidP="00F756C3">
      <w:pPr>
        <w:suppressAutoHyphens/>
        <w:spacing w:after="120"/>
        <w:rPr>
          <w:rFonts w:cs="Times New Roman"/>
          <w:szCs w:val="24"/>
        </w:rPr>
      </w:pPr>
    </w:p>
    <w:p w14:paraId="626D8486" w14:textId="77777777" w:rsidR="00B962B0" w:rsidRPr="000A40E6" w:rsidRDefault="00B962B0" w:rsidP="00F756C3">
      <w:pPr>
        <w:suppressAutoHyphens/>
        <w:spacing w:after="120"/>
        <w:rPr>
          <w:rFonts w:cs="Times New Roman"/>
          <w:szCs w:val="24"/>
        </w:rPr>
      </w:pPr>
    </w:p>
    <w:p w14:paraId="1E81EE6F" w14:textId="77777777" w:rsidR="00B962B0" w:rsidRPr="000A40E6" w:rsidRDefault="00B962B0" w:rsidP="00F756C3">
      <w:pPr>
        <w:suppressAutoHyphens/>
        <w:spacing w:after="120"/>
        <w:rPr>
          <w:rFonts w:cs="Times New Roman"/>
          <w:szCs w:val="24"/>
        </w:rPr>
      </w:pPr>
    </w:p>
    <w:p w14:paraId="79A4E56C" w14:textId="77777777" w:rsidR="00B962B0" w:rsidRPr="000A40E6" w:rsidRDefault="00B962B0" w:rsidP="00F756C3">
      <w:pPr>
        <w:suppressAutoHyphens/>
        <w:spacing w:after="120"/>
        <w:rPr>
          <w:rFonts w:cs="Times New Roman"/>
          <w:szCs w:val="24"/>
        </w:rPr>
      </w:pPr>
    </w:p>
    <w:p w14:paraId="46025CEA" w14:textId="77777777" w:rsidR="00B962B0" w:rsidRPr="000A40E6" w:rsidRDefault="00B962B0" w:rsidP="00F756C3">
      <w:pPr>
        <w:suppressAutoHyphens/>
        <w:spacing w:after="120"/>
        <w:rPr>
          <w:rFonts w:cs="Times New Roman"/>
          <w:szCs w:val="24"/>
        </w:rPr>
      </w:pPr>
    </w:p>
    <w:p w14:paraId="63B36070" w14:textId="77777777" w:rsidR="00B962B0" w:rsidRPr="000A40E6" w:rsidRDefault="00B962B0" w:rsidP="00F756C3">
      <w:pPr>
        <w:suppressAutoHyphens/>
        <w:spacing w:after="120"/>
        <w:rPr>
          <w:rFonts w:cs="Times New Roman"/>
          <w:szCs w:val="24"/>
        </w:rPr>
      </w:pPr>
    </w:p>
    <w:p w14:paraId="738783F3" w14:textId="77777777" w:rsidR="00B962B0" w:rsidRPr="000A40E6" w:rsidRDefault="00B962B0" w:rsidP="00F756C3">
      <w:pPr>
        <w:suppressAutoHyphens/>
        <w:spacing w:after="120"/>
        <w:rPr>
          <w:rFonts w:cs="Times New Roman"/>
          <w:szCs w:val="24"/>
        </w:rPr>
      </w:pPr>
    </w:p>
    <w:p w14:paraId="201095D1" w14:textId="77777777" w:rsidR="00657470" w:rsidRPr="000A40E6" w:rsidRDefault="00657470" w:rsidP="00F756C3">
      <w:pPr>
        <w:suppressAutoHyphens/>
        <w:spacing w:after="120"/>
        <w:rPr>
          <w:rFonts w:cs="Times New Roman"/>
          <w:szCs w:val="24"/>
        </w:rPr>
      </w:pPr>
    </w:p>
    <w:p w14:paraId="37503769" w14:textId="17BE9EE4" w:rsidR="000C2659" w:rsidRPr="000A40E6" w:rsidRDefault="000C2659" w:rsidP="00F756C3">
      <w:pPr>
        <w:suppressAutoHyphens/>
        <w:spacing w:after="200" w:line="276" w:lineRule="auto"/>
        <w:ind w:firstLine="0"/>
        <w:jc w:val="left"/>
        <w:rPr>
          <w:rFonts w:cs="Times New Roman"/>
          <w:szCs w:val="24"/>
        </w:rPr>
      </w:pPr>
      <w:r w:rsidRPr="000A40E6">
        <w:rPr>
          <w:rFonts w:cs="Times New Roman"/>
          <w:szCs w:val="24"/>
        </w:rPr>
        <w:br w:type="page"/>
      </w:r>
    </w:p>
    <w:p w14:paraId="1136128E" w14:textId="77777777" w:rsidR="007E55E8" w:rsidRPr="000A40E6" w:rsidRDefault="00E95407" w:rsidP="00F756C3">
      <w:pPr>
        <w:suppressAutoHyphens/>
        <w:spacing w:after="120"/>
        <w:ind w:firstLine="0"/>
        <w:jc w:val="center"/>
        <w:rPr>
          <w:rFonts w:cs="Times New Roman"/>
          <w:b/>
          <w:sz w:val="28"/>
          <w:szCs w:val="24"/>
        </w:rPr>
      </w:pPr>
      <w:bookmarkStart w:id="65" w:name="_Toc136443407"/>
      <w:r w:rsidRPr="000A40E6">
        <w:rPr>
          <w:rFonts w:cs="Times New Roman"/>
          <w:b/>
          <w:sz w:val="28"/>
          <w:szCs w:val="24"/>
        </w:rPr>
        <w:t>3. GEREÇ VE YÖNTEM</w:t>
      </w:r>
      <w:bookmarkEnd w:id="65"/>
    </w:p>
    <w:p w14:paraId="62727A45" w14:textId="77777777" w:rsidR="007E55E8" w:rsidRPr="000A40E6" w:rsidRDefault="007E55E8" w:rsidP="00F756C3">
      <w:pPr>
        <w:suppressAutoHyphens/>
        <w:spacing w:after="120"/>
        <w:ind w:firstLine="0"/>
        <w:jc w:val="center"/>
        <w:rPr>
          <w:rFonts w:cs="Times New Roman"/>
          <w:b/>
          <w:szCs w:val="24"/>
        </w:rPr>
      </w:pPr>
    </w:p>
    <w:p w14:paraId="5CC99B1B" w14:textId="77777777" w:rsidR="007E55E8" w:rsidRPr="000A40E6" w:rsidRDefault="007E55E8" w:rsidP="00F756C3">
      <w:pPr>
        <w:suppressAutoHyphens/>
        <w:spacing w:after="120"/>
        <w:ind w:firstLine="0"/>
        <w:jc w:val="center"/>
        <w:rPr>
          <w:rFonts w:cs="Times New Roman"/>
          <w:b/>
          <w:szCs w:val="24"/>
        </w:rPr>
      </w:pPr>
    </w:p>
    <w:p w14:paraId="3D50462E" w14:textId="77777777" w:rsidR="007E55E8" w:rsidRPr="000A40E6" w:rsidRDefault="007E55E8" w:rsidP="00F756C3">
      <w:pPr>
        <w:suppressAutoHyphens/>
        <w:spacing w:after="120"/>
        <w:ind w:firstLine="0"/>
        <w:rPr>
          <w:rFonts w:cs="Times New Roman"/>
          <w:b/>
          <w:szCs w:val="24"/>
        </w:rPr>
      </w:pPr>
      <w:bookmarkStart w:id="66" w:name="_Toc136443408"/>
      <w:r w:rsidRPr="000A40E6">
        <w:rPr>
          <w:rFonts w:cs="Times New Roman"/>
          <w:b/>
          <w:szCs w:val="24"/>
        </w:rPr>
        <w:t>3.1. Araştırmanın Türü</w:t>
      </w:r>
      <w:bookmarkEnd w:id="66"/>
    </w:p>
    <w:p w14:paraId="4BA137B7" w14:textId="77777777" w:rsidR="007E55E8" w:rsidRPr="000A40E6" w:rsidRDefault="007E55E8" w:rsidP="00F756C3">
      <w:pPr>
        <w:suppressAutoHyphens/>
        <w:spacing w:after="120"/>
        <w:rPr>
          <w:rFonts w:eastAsia="Calibri" w:cs="Times New Roman"/>
          <w:b/>
          <w:szCs w:val="24"/>
        </w:rPr>
      </w:pPr>
    </w:p>
    <w:p w14:paraId="02E33BA1" w14:textId="634D65F5" w:rsidR="007E55E8" w:rsidRPr="000A40E6" w:rsidRDefault="007E55E8" w:rsidP="00F756C3">
      <w:pPr>
        <w:suppressAutoHyphens/>
        <w:spacing w:after="120"/>
        <w:rPr>
          <w:rFonts w:eastAsia="Calibri" w:cs="Times New Roman"/>
          <w:szCs w:val="24"/>
        </w:rPr>
      </w:pPr>
      <w:r w:rsidRPr="000A40E6">
        <w:rPr>
          <w:rFonts w:eastAsia="Calibri" w:cs="Times New Roman"/>
          <w:szCs w:val="24"/>
        </w:rPr>
        <w:t>Bu çalışma</w:t>
      </w:r>
      <w:r w:rsidR="00FC3147" w:rsidRPr="000A40E6">
        <w:rPr>
          <w:rFonts w:eastAsia="Calibri" w:cs="Times New Roman"/>
          <w:szCs w:val="24"/>
        </w:rPr>
        <w:t xml:space="preserve">, </w:t>
      </w:r>
      <w:r w:rsidRPr="000A40E6">
        <w:rPr>
          <w:rFonts w:eastAsia="Times New Roman" w:cs="Times New Roman"/>
          <w:szCs w:val="24"/>
          <w:lang w:eastAsia="tr-TR"/>
        </w:rPr>
        <w:t>pubertal dönemde</w:t>
      </w:r>
      <w:r w:rsidR="009B3AB5" w:rsidRPr="000A40E6">
        <w:rPr>
          <w:rFonts w:eastAsia="Times New Roman" w:cs="Times New Roman"/>
          <w:szCs w:val="24"/>
          <w:lang w:eastAsia="tr-TR"/>
        </w:rPr>
        <w:t xml:space="preserve">ki hastaların RME </w:t>
      </w:r>
      <w:r w:rsidRPr="000A40E6">
        <w:rPr>
          <w:rFonts w:eastAsia="Times New Roman" w:cs="Times New Roman"/>
          <w:szCs w:val="24"/>
          <w:lang w:eastAsia="tr-TR"/>
        </w:rPr>
        <w:t>tedavi</w:t>
      </w:r>
      <w:r w:rsidR="009B3AB5" w:rsidRPr="000A40E6">
        <w:rPr>
          <w:rFonts w:eastAsia="Times New Roman" w:cs="Times New Roman"/>
          <w:szCs w:val="24"/>
          <w:lang w:eastAsia="tr-TR"/>
        </w:rPr>
        <w:t>si sırasında meyda</w:t>
      </w:r>
      <w:r w:rsidR="00BF1461" w:rsidRPr="000A40E6">
        <w:rPr>
          <w:rFonts w:eastAsia="Times New Roman" w:cs="Times New Roman"/>
          <w:szCs w:val="24"/>
          <w:lang w:eastAsia="tr-TR"/>
        </w:rPr>
        <w:t>na gelen kemik yapım ve yıkım</w:t>
      </w:r>
      <w:r w:rsidR="009B3AB5" w:rsidRPr="000A40E6">
        <w:rPr>
          <w:rFonts w:eastAsia="Times New Roman" w:cs="Times New Roman"/>
          <w:szCs w:val="24"/>
          <w:lang w:eastAsia="tr-TR"/>
        </w:rPr>
        <w:t xml:space="preserve"> olay</w:t>
      </w:r>
      <w:r w:rsidR="00B93B38" w:rsidRPr="000A40E6">
        <w:rPr>
          <w:rFonts w:eastAsia="Times New Roman" w:cs="Times New Roman"/>
          <w:szCs w:val="24"/>
          <w:lang w:eastAsia="tr-TR"/>
        </w:rPr>
        <w:t>larını</w:t>
      </w:r>
      <w:r w:rsidR="00BF1461" w:rsidRPr="000A40E6">
        <w:rPr>
          <w:rFonts w:eastAsia="Times New Roman" w:cs="Times New Roman"/>
          <w:szCs w:val="24"/>
          <w:lang w:eastAsia="tr-TR"/>
        </w:rPr>
        <w:t>n</w:t>
      </w:r>
      <w:r w:rsidR="009B3AB5" w:rsidRPr="000A40E6">
        <w:rPr>
          <w:rFonts w:eastAsia="Times New Roman" w:cs="Times New Roman"/>
          <w:szCs w:val="24"/>
          <w:lang w:eastAsia="tr-TR"/>
        </w:rPr>
        <w:t xml:space="preserve"> </w:t>
      </w:r>
      <w:r w:rsidR="00626392" w:rsidRPr="000A40E6">
        <w:rPr>
          <w:rFonts w:eastAsia="Times New Roman" w:cs="Times New Roman"/>
          <w:szCs w:val="24"/>
          <w:lang w:eastAsia="tr-TR"/>
        </w:rPr>
        <w:t>diş eti oluğu sıvısında</w:t>
      </w:r>
      <w:r w:rsidRPr="000A40E6">
        <w:rPr>
          <w:rFonts w:eastAsia="Times New Roman" w:cs="Times New Roman"/>
          <w:szCs w:val="24"/>
          <w:lang w:eastAsia="tr-TR"/>
        </w:rPr>
        <w:t xml:space="preserve"> incelenmesi amacıyla </w:t>
      </w:r>
      <w:r w:rsidR="007E43ED" w:rsidRPr="000A40E6">
        <w:rPr>
          <w:rFonts w:eastAsia="Times New Roman" w:cs="Times New Roman"/>
          <w:szCs w:val="24"/>
          <w:lang w:eastAsia="tr-TR"/>
        </w:rPr>
        <w:t>gözlemsel tanımlayıcı</w:t>
      </w:r>
      <w:r w:rsidR="000F7068" w:rsidRPr="000A40E6">
        <w:rPr>
          <w:rFonts w:eastAsia="Times New Roman" w:cs="Times New Roman"/>
          <w:szCs w:val="24"/>
          <w:lang w:eastAsia="tr-TR"/>
        </w:rPr>
        <w:t xml:space="preserve"> </w:t>
      </w:r>
      <w:r w:rsidRPr="000A40E6">
        <w:rPr>
          <w:rFonts w:eastAsia="Calibri" w:cs="Times New Roman"/>
          <w:szCs w:val="24"/>
        </w:rPr>
        <w:t>prospektif klinik çalışma şeklinde gerçekleştirilmiştir.</w:t>
      </w:r>
    </w:p>
    <w:p w14:paraId="6273424A" w14:textId="77777777" w:rsidR="007E55E8" w:rsidRPr="000A40E6" w:rsidRDefault="007E55E8" w:rsidP="00F756C3">
      <w:pPr>
        <w:suppressAutoHyphens/>
        <w:spacing w:after="120"/>
        <w:rPr>
          <w:rFonts w:eastAsia="Calibri" w:cs="Times New Roman"/>
          <w:szCs w:val="24"/>
        </w:rPr>
      </w:pPr>
    </w:p>
    <w:p w14:paraId="7AC2F091" w14:textId="77777777" w:rsidR="007E55E8" w:rsidRPr="000A40E6" w:rsidRDefault="007E55E8" w:rsidP="00F756C3">
      <w:pPr>
        <w:suppressAutoHyphens/>
        <w:spacing w:after="120"/>
        <w:ind w:firstLine="0"/>
        <w:rPr>
          <w:rFonts w:cs="Times New Roman"/>
          <w:b/>
          <w:szCs w:val="24"/>
        </w:rPr>
      </w:pPr>
      <w:bookmarkStart w:id="67" w:name="_Toc136443409"/>
      <w:r w:rsidRPr="000A40E6">
        <w:rPr>
          <w:rFonts w:cs="Times New Roman"/>
          <w:b/>
          <w:szCs w:val="24"/>
        </w:rPr>
        <w:t>3.2. Hasta Seçimi</w:t>
      </w:r>
      <w:bookmarkEnd w:id="67"/>
    </w:p>
    <w:p w14:paraId="2393D9CC" w14:textId="77777777" w:rsidR="007E55E8" w:rsidRPr="000A40E6" w:rsidRDefault="007E55E8" w:rsidP="00F756C3">
      <w:pPr>
        <w:suppressAutoHyphens/>
        <w:spacing w:after="120"/>
        <w:rPr>
          <w:rFonts w:eastAsia="Calibri" w:cs="Times New Roman"/>
          <w:b/>
          <w:szCs w:val="24"/>
        </w:rPr>
      </w:pPr>
    </w:p>
    <w:p w14:paraId="7A1728F8" w14:textId="2B4D533A" w:rsidR="007E55E8" w:rsidRPr="000A40E6" w:rsidRDefault="007E55E8" w:rsidP="00F756C3">
      <w:pPr>
        <w:suppressAutoHyphens/>
        <w:spacing w:after="120"/>
        <w:rPr>
          <w:rFonts w:cs="Times New Roman"/>
          <w:szCs w:val="24"/>
        </w:rPr>
      </w:pPr>
      <w:r w:rsidRPr="000A40E6">
        <w:rPr>
          <w:rFonts w:eastAsia="Calibri" w:cs="Times New Roman"/>
          <w:szCs w:val="24"/>
        </w:rPr>
        <w:t xml:space="preserve">Bu tez çalışmasına; Aydın Adnan Menderes Üniversitesi Diş Hekimliği Fakültesi Ortodonti Anabilim Dalı’na </w:t>
      </w:r>
      <w:r w:rsidR="007E43ED" w:rsidRPr="000A40E6">
        <w:rPr>
          <w:rFonts w:cs="Times New Roman"/>
          <w:szCs w:val="24"/>
        </w:rPr>
        <w:t>Mart 2021 – Mart</w:t>
      </w:r>
      <w:r w:rsidR="00231129" w:rsidRPr="000A40E6">
        <w:rPr>
          <w:rFonts w:cs="Times New Roman"/>
          <w:szCs w:val="24"/>
        </w:rPr>
        <w:t xml:space="preserve"> 2022</w:t>
      </w:r>
      <w:r w:rsidR="003C37A5" w:rsidRPr="000A40E6">
        <w:rPr>
          <w:rFonts w:cs="Times New Roman"/>
          <w:szCs w:val="24"/>
        </w:rPr>
        <w:t xml:space="preserve"> tarihleri arasında </w:t>
      </w:r>
      <w:r w:rsidRPr="000A40E6">
        <w:rPr>
          <w:rFonts w:eastAsia="Calibri" w:cs="Times New Roman"/>
          <w:szCs w:val="24"/>
        </w:rPr>
        <w:t xml:space="preserve">ortodontik tedavi amacı ile başvuran, </w:t>
      </w:r>
      <w:r w:rsidRPr="000A40E6">
        <w:rPr>
          <w:rFonts w:eastAsia="Times New Roman" w:cs="Times New Roman"/>
          <w:szCs w:val="24"/>
          <w:lang w:eastAsia="tr-TR"/>
        </w:rPr>
        <w:t>maksillasında klinik muayene ile darlık tespit edilen</w:t>
      </w:r>
      <w:r w:rsidR="00FC2E4B" w:rsidRPr="000A40E6">
        <w:rPr>
          <w:rFonts w:eastAsia="Times New Roman" w:cs="Times New Roman"/>
          <w:szCs w:val="24"/>
          <w:lang w:eastAsia="tr-TR"/>
        </w:rPr>
        <w:t xml:space="preserve"> </w:t>
      </w:r>
      <w:r w:rsidRPr="000A40E6">
        <w:rPr>
          <w:rFonts w:eastAsia="Times New Roman" w:cs="Times New Roman"/>
          <w:szCs w:val="24"/>
          <w:lang w:eastAsia="tr-TR"/>
        </w:rPr>
        <w:t xml:space="preserve">pubertal dönemdeki bireyler </w:t>
      </w:r>
      <w:proofErr w:type="gramStart"/>
      <w:r w:rsidRPr="000A40E6">
        <w:rPr>
          <w:rFonts w:eastAsia="Times New Roman" w:cs="Times New Roman"/>
          <w:szCs w:val="24"/>
          <w:lang w:eastAsia="tr-TR"/>
        </w:rPr>
        <w:t>dahil</w:t>
      </w:r>
      <w:proofErr w:type="gramEnd"/>
      <w:r w:rsidRPr="000A40E6">
        <w:rPr>
          <w:rFonts w:eastAsia="Times New Roman" w:cs="Times New Roman"/>
          <w:szCs w:val="24"/>
          <w:lang w:eastAsia="tr-TR"/>
        </w:rPr>
        <w:t xml:space="preserve"> edilmiştir.</w:t>
      </w:r>
      <w:r w:rsidR="00D63DDF" w:rsidRPr="000A40E6">
        <w:rPr>
          <w:rFonts w:eastAsia="Times New Roman" w:cs="Times New Roman"/>
          <w:szCs w:val="24"/>
          <w:lang w:eastAsia="tr-TR"/>
        </w:rPr>
        <w:t xml:space="preserve"> </w:t>
      </w:r>
      <w:r w:rsidR="00753B67" w:rsidRPr="000A40E6">
        <w:rPr>
          <w:rFonts w:eastAsia="Times New Roman" w:cs="Times New Roman"/>
          <w:szCs w:val="24"/>
          <w:lang w:eastAsia="tr-TR"/>
        </w:rPr>
        <w:t xml:space="preserve">Çalışmada </w:t>
      </w:r>
      <w:r w:rsidR="00D10BCA" w:rsidRPr="000A40E6">
        <w:rPr>
          <w:rFonts w:eastAsia="Times New Roman" w:cs="Times New Roman"/>
          <w:szCs w:val="24"/>
          <w:lang w:eastAsia="tr-TR"/>
        </w:rPr>
        <w:t>yaşları 12 ile 15 arasında değişen, 15’i kız 8’i erkek toplam 23 birey</w:t>
      </w:r>
      <w:r w:rsidR="00753B67" w:rsidRPr="000A40E6">
        <w:rPr>
          <w:rFonts w:eastAsia="Times New Roman" w:cs="Times New Roman"/>
          <w:szCs w:val="24"/>
          <w:lang w:eastAsia="tr-TR"/>
        </w:rPr>
        <w:t xml:space="preserve"> yer almıştır.</w:t>
      </w:r>
    </w:p>
    <w:p w14:paraId="395295CE" w14:textId="2711AE1A" w:rsidR="00574CD5" w:rsidRPr="000A40E6" w:rsidRDefault="007E55E8" w:rsidP="00F756C3">
      <w:pPr>
        <w:suppressAutoHyphens/>
        <w:spacing w:after="120"/>
        <w:rPr>
          <w:rFonts w:eastAsia="Times New Roman" w:cs="Times New Roman"/>
          <w:szCs w:val="24"/>
          <w:lang w:eastAsia="tr-TR"/>
        </w:rPr>
      </w:pPr>
      <w:r w:rsidRPr="000A40E6">
        <w:rPr>
          <w:rFonts w:eastAsia="Times New Roman" w:cs="Times New Roman"/>
          <w:szCs w:val="24"/>
          <w:lang w:eastAsia="tr-TR"/>
        </w:rPr>
        <w:t xml:space="preserve">Çalışmanın örneklem hacmini hesaplamak için gerekli olan kısmi eta kare değeri ilgili </w:t>
      </w:r>
      <w:proofErr w:type="gramStart"/>
      <w:r w:rsidRPr="000A40E6">
        <w:rPr>
          <w:rFonts w:eastAsia="Times New Roman" w:cs="Times New Roman"/>
          <w:szCs w:val="24"/>
          <w:lang w:eastAsia="tr-TR"/>
        </w:rPr>
        <w:t>literatürde</w:t>
      </w:r>
      <w:proofErr w:type="gramEnd"/>
      <w:r w:rsidRPr="000A40E6">
        <w:rPr>
          <w:rFonts w:eastAsia="Times New Roman" w:cs="Times New Roman"/>
          <w:szCs w:val="24"/>
          <w:lang w:eastAsia="tr-TR"/>
        </w:rPr>
        <w:t xml:space="preserve"> yer almadığı için orta dereceli etki genişliğini temsil eden eta kare (0.06) kullanılmıştır. Buna göre, 4 tekrarlı ölçüm için tip 1 hata 0.05, tip 2 hata 0.20 ve etki genişliği </w:t>
      </w:r>
      <w:proofErr w:type="gramStart"/>
      <w:r w:rsidRPr="000A40E6">
        <w:rPr>
          <w:rFonts w:eastAsia="Times New Roman" w:cs="Times New Roman"/>
          <w:szCs w:val="24"/>
          <w:lang w:eastAsia="tr-TR"/>
        </w:rPr>
        <w:t>0.2526</w:t>
      </w:r>
      <w:proofErr w:type="gramEnd"/>
      <w:r w:rsidRPr="000A40E6">
        <w:rPr>
          <w:rFonts w:eastAsia="Times New Roman" w:cs="Times New Roman"/>
          <w:szCs w:val="24"/>
          <w:lang w:eastAsia="tr-TR"/>
        </w:rPr>
        <w:t xml:space="preserve"> alınarak gerekli hasta sayısı 23 olarak hesaplanmıştır.</w:t>
      </w:r>
    </w:p>
    <w:p w14:paraId="3049D734" w14:textId="77777777" w:rsidR="007E55E8" w:rsidRPr="000A40E6" w:rsidRDefault="007E55E8" w:rsidP="00F756C3">
      <w:pPr>
        <w:suppressAutoHyphens/>
        <w:spacing w:after="120"/>
        <w:rPr>
          <w:rFonts w:eastAsia="Calibri" w:cs="Times New Roman"/>
          <w:szCs w:val="24"/>
        </w:rPr>
      </w:pPr>
      <w:r w:rsidRPr="000A40E6">
        <w:rPr>
          <w:rFonts w:eastAsia="Calibri" w:cs="Times New Roman"/>
          <w:szCs w:val="24"/>
        </w:rPr>
        <w:t>Ça</w:t>
      </w:r>
      <w:r w:rsidR="00474B82" w:rsidRPr="000A40E6">
        <w:rPr>
          <w:rFonts w:eastAsia="Calibri" w:cs="Times New Roman"/>
          <w:szCs w:val="24"/>
        </w:rPr>
        <w:t xml:space="preserve">lışmaya </w:t>
      </w:r>
      <w:proofErr w:type="gramStart"/>
      <w:r w:rsidR="00474B82" w:rsidRPr="000A40E6">
        <w:rPr>
          <w:rFonts w:eastAsia="Calibri" w:cs="Times New Roman"/>
          <w:szCs w:val="24"/>
        </w:rPr>
        <w:t>dahil</w:t>
      </w:r>
      <w:proofErr w:type="gramEnd"/>
      <w:r w:rsidR="00474B82" w:rsidRPr="000A40E6">
        <w:rPr>
          <w:rFonts w:eastAsia="Calibri" w:cs="Times New Roman"/>
          <w:szCs w:val="24"/>
        </w:rPr>
        <w:t xml:space="preserve"> edilme kriterleri;</w:t>
      </w:r>
    </w:p>
    <w:p w14:paraId="1BD1B7CA" w14:textId="76803828"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Transversal maksiller yetersizlik</w:t>
      </w:r>
      <w:r w:rsidR="00533EE6" w:rsidRPr="000A40E6">
        <w:rPr>
          <w:rFonts w:cs="Times New Roman"/>
          <w:szCs w:val="24"/>
        </w:rPr>
        <w:t xml:space="preserve"> </w:t>
      </w:r>
      <w:r w:rsidR="00256F87" w:rsidRPr="000A40E6">
        <w:rPr>
          <w:rFonts w:eastAsia="Times New Roman" w:cs="Times New Roman"/>
          <w:szCs w:val="24"/>
          <w:lang w:eastAsia="tr-TR"/>
        </w:rPr>
        <w:t>(</w:t>
      </w:r>
      <w:r w:rsidR="00062138" w:rsidRPr="000A40E6">
        <w:rPr>
          <w:rFonts w:cs="Times New Roman"/>
          <w:szCs w:val="24"/>
        </w:rPr>
        <w:t>≥</w:t>
      </w:r>
      <w:r w:rsidR="00CA59CD" w:rsidRPr="000A40E6">
        <w:rPr>
          <w:rFonts w:cs="Times New Roman"/>
          <w:szCs w:val="24"/>
        </w:rPr>
        <w:t>4mm</w:t>
      </w:r>
      <w:r w:rsidR="00256F87" w:rsidRPr="000A40E6">
        <w:rPr>
          <w:rFonts w:eastAsia="Times New Roman" w:cs="Times New Roman"/>
          <w:szCs w:val="24"/>
          <w:lang w:eastAsia="tr-TR"/>
        </w:rPr>
        <w:t xml:space="preserve">) </w:t>
      </w:r>
      <w:r w:rsidRPr="000A40E6">
        <w:rPr>
          <w:rFonts w:eastAsia="Times New Roman" w:cs="Times New Roman"/>
          <w:szCs w:val="24"/>
          <w:lang w:eastAsia="tr-TR"/>
        </w:rPr>
        <w:t xml:space="preserve">ile </w:t>
      </w:r>
      <w:r w:rsidR="00256F87" w:rsidRPr="000A40E6">
        <w:rPr>
          <w:rFonts w:eastAsia="Times New Roman" w:cs="Times New Roman"/>
          <w:szCs w:val="24"/>
          <w:lang w:eastAsia="tr-TR"/>
        </w:rPr>
        <w:t xml:space="preserve">tek taraflı veya çift taraflı </w:t>
      </w:r>
      <w:r w:rsidRPr="000A40E6">
        <w:rPr>
          <w:rFonts w:eastAsia="Times New Roman" w:cs="Times New Roman"/>
          <w:szCs w:val="24"/>
          <w:lang w:eastAsia="tr-TR"/>
        </w:rPr>
        <w:t>posterior çapraz kapanış varlığı gösteren bireyler olması,</w:t>
      </w:r>
    </w:p>
    <w:p w14:paraId="57848850" w14:textId="03DD1565" w:rsidR="007E55E8" w:rsidRPr="000A40E6" w:rsidRDefault="007E55E8" w:rsidP="00F756C3">
      <w:pPr>
        <w:pStyle w:val="ListeParagraf"/>
        <w:numPr>
          <w:ilvl w:val="0"/>
          <w:numId w:val="20"/>
        </w:numPr>
        <w:suppressAutoHyphens/>
        <w:spacing w:after="120"/>
        <w:ind w:left="595" w:hanging="170"/>
        <w:contextualSpacing w:val="0"/>
        <w:rPr>
          <w:rFonts w:eastAsia="Calibri" w:cs="Times New Roman"/>
          <w:szCs w:val="24"/>
        </w:rPr>
      </w:pPr>
      <w:r w:rsidRPr="000A40E6">
        <w:rPr>
          <w:rFonts w:eastAsia="Times New Roman" w:cs="Times New Roman"/>
          <w:szCs w:val="24"/>
          <w:lang w:eastAsia="tr-TR"/>
        </w:rPr>
        <w:t xml:space="preserve">El bilek kemiklerinin olgunlaşma evrelerine göre tespit edilen, pubertal dönemdeki </w:t>
      </w:r>
      <w:r w:rsidR="00195B69" w:rsidRPr="000A40E6">
        <w:rPr>
          <w:rFonts w:eastAsia="Times New Roman" w:cs="Times New Roman"/>
          <w:szCs w:val="24"/>
          <w:lang w:eastAsia="tr-TR"/>
        </w:rPr>
        <w:t>(S-MP3cap</w:t>
      </w:r>
      <w:r w:rsidR="00FD1819" w:rsidRPr="000A40E6">
        <w:rPr>
          <w:rFonts w:eastAsia="Times New Roman" w:cs="Times New Roman"/>
          <w:szCs w:val="24"/>
          <w:lang w:eastAsia="tr-TR"/>
        </w:rPr>
        <w:t xml:space="preserve"> evreleri</w:t>
      </w:r>
      <w:r w:rsidR="00195B69" w:rsidRPr="000A40E6">
        <w:rPr>
          <w:rFonts w:eastAsia="Times New Roman" w:cs="Times New Roman"/>
          <w:szCs w:val="24"/>
          <w:lang w:eastAsia="tr-TR"/>
        </w:rPr>
        <w:t xml:space="preserve">) </w:t>
      </w:r>
      <w:r w:rsidRPr="000A40E6">
        <w:rPr>
          <w:rFonts w:eastAsia="Times New Roman" w:cs="Times New Roman"/>
          <w:szCs w:val="24"/>
          <w:lang w:eastAsia="tr-TR"/>
        </w:rPr>
        <w:t>bireyler olması</w:t>
      </w:r>
      <w:r w:rsidR="00195B69" w:rsidRPr="000A40E6">
        <w:rPr>
          <w:rFonts w:eastAsia="Times New Roman" w:cs="Times New Roman"/>
          <w:szCs w:val="24"/>
          <w:lang w:eastAsia="tr-TR"/>
        </w:rPr>
        <w:t xml:space="preserve"> (Grave ve Brown, 1976)</w:t>
      </w:r>
      <w:r w:rsidRPr="000A40E6">
        <w:rPr>
          <w:rFonts w:eastAsia="Times New Roman" w:cs="Times New Roman"/>
          <w:szCs w:val="24"/>
          <w:lang w:eastAsia="tr-TR"/>
        </w:rPr>
        <w:t>,</w:t>
      </w:r>
    </w:p>
    <w:p w14:paraId="126E4D4A" w14:textId="77777777"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Ortodontik tedavi öyküsü olmaması,</w:t>
      </w:r>
    </w:p>
    <w:p w14:paraId="2C97DCC3" w14:textId="02610AB2"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Maksiller 1. molar dişleri</w:t>
      </w:r>
      <w:r w:rsidR="001C0BE8" w:rsidRPr="000A40E6">
        <w:rPr>
          <w:rFonts w:eastAsia="Times New Roman" w:cs="Times New Roman"/>
          <w:szCs w:val="24"/>
          <w:lang w:eastAsia="tr-TR"/>
        </w:rPr>
        <w:t>n</w:t>
      </w:r>
      <w:r w:rsidRPr="000A40E6">
        <w:rPr>
          <w:rFonts w:eastAsia="Times New Roman" w:cs="Times New Roman"/>
          <w:szCs w:val="24"/>
          <w:lang w:eastAsia="tr-TR"/>
        </w:rPr>
        <w:t xml:space="preserve"> mevcut ve tamamen sürmüş olması,</w:t>
      </w:r>
    </w:p>
    <w:p w14:paraId="58FCE640" w14:textId="3A8855B8" w:rsidR="007E55E8" w:rsidRPr="000A40E6" w:rsidRDefault="00965D6B"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Son 3 aydır antibiyotik tedavi</w:t>
      </w:r>
      <w:r w:rsidR="007E55E8" w:rsidRPr="000A40E6">
        <w:rPr>
          <w:rFonts w:eastAsia="Times New Roman" w:cs="Times New Roman"/>
          <w:szCs w:val="24"/>
          <w:lang w:eastAsia="tr-TR"/>
        </w:rPr>
        <w:t xml:space="preserve"> öyküsü olmaması ve çalışmaya başlamada</w:t>
      </w:r>
      <w:r w:rsidR="001A7132" w:rsidRPr="000A40E6">
        <w:rPr>
          <w:rFonts w:eastAsia="Times New Roman" w:cs="Times New Roman"/>
          <w:szCs w:val="24"/>
          <w:lang w:eastAsia="tr-TR"/>
        </w:rPr>
        <w:t>n önceki 1 ay içinde antie</w:t>
      </w:r>
      <w:r w:rsidR="007E55E8" w:rsidRPr="000A40E6">
        <w:rPr>
          <w:rFonts w:eastAsia="Times New Roman" w:cs="Times New Roman"/>
          <w:szCs w:val="24"/>
          <w:lang w:eastAsia="tr-TR"/>
        </w:rPr>
        <w:t>nflamatuar ilaç kullanımı olmaması,</w:t>
      </w:r>
    </w:p>
    <w:p w14:paraId="791A150A" w14:textId="6C50F3DC"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Sistemik bir hastalığının olmaması,</w:t>
      </w:r>
    </w:p>
    <w:p w14:paraId="78A62122" w14:textId="77777777"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Diş eti iltihabı belirtileri veya periodontal tedavi öyküsü olmaması,</w:t>
      </w:r>
    </w:p>
    <w:p w14:paraId="1D48DA68" w14:textId="10DCAF22" w:rsidR="006C1BCF"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 xml:space="preserve">İyi </w:t>
      </w:r>
      <w:r w:rsidR="008467D5" w:rsidRPr="000A40E6">
        <w:rPr>
          <w:rFonts w:eastAsia="Times New Roman" w:cs="Times New Roman"/>
          <w:szCs w:val="24"/>
          <w:lang w:eastAsia="tr-TR"/>
        </w:rPr>
        <w:t xml:space="preserve">bir </w:t>
      </w:r>
      <w:r w:rsidRPr="000A40E6">
        <w:rPr>
          <w:rFonts w:eastAsia="Times New Roman" w:cs="Times New Roman"/>
          <w:szCs w:val="24"/>
          <w:lang w:eastAsia="tr-TR"/>
        </w:rPr>
        <w:t>periodontal</w:t>
      </w:r>
      <w:r w:rsidR="00F67092" w:rsidRPr="000A40E6">
        <w:rPr>
          <w:rFonts w:eastAsia="Times New Roman" w:cs="Times New Roman"/>
          <w:szCs w:val="24"/>
          <w:lang w:eastAsia="tr-TR"/>
        </w:rPr>
        <w:t xml:space="preserve"> sağlığa sahip bireyler olması olarak belirlenmiştir.</w:t>
      </w:r>
    </w:p>
    <w:p w14:paraId="0EEF9A5B" w14:textId="77777777" w:rsidR="007E55E8" w:rsidRPr="000A40E6" w:rsidRDefault="007E55E8" w:rsidP="00F756C3">
      <w:pPr>
        <w:suppressAutoHyphens/>
        <w:spacing w:after="120"/>
        <w:rPr>
          <w:rFonts w:eastAsia="Times New Roman" w:cs="Times New Roman"/>
          <w:szCs w:val="24"/>
          <w:lang w:eastAsia="tr-TR"/>
        </w:rPr>
      </w:pPr>
      <w:r w:rsidRPr="000A40E6">
        <w:rPr>
          <w:rFonts w:eastAsia="Times New Roman" w:cs="Times New Roman"/>
          <w:szCs w:val="24"/>
          <w:lang w:eastAsia="tr-TR"/>
        </w:rPr>
        <w:t xml:space="preserve">Çalışmaya </w:t>
      </w:r>
      <w:proofErr w:type="gramStart"/>
      <w:r w:rsidRPr="000A40E6">
        <w:rPr>
          <w:rFonts w:eastAsia="Times New Roman" w:cs="Times New Roman"/>
          <w:szCs w:val="24"/>
          <w:lang w:eastAsia="tr-TR"/>
        </w:rPr>
        <w:t>dahil</w:t>
      </w:r>
      <w:proofErr w:type="gramEnd"/>
      <w:r w:rsidRPr="000A40E6">
        <w:rPr>
          <w:rFonts w:eastAsia="Times New Roman" w:cs="Times New Roman"/>
          <w:szCs w:val="24"/>
          <w:lang w:eastAsia="tr-TR"/>
        </w:rPr>
        <w:t xml:space="preserve"> edilmeme kriterleri ise</w:t>
      </w:r>
      <w:r w:rsidR="00474B82" w:rsidRPr="000A40E6">
        <w:rPr>
          <w:rFonts w:eastAsia="Times New Roman" w:cs="Times New Roman"/>
          <w:szCs w:val="24"/>
          <w:lang w:eastAsia="tr-TR"/>
        </w:rPr>
        <w:t>;</w:t>
      </w:r>
    </w:p>
    <w:p w14:paraId="19014EFB" w14:textId="77777777"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Ortodontik tedavi öyküsü olması,</w:t>
      </w:r>
    </w:p>
    <w:p w14:paraId="623FB651" w14:textId="78A825A5"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Maksiller 1. molar dişlerin mevcut olmaması ve tamamen sürmemiş olması,</w:t>
      </w:r>
    </w:p>
    <w:p w14:paraId="4142380A" w14:textId="15264DD7"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 xml:space="preserve">Son 3 </w:t>
      </w:r>
      <w:r w:rsidR="00353370" w:rsidRPr="000A40E6">
        <w:rPr>
          <w:rFonts w:eastAsia="Times New Roman" w:cs="Times New Roman"/>
          <w:szCs w:val="24"/>
          <w:lang w:eastAsia="tr-TR"/>
        </w:rPr>
        <w:t>aydır</w:t>
      </w:r>
      <w:r w:rsidRPr="000A40E6">
        <w:rPr>
          <w:rFonts w:eastAsia="Times New Roman" w:cs="Times New Roman"/>
          <w:szCs w:val="24"/>
          <w:lang w:eastAsia="tr-TR"/>
        </w:rPr>
        <w:t xml:space="preserve"> antibiyotik tedavi öyküsü olması ve çalışmaya başlamadan önceki 1 ay içinde antienflamatuar ilaç kullanımı olması,</w:t>
      </w:r>
    </w:p>
    <w:p w14:paraId="246C9FB7" w14:textId="5816A46D"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Sistemik bir hastalığının olması,</w:t>
      </w:r>
    </w:p>
    <w:p w14:paraId="7637FF47" w14:textId="77777777"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Diş eti iltihabı belirtileri veya periodontal tedavi öyküsü olması,</w:t>
      </w:r>
    </w:p>
    <w:p w14:paraId="5C07FAE8" w14:textId="63461EAD" w:rsidR="007E55E8" w:rsidRPr="000A40E6" w:rsidRDefault="007E55E8" w:rsidP="00F756C3">
      <w:pPr>
        <w:pStyle w:val="ListeParagraf"/>
        <w:numPr>
          <w:ilvl w:val="0"/>
          <w:numId w:val="20"/>
        </w:numPr>
        <w:suppressAutoHyphens/>
        <w:spacing w:after="120"/>
        <w:ind w:left="595" w:hanging="170"/>
        <w:contextualSpacing w:val="0"/>
        <w:rPr>
          <w:rFonts w:eastAsia="Times New Roman" w:cs="Times New Roman"/>
          <w:szCs w:val="24"/>
          <w:lang w:eastAsia="tr-TR"/>
        </w:rPr>
      </w:pPr>
      <w:r w:rsidRPr="000A40E6">
        <w:rPr>
          <w:rFonts w:eastAsia="Times New Roman" w:cs="Times New Roman"/>
          <w:szCs w:val="24"/>
          <w:lang w:eastAsia="tr-TR"/>
        </w:rPr>
        <w:t>Kötü periodontal sağlığa sahip bir</w:t>
      </w:r>
      <w:r w:rsidR="008E41BE" w:rsidRPr="000A40E6">
        <w:rPr>
          <w:rFonts w:eastAsia="Times New Roman" w:cs="Times New Roman"/>
          <w:szCs w:val="24"/>
          <w:lang w:eastAsia="tr-TR"/>
        </w:rPr>
        <w:t>eyler olması olarak belirlenmiştir.</w:t>
      </w:r>
    </w:p>
    <w:p w14:paraId="39317F08" w14:textId="0BE6FA1F" w:rsidR="007E55E8" w:rsidRPr="000A40E6" w:rsidRDefault="007E55E8" w:rsidP="00F756C3">
      <w:pPr>
        <w:suppressAutoHyphens/>
        <w:spacing w:after="120"/>
        <w:rPr>
          <w:rFonts w:eastAsia="Calibri" w:cs="Times New Roman"/>
          <w:szCs w:val="24"/>
          <w:lang w:val="en-GB"/>
        </w:rPr>
      </w:pPr>
      <w:proofErr w:type="gramStart"/>
      <w:r w:rsidRPr="000A40E6">
        <w:rPr>
          <w:rFonts w:eastAsia="Calibri" w:cs="Times New Roman"/>
          <w:szCs w:val="24"/>
          <w:lang w:val="en-GB"/>
        </w:rPr>
        <w:t>Çalışmanın yürütülebilmesi amacı ile ADÜDHF2021/07 sayılı ve 24.02.2021 tarihli Aydın Adnan Menderes Üniversitesi Diş Hekimliği Fakültesi Klinik Araştırmalar Eti</w:t>
      </w:r>
      <w:r w:rsidR="00842568" w:rsidRPr="000A40E6">
        <w:rPr>
          <w:rFonts w:eastAsia="Calibri" w:cs="Times New Roman"/>
          <w:szCs w:val="24"/>
          <w:lang w:val="en-GB"/>
        </w:rPr>
        <w:t>k Kurul ka</w:t>
      </w:r>
      <w:r w:rsidR="002106BE" w:rsidRPr="000A40E6">
        <w:rPr>
          <w:rFonts w:eastAsia="Calibri" w:cs="Times New Roman"/>
          <w:szCs w:val="24"/>
          <w:lang w:val="en-GB"/>
        </w:rPr>
        <w:t>rarı alınmıştır (EK-1</w:t>
      </w:r>
      <w:r w:rsidR="00842568" w:rsidRPr="000A40E6">
        <w:rPr>
          <w:rFonts w:eastAsia="Calibri" w:cs="Times New Roman"/>
          <w:szCs w:val="24"/>
          <w:lang w:val="en-GB"/>
        </w:rPr>
        <w:t>).</w:t>
      </w:r>
      <w:proofErr w:type="gramEnd"/>
      <w:r w:rsidR="00842568" w:rsidRPr="000A40E6">
        <w:rPr>
          <w:rFonts w:eastAsia="Calibri" w:cs="Times New Roman"/>
          <w:szCs w:val="24"/>
          <w:lang w:val="en-GB"/>
        </w:rPr>
        <w:t xml:space="preserve"> </w:t>
      </w:r>
      <w:proofErr w:type="gramStart"/>
      <w:r w:rsidR="00842568" w:rsidRPr="000A40E6">
        <w:rPr>
          <w:rFonts w:eastAsia="Calibri" w:cs="Times New Roman"/>
          <w:szCs w:val="24"/>
          <w:lang w:val="en-GB"/>
        </w:rPr>
        <w:t>Ayrıca T.C</w:t>
      </w:r>
      <w:r w:rsidR="00F2582B" w:rsidRPr="000A40E6">
        <w:rPr>
          <w:rFonts w:eastAsia="Calibri" w:cs="Times New Roman"/>
          <w:szCs w:val="24"/>
          <w:lang w:val="en-GB"/>
        </w:rPr>
        <w:t xml:space="preserve">. </w:t>
      </w:r>
      <w:r w:rsidR="00842568" w:rsidRPr="000A40E6">
        <w:rPr>
          <w:rFonts w:eastAsia="Calibri" w:cs="Times New Roman"/>
          <w:szCs w:val="24"/>
          <w:lang w:val="en-GB"/>
        </w:rPr>
        <w:t xml:space="preserve">Sağlık Bakanlığı Türkiye İlaç ve Tıbbi Cihaz Kurumu onayı alınmış olup </w:t>
      </w:r>
      <w:r w:rsidR="002106BE" w:rsidRPr="000A40E6">
        <w:rPr>
          <w:rFonts w:eastAsia="Calibri" w:cs="Times New Roman"/>
          <w:szCs w:val="24"/>
          <w:lang w:val="en-GB"/>
        </w:rPr>
        <w:t>(EK-2</w:t>
      </w:r>
      <w:r w:rsidR="00842568" w:rsidRPr="000A40E6">
        <w:rPr>
          <w:rFonts w:eastAsia="Calibri" w:cs="Times New Roman"/>
          <w:szCs w:val="24"/>
          <w:lang w:val="en-GB"/>
        </w:rPr>
        <w:t xml:space="preserve">), </w:t>
      </w:r>
      <w:r w:rsidRPr="000A40E6">
        <w:rPr>
          <w:rFonts w:eastAsia="Calibri" w:cs="Times New Roman"/>
          <w:szCs w:val="24"/>
          <w:lang w:val="en-GB"/>
        </w:rPr>
        <w:t>DHF-21005 no’lu çalışmamız Bilimsel Araştırma Proje Destekleme Birimi (BAP) tara</w:t>
      </w:r>
      <w:r w:rsidR="002106BE" w:rsidRPr="000A40E6">
        <w:rPr>
          <w:rFonts w:eastAsia="Calibri" w:cs="Times New Roman"/>
          <w:szCs w:val="24"/>
          <w:lang w:val="en-GB"/>
        </w:rPr>
        <w:t>fından desteklenmiştir.</w:t>
      </w:r>
      <w:proofErr w:type="gramEnd"/>
      <w:r w:rsidR="002106BE" w:rsidRPr="000A40E6">
        <w:rPr>
          <w:rFonts w:eastAsia="Calibri" w:cs="Times New Roman"/>
          <w:szCs w:val="24"/>
          <w:lang w:val="en-GB"/>
        </w:rPr>
        <w:t xml:space="preserve"> </w:t>
      </w:r>
      <w:proofErr w:type="gramStart"/>
      <w:r w:rsidR="002106BE" w:rsidRPr="000A40E6">
        <w:rPr>
          <w:rFonts w:eastAsia="Calibri" w:cs="Times New Roman"/>
          <w:szCs w:val="24"/>
          <w:lang w:val="en-GB"/>
        </w:rPr>
        <w:t>H</w:t>
      </w:r>
      <w:r w:rsidRPr="000A40E6">
        <w:rPr>
          <w:rFonts w:eastAsia="Calibri" w:cs="Times New Roman"/>
          <w:szCs w:val="24"/>
          <w:lang w:val="en-GB"/>
        </w:rPr>
        <w:t>asta ve velilerine yapılacak olan uygulamaların ayrıntılı ve anlaşılabilir şekilde yazılmış olan onam formları okutulara</w:t>
      </w:r>
      <w:r w:rsidR="002106BE" w:rsidRPr="000A40E6">
        <w:rPr>
          <w:rFonts w:eastAsia="Calibri" w:cs="Times New Roman"/>
          <w:szCs w:val="24"/>
          <w:lang w:val="en-GB"/>
        </w:rPr>
        <w:t>k imzalatılmıştır (EK-3, EK-4</w:t>
      </w:r>
      <w:r w:rsidR="00826EA4" w:rsidRPr="000A40E6">
        <w:rPr>
          <w:rFonts w:eastAsia="Calibri" w:cs="Times New Roman"/>
          <w:szCs w:val="24"/>
          <w:lang w:val="en-GB"/>
        </w:rPr>
        <w:t>).</w:t>
      </w:r>
      <w:proofErr w:type="gramEnd"/>
    </w:p>
    <w:p w14:paraId="3AE32D33" w14:textId="77777777" w:rsidR="007E55E8" w:rsidRPr="000A40E6" w:rsidRDefault="007E55E8" w:rsidP="00F756C3">
      <w:pPr>
        <w:suppressAutoHyphens/>
        <w:spacing w:after="120"/>
        <w:ind w:firstLine="0"/>
        <w:rPr>
          <w:rFonts w:cs="Times New Roman"/>
          <w:b/>
          <w:szCs w:val="24"/>
        </w:rPr>
      </w:pPr>
    </w:p>
    <w:p w14:paraId="3849C875" w14:textId="77777777" w:rsidR="007E55E8" w:rsidRPr="000A40E6" w:rsidRDefault="007E55E8" w:rsidP="00F756C3">
      <w:pPr>
        <w:suppressAutoHyphens/>
        <w:spacing w:after="120"/>
        <w:ind w:firstLine="0"/>
        <w:rPr>
          <w:rFonts w:cs="Times New Roman"/>
          <w:b/>
          <w:szCs w:val="24"/>
        </w:rPr>
      </w:pPr>
      <w:bookmarkStart w:id="68" w:name="_Toc136443410"/>
      <w:r w:rsidRPr="000A40E6">
        <w:rPr>
          <w:rFonts w:cs="Times New Roman"/>
          <w:b/>
          <w:szCs w:val="24"/>
        </w:rPr>
        <w:t>3.3. Yöntem</w:t>
      </w:r>
      <w:bookmarkEnd w:id="68"/>
    </w:p>
    <w:p w14:paraId="019BFC8F" w14:textId="77777777" w:rsidR="007E55E8" w:rsidRPr="000A40E6" w:rsidRDefault="007E55E8" w:rsidP="00F756C3">
      <w:pPr>
        <w:suppressAutoHyphens/>
        <w:spacing w:after="120"/>
        <w:ind w:firstLine="0"/>
        <w:rPr>
          <w:rFonts w:cs="Times New Roman"/>
          <w:b/>
          <w:szCs w:val="24"/>
        </w:rPr>
      </w:pPr>
    </w:p>
    <w:p w14:paraId="5834BB6F" w14:textId="77777777" w:rsidR="007E55E8" w:rsidRPr="000A40E6" w:rsidRDefault="007E55E8" w:rsidP="00F756C3">
      <w:pPr>
        <w:suppressAutoHyphens/>
        <w:spacing w:after="120"/>
        <w:ind w:firstLine="0"/>
        <w:rPr>
          <w:rFonts w:cs="Times New Roman"/>
          <w:b/>
          <w:szCs w:val="24"/>
        </w:rPr>
      </w:pPr>
      <w:bookmarkStart w:id="69" w:name="_Toc136443411"/>
      <w:r w:rsidRPr="000A40E6">
        <w:rPr>
          <w:rFonts w:cs="Times New Roman"/>
          <w:b/>
          <w:szCs w:val="24"/>
        </w:rPr>
        <w:t>3.3.1. Ortodontik Kayıtların Toplanması</w:t>
      </w:r>
      <w:bookmarkEnd w:id="69"/>
    </w:p>
    <w:p w14:paraId="7A078815" w14:textId="77777777" w:rsidR="007E55E8" w:rsidRPr="000A40E6" w:rsidRDefault="007E55E8" w:rsidP="00F756C3">
      <w:pPr>
        <w:suppressAutoHyphens/>
        <w:spacing w:after="120"/>
        <w:ind w:firstLine="0"/>
        <w:rPr>
          <w:rFonts w:cs="Times New Roman"/>
          <w:b/>
          <w:szCs w:val="24"/>
        </w:rPr>
      </w:pPr>
    </w:p>
    <w:p w14:paraId="6561DFD5" w14:textId="37163C0C" w:rsidR="0017246F" w:rsidRPr="000A40E6" w:rsidRDefault="007E55E8" w:rsidP="00F756C3">
      <w:pPr>
        <w:suppressAutoHyphens/>
        <w:spacing w:after="120"/>
        <w:rPr>
          <w:rFonts w:eastAsia="Calibri" w:cs="Times New Roman"/>
          <w:szCs w:val="24"/>
        </w:rPr>
      </w:pPr>
      <w:r w:rsidRPr="000A40E6">
        <w:rPr>
          <w:rFonts w:eastAsia="Calibri" w:cs="Times New Roman"/>
          <w:szCs w:val="24"/>
        </w:rPr>
        <w:t xml:space="preserve">Gönüllü olarak çalışmaya </w:t>
      </w:r>
      <w:proofErr w:type="gramStart"/>
      <w:r w:rsidRPr="000A40E6">
        <w:rPr>
          <w:rFonts w:eastAsia="Calibri" w:cs="Times New Roman"/>
          <w:szCs w:val="24"/>
        </w:rPr>
        <w:t>dahil</w:t>
      </w:r>
      <w:proofErr w:type="gramEnd"/>
      <w:r w:rsidRPr="000A40E6">
        <w:rPr>
          <w:rFonts w:eastAsia="Calibri" w:cs="Times New Roman"/>
          <w:szCs w:val="24"/>
        </w:rPr>
        <w:t xml:space="preserve"> olmayı kabul eden hastalara çalışmanın önemi ve tedavi protokolü hakkında </w:t>
      </w:r>
      <w:r w:rsidR="00512F29" w:rsidRPr="000A40E6">
        <w:rPr>
          <w:rFonts w:eastAsia="Calibri" w:cs="Times New Roman"/>
          <w:szCs w:val="24"/>
        </w:rPr>
        <w:t xml:space="preserve">detaylı bilgilendirmeler yapılmıştır. </w:t>
      </w:r>
      <w:r w:rsidRPr="000A40E6">
        <w:rPr>
          <w:rFonts w:eastAsia="Calibri" w:cs="Times New Roman"/>
          <w:szCs w:val="24"/>
        </w:rPr>
        <w:t>Hastaların çalışma sırasında u</w:t>
      </w:r>
      <w:r w:rsidR="00512F29" w:rsidRPr="000A40E6">
        <w:rPr>
          <w:rFonts w:eastAsia="Calibri" w:cs="Times New Roman"/>
          <w:szCs w:val="24"/>
        </w:rPr>
        <w:t xml:space="preserve">yması gereken kurallar anlatılmıştır </w:t>
      </w:r>
      <w:r w:rsidRPr="000A40E6">
        <w:rPr>
          <w:rFonts w:eastAsia="Calibri" w:cs="Times New Roman"/>
          <w:szCs w:val="24"/>
        </w:rPr>
        <w:t xml:space="preserve">ve bilgilendirilmiş onamları </w:t>
      </w:r>
      <w:r w:rsidR="00512F29" w:rsidRPr="000A40E6">
        <w:rPr>
          <w:rFonts w:eastAsia="Calibri" w:cs="Times New Roman"/>
          <w:szCs w:val="24"/>
        </w:rPr>
        <w:t xml:space="preserve">alınmıştır. </w:t>
      </w:r>
      <w:r w:rsidRPr="000A40E6">
        <w:rPr>
          <w:rFonts w:eastAsia="Calibri" w:cs="Times New Roman"/>
          <w:szCs w:val="24"/>
        </w:rPr>
        <w:t>Tedaviden önce tüm hastal</w:t>
      </w:r>
      <w:r w:rsidR="006C1BCF" w:rsidRPr="000A40E6">
        <w:rPr>
          <w:rFonts w:eastAsia="Calibri" w:cs="Times New Roman"/>
          <w:szCs w:val="24"/>
        </w:rPr>
        <w:t xml:space="preserve">ara </w:t>
      </w:r>
      <w:r w:rsidR="00512F29" w:rsidRPr="000A40E6">
        <w:rPr>
          <w:rFonts w:eastAsia="Calibri" w:cs="Times New Roman"/>
          <w:szCs w:val="24"/>
        </w:rPr>
        <w:t xml:space="preserve">oral </w:t>
      </w:r>
      <w:proofErr w:type="gramStart"/>
      <w:r w:rsidR="00512F29" w:rsidRPr="000A40E6">
        <w:rPr>
          <w:rFonts w:eastAsia="Calibri" w:cs="Times New Roman"/>
          <w:szCs w:val="24"/>
        </w:rPr>
        <w:t>hijyen</w:t>
      </w:r>
      <w:proofErr w:type="gramEnd"/>
      <w:r w:rsidR="00512F29" w:rsidRPr="000A40E6">
        <w:rPr>
          <w:rFonts w:eastAsia="Calibri" w:cs="Times New Roman"/>
          <w:szCs w:val="24"/>
        </w:rPr>
        <w:t xml:space="preserve"> eğitimi verilmiştir. </w:t>
      </w:r>
      <w:r w:rsidRPr="000A40E6">
        <w:rPr>
          <w:rFonts w:eastAsia="Calibri" w:cs="Times New Roman"/>
          <w:szCs w:val="24"/>
        </w:rPr>
        <w:t>Çalışmaya uygun olduğ</w:t>
      </w:r>
      <w:r w:rsidR="003A0E88" w:rsidRPr="000A40E6">
        <w:rPr>
          <w:rFonts w:eastAsia="Calibri" w:cs="Times New Roman"/>
          <w:szCs w:val="24"/>
        </w:rPr>
        <w:t>u düşünülen hastaların tedavi</w:t>
      </w:r>
      <w:r w:rsidR="006B64D3" w:rsidRPr="000A40E6">
        <w:rPr>
          <w:rFonts w:eastAsia="Calibri" w:cs="Times New Roman"/>
          <w:szCs w:val="24"/>
        </w:rPr>
        <w:t xml:space="preserve">lerinin </w:t>
      </w:r>
      <w:r w:rsidRPr="000A40E6">
        <w:rPr>
          <w:rFonts w:eastAsia="Calibri" w:cs="Times New Roman"/>
          <w:szCs w:val="24"/>
        </w:rPr>
        <w:t xml:space="preserve">planlanabilmesi için sefalometrik, panoromik, el bilek ve </w:t>
      </w:r>
      <w:r w:rsidR="00371643" w:rsidRPr="000A40E6">
        <w:rPr>
          <w:rFonts w:eastAsia="Calibri" w:cs="Times New Roman"/>
          <w:szCs w:val="24"/>
        </w:rPr>
        <w:t>AP</w:t>
      </w:r>
      <w:r w:rsidRPr="000A40E6">
        <w:rPr>
          <w:rFonts w:eastAsia="Calibri" w:cs="Times New Roman"/>
          <w:szCs w:val="24"/>
        </w:rPr>
        <w:t xml:space="preserve"> </w:t>
      </w:r>
      <w:r w:rsidR="007A38C8" w:rsidRPr="000A40E6">
        <w:rPr>
          <w:rFonts w:eastAsia="Calibri" w:cs="Times New Roman"/>
          <w:szCs w:val="24"/>
        </w:rPr>
        <w:t xml:space="preserve">radyografileri </w:t>
      </w:r>
      <w:r w:rsidRPr="000A40E6">
        <w:rPr>
          <w:rFonts w:eastAsia="Calibri" w:cs="Times New Roman"/>
          <w:szCs w:val="24"/>
        </w:rPr>
        <w:t>çekil</w:t>
      </w:r>
      <w:r w:rsidR="00512F29" w:rsidRPr="000A40E6">
        <w:rPr>
          <w:rFonts w:eastAsia="Calibri" w:cs="Times New Roman"/>
          <w:szCs w:val="24"/>
        </w:rPr>
        <w:t>miştir</w:t>
      </w:r>
      <w:r w:rsidR="007A38C8" w:rsidRPr="000A40E6">
        <w:rPr>
          <w:rFonts w:eastAsia="Calibri" w:cs="Times New Roman"/>
          <w:szCs w:val="24"/>
        </w:rPr>
        <w:t xml:space="preserve">, ağız içi ve ağız dışı </w:t>
      </w:r>
      <w:r w:rsidRPr="000A40E6">
        <w:rPr>
          <w:rFonts w:eastAsia="Calibri" w:cs="Times New Roman"/>
          <w:szCs w:val="24"/>
        </w:rPr>
        <w:t>fotoğrafları alın</w:t>
      </w:r>
      <w:r w:rsidR="007A38C8" w:rsidRPr="000A40E6">
        <w:rPr>
          <w:rFonts w:eastAsia="Calibri" w:cs="Times New Roman"/>
          <w:szCs w:val="24"/>
        </w:rPr>
        <w:t>mıştır,</w:t>
      </w:r>
      <w:r w:rsidRPr="000A40E6">
        <w:rPr>
          <w:rFonts w:eastAsia="Calibri" w:cs="Times New Roman"/>
          <w:szCs w:val="24"/>
        </w:rPr>
        <w:t xml:space="preserve"> ağız içi taramaları yapılarak dijital modeller</w:t>
      </w:r>
      <w:r w:rsidR="007A38C8" w:rsidRPr="000A40E6">
        <w:rPr>
          <w:rFonts w:eastAsia="Calibri" w:cs="Times New Roman"/>
          <w:szCs w:val="24"/>
        </w:rPr>
        <w:t>i</w:t>
      </w:r>
      <w:r w:rsidRPr="000A40E6">
        <w:rPr>
          <w:rFonts w:eastAsia="Calibri" w:cs="Times New Roman"/>
          <w:szCs w:val="24"/>
        </w:rPr>
        <w:t xml:space="preserve"> elde edil</w:t>
      </w:r>
      <w:r w:rsidR="00512F29" w:rsidRPr="000A40E6">
        <w:rPr>
          <w:rFonts w:eastAsia="Calibri" w:cs="Times New Roman"/>
          <w:szCs w:val="24"/>
        </w:rPr>
        <w:t>miştir</w:t>
      </w:r>
      <w:r w:rsidRPr="000A40E6">
        <w:rPr>
          <w:rFonts w:eastAsia="Calibri" w:cs="Times New Roman"/>
          <w:szCs w:val="24"/>
        </w:rPr>
        <w:t>.</w:t>
      </w:r>
    </w:p>
    <w:p w14:paraId="5058C3AB" w14:textId="77777777" w:rsidR="00AC4D1E" w:rsidRPr="000A40E6" w:rsidRDefault="00AC4D1E" w:rsidP="00F756C3">
      <w:pPr>
        <w:suppressAutoHyphens/>
        <w:spacing w:after="120"/>
        <w:ind w:firstLine="0"/>
        <w:rPr>
          <w:rFonts w:cs="Times New Roman"/>
          <w:b/>
          <w:szCs w:val="24"/>
        </w:rPr>
      </w:pPr>
    </w:p>
    <w:p w14:paraId="0C27C756" w14:textId="77777777" w:rsidR="007E55E8" w:rsidRPr="000A40E6" w:rsidRDefault="007E55E8" w:rsidP="00F756C3">
      <w:pPr>
        <w:suppressAutoHyphens/>
        <w:spacing w:after="120"/>
        <w:ind w:firstLine="0"/>
        <w:rPr>
          <w:rFonts w:cs="Times New Roman"/>
          <w:b/>
          <w:szCs w:val="24"/>
        </w:rPr>
      </w:pPr>
      <w:bookmarkStart w:id="70" w:name="_Toc136443412"/>
      <w:r w:rsidRPr="000A40E6">
        <w:rPr>
          <w:rFonts w:cs="Times New Roman"/>
          <w:b/>
          <w:szCs w:val="24"/>
        </w:rPr>
        <w:t>3.3.2. Laboratuvar İşlemleri</w:t>
      </w:r>
      <w:bookmarkEnd w:id="70"/>
    </w:p>
    <w:p w14:paraId="6D16EC6E" w14:textId="77777777" w:rsidR="007E55E8" w:rsidRPr="000A40E6" w:rsidRDefault="007E55E8" w:rsidP="00F756C3">
      <w:pPr>
        <w:suppressAutoHyphens/>
        <w:spacing w:after="120"/>
        <w:ind w:firstLine="0"/>
        <w:rPr>
          <w:rFonts w:cs="Times New Roman"/>
          <w:b/>
          <w:szCs w:val="24"/>
        </w:rPr>
      </w:pPr>
    </w:p>
    <w:p w14:paraId="08430906" w14:textId="09563104" w:rsidR="00987D72" w:rsidRPr="000A40E6" w:rsidRDefault="007E55E8" w:rsidP="00F756C3">
      <w:pPr>
        <w:suppressAutoHyphens/>
        <w:spacing w:after="120"/>
        <w:rPr>
          <w:rFonts w:eastAsia="Calibri" w:cs="Times New Roman"/>
          <w:szCs w:val="24"/>
          <w:lang w:val="en-GB"/>
        </w:rPr>
      </w:pPr>
      <w:r w:rsidRPr="000A40E6">
        <w:rPr>
          <w:rFonts w:eastAsia="Calibri" w:cs="Times New Roman"/>
          <w:szCs w:val="24"/>
          <w:lang w:val="en-GB"/>
        </w:rPr>
        <w:t>Çalışmaya dahil edilen hastaların tedavisi için</w:t>
      </w:r>
      <w:r w:rsidR="008A55E2" w:rsidRPr="000A40E6">
        <w:rPr>
          <w:rFonts w:eastAsia="Calibri" w:cs="Times New Roman"/>
          <w:szCs w:val="24"/>
          <w:lang w:val="en-GB"/>
        </w:rPr>
        <w:t xml:space="preserve"> </w:t>
      </w:r>
      <w:r w:rsidR="002B3ACB" w:rsidRPr="000A40E6">
        <w:rPr>
          <w:rFonts w:eastAsia="Calibri" w:cs="Times New Roman"/>
          <w:szCs w:val="24"/>
          <w:lang w:val="en-GB"/>
        </w:rPr>
        <w:t>modifiye h</w:t>
      </w:r>
      <w:r w:rsidR="00CB6711" w:rsidRPr="000A40E6">
        <w:rPr>
          <w:rFonts w:eastAsia="Calibri" w:cs="Times New Roman"/>
          <w:szCs w:val="24"/>
          <w:lang w:val="en-GB"/>
        </w:rPr>
        <w:t xml:space="preserve">yrax vidasından oluşan </w:t>
      </w:r>
      <w:r w:rsidR="00662257" w:rsidRPr="000A40E6">
        <w:rPr>
          <w:rFonts w:eastAsia="Calibri" w:cs="Times New Roman"/>
          <w:szCs w:val="24"/>
          <w:lang w:val="en-GB"/>
        </w:rPr>
        <w:t>b</w:t>
      </w:r>
      <w:r w:rsidR="00FA362D" w:rsidRPr="000A40E6">
        <w:rPr>
          <w:rFonts w:eastAsia="Calibri" w:cs="Times New Roman"/>
          <w:szCs w:val="24"/>
          <w:lang w:val="en-GB"/>
        </w:rPr>
        <w:t>anded tip</w:t>
      </w:r>
      <w:r w:rsidR="00013E9F" w:rsidRPr="000A40E6">
        <w:rPr>
          <w:rFonts w:eastAsia="Calibri" w:cs="Times New Roman"/>
          <w:szCs w:val="24"/>
          <w:lang w:val="en-GB"/>
        </w:rPr>
        <w:t xml:space="preserve"> RME apareyi</w:t>
      </w:r>
      <w:r w:rsidR="00FA362D" w:rsidRPr="000A40E6">
        <w:rPr>
          <w:rFonts w:eastAsia="Calibri" w:cs="Times New Roman"/>
          <w:szCs w:val="24"/>
          <w:lang w:val="en-GB"/>
        </w:rPr>
        <w:t xml:space="preserve"> </w:t>
      </w:r>
      <w:r w:rsidR="00D446DE" w:rsidRPr="000A40E6">
        <w:rPr>
          <w:rFonts w:eastAsia="Calibri" w:cs="Times New Roman"/>
          <w:szCs w:val="24"/>
          <w:lang w:val="en-GB"/>
        </w:rPr>
        <w:t>uygulanmıştır</w:t>
      </w:r>
      <w:r w:rsidR="00013E9F" w:rsidRPr="000A40E6">
        <w:rPr>
          <w:rFonts w:eastAsia="Calibri" w:cs="Times New Roman"/>
          <w:szCs w:val="24"/>
          <w:lang w:val="en-GB"/>
        </w:rPr>
        <w:t xml:space="preserve"> </w:t>
      </w:r>
      <w:r w:rsidR="00FA362D" w:rsidRPr="000A40E6">
        <w:rPr>
          <w:rFonts w:cs="Times New Roman"/>
          <w:szCs w:val="24"/>
        </w:rPr>
        <w:t>(</w:t>
      </w:r>
      <w:r w:rsidR="008A55E2" w:rsidRPr="000A40E6">
        <w:rPr>
          <w:rFonts w:cs="Times New Roman"/>
          <w:szCs w:val="24"/>
        </w:rPr>
        <w:t>Cozza ve diğerleri</w:t>
      </w:r>
      <w:r w:rsidR="00FA362D" w:rsidRPr="000A40E6">
        <w:rPr>
          <w:rFonts w:cs="Times New Roman"/>
          <w:szCs w:val="24"/>
        </w:rPr>
        <w:t xml:space="preserve">, </w:t>
      </w:r>
      <w:r w:rsidR="008A55E2" w:rsidRPr="000A40E6">
        <w:rPr>
          <w:rFonts w:cs="Times New Roman"/>
          <w:szCs w:val="24"/>
        </w:rPr>
        <w:t>2001)</w:t>
      </w:r>
      <w:r w:rsidR="00D22082" w:rsidRPr="000A40E6">
        <w:rPr>
          <w:rFonts w:cs="Times New Roman"/>
          <w:szCs w:val="24"/>
        </w:rPr>
        <w:t>.</w:t>
      </w:r>
      <w:r w:rsidR="00D22082" w:rsidRPr="000A40E6">
        <w:rPr>
          <w:rFonts w:eastAsia="Calibri" w:cs="Times New Roman"/>
          <w:szCs w:val="24"/>
          <w:lang w:val="en-GB"/>
        </w:rPr>
        <w:t xml:space="preserve"> </w:t>
      </w:r>
      <w:proofErr w:type="gramStart"/>
      <w:r w:rsidRPr="000A40E6">
        <w:rPr>
          <w:rFonts w:eastAsia="Calibri" w:cs="Times New Roman"/>
          <w:szCs w:val="24"/>
          <w:lang w:val="en-GB"/>
        </w:rPr>
        <w:t>Apa</w:t>
      </w:r>
      <w:r w:rsidR="00DE637C" w:rsidRPr="000A40E6">
        <w:rPr>
          <w:rFonts w:eastAsia="Calibri" w:cs="Times New Roman"/>
          <w:szCs w:val="24"/>
          <w:lang w:val="en-GB"/>
        </w:rPr>
        <w:t>reyin yapımı için sağ ve sol maksiller</w:t>
      </w:r>
      <w:r w:rsidRPr="000A40E6">
        <w:rPr>
          <w:rFonts w:eastAsia="Calibri" w:cs="Times New Roman"/>
          <w:szCs w:val="24"/>
          <w:lang w:val="en-GB"/>
        </w:rPr>
        <w:t xml:space="preserve"> 1.</w:t>
      </w:r>
      <w:proofErr w:type="gramEnd"/>
      <w:r w:rsidRPr="000A40E6">
        <w:rPr>
          <w:rFonts w:eastAsia="Calibri" w:cs="Times New Roman"/>
          <w:szCs w:val="24"/>
          <w:lang w:val="en-GB"/>
        </w:rPr>
        <w:t xml:space="preserve"> </w:t>
      </w:r>
      <w:proofErr w:type="gramStart"/>
      <w:r w:rsidRPr="000A40E6">
        <w:rPr>
          <w:rFonts w:eastAsia="Calibri" w:cs="Times New Roman"/>
          <w:szCs w:val="24"/>
          <w:lang w:val="en-GB"/>
        </w:rPr>
        <w:t>molar</w:t>
      </w:r>
      <w:proofErr w:type="gramEnd"/>
      <w:r w:rsidRPr="000A40E6">
        <w:rPr>
          <w:rFonts w:eastAsia="Calibri" w:cs="Times New Roman"/>
          <w:szCs w:val="24"/>
          <w:lang w:val="en-GB"/>
        </w:rPr>
        <w:t xml:space="preserve"> dişler bantlanıp,</w:t>
      </w:r>
      <w:r w:rsidR="00CD0652" w:rsidRPr="000A40E6">
        <w:rPr>
          <w:rFonts w:eastAsia="Calibri" w:cs="Times New Roman"/>
          <w:szCs w:val="24"/>
          <w:lang w:val="en-GB"/>
        </w:rPr>
        <w:t xml:space="preserve"> bantlar ağızdayken</w:t>
      </w:r>
      <w:r w:rsidRPr="000A40E6">
        <w:rPr>
          <w:rFonts w:eastAsia="Calibri" w:cs="Times New Roman"/>
          <w:szCs w:val="24"/>
          <w:lang w:val="en-GB"/>
        </w:rPr>
        <w:t xml:space="preserve"> maksilladan aljinat ile ölçü alınmıştır</w:t>
      </w:r>
      <w:r w:rsidR="00D432D8" w:rsidRPr="000A40E6">
        <w:rPr>
          <w:rFonts w:eastAsia="Calibri" w:cs="Times New Roman"/>
          <w:szCs w:val="24"/>
          <w:lang w:val="en-GB"/>
        </w:rPr>
        <w:t xml:space="preserve"> (Resim 1)</w:t>
      </w:r>
      <w:r w:rsidR="006C5F21" w:rsidRPr="000A40E6">
        <w:rPr>
          <w:rFonts w:eastAsia="Calibri" w:cs="Times New Roman"/>
          <w:szCs w:val="24"/>
          <w:lang w:val="en-GB"/>
        </w:rPr>
        <w:t>.</w:t>
      </w:r>
    </w:p>
    <w:p w14:paraId="3E33FE70" w14:textId="77777777" w:rsidR="00F301EB" w:rsidRPr="000A40E6" w:rsidRDefault="00F301EB" w:rsidP="00F756C3">
      <w:pPr>
        <w:suppressAutoHyphens/>
        <w:spacing w:after="120"/>
        <w:rPr>
          <w:rFonts w:eastAsia="Calibri" w:cs="Times New Roman"/>
          <w:szCs w:val="24"/>
          <w:lang w:val="en-GB"/>
        </w:rPr>
      </w:pPr>
    </w:p>
    <w:p w14:paraId="29E75F45" w14:textId="4AA31821" w:rsidR="003C6D11" w:rsidRPr="000A40E6" w:rsidRDefault="007E55E8" w:rsidP="00F756C3">
      <w:pPr>
        <w:suppressAutoHyphens/>
        <w:spacing w:line="240" w:lineRule="atLeast"/>
        <w:ind w:firstLine="0"/>
        <w:jc w:val="center"/>
        <w:rPr>
          <w:rFonts w:cs="Times New Roman"/>
          <w:szCs w:val="24"/>
        </w:rPr>
      </w:pPr>
      <w:r w:rsidRPr="000A40E6">
        <w:rPr>
          <w:rFonts w:eastAsia="Calibri" w:cs="Times New Roman"/>
          <w:noProof/>
          <w:szCs w:val="24"/>
          <w:lang w:eastAsia="tr-TR"/>
        </w:rPr>
        <w:drawing>
          <wp:inline distT="0" distB="0" distL="0" distR="0" wp14:anchorId="21EF84D3" wp14:editId="4FF84FE1">
            <wp:extent cx="2160000" cy="2879999"/>
            <wp:effectExtent l="0" t="0" r="0" b="0"/>
            <wp:docPr id="1" name="Resim 1" descr="Açıklama: C:\Users\user\Desktop\TEZ ÖLÇÜ FOTO\DSC_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user\Desktop\TEZ ÖLÇÜ FOTO\DSC_3572.JPG"/>
                    <pic:cNvPicPr>
                      <a:picLocks noChangeAspect="1" noChangeArrowheads="1"/>
                    </pic:cNvPicPr>
                  </pic:nvPicPr>
                  <pic:blipFill>
                    <a:blip r:embed="rId11">
                      <a:extLst>
                        <a:ext uri="{28A0092B-C50C-407E-A947-70E740481C1C}">
                          <a14:useLocalDpi xmlns:a14="http://schemas.microsoft.com/office/drawing/2010/main" val="0"/>
                        </a:ext>
                      </a:extLst>
                    </a:blip>
                    <a:srcRect b="4510"/>
                    <a:stretch>
                      <a:fillRect/>
                    </a:stretch>
                  </pic:blipFill>
                  <pic:spPr bwMode="auto">
                    <a:xfrm>
                      <a:off x="0" y="0"/>
                      <a:ext cx="2160000" cy="2879999"/>
                    </a:xfrm>
                    <a:prstGeom prst="rect">
                      <a:avLst/>
                    </a:prstGeom>
                    <a:noFill/>
                    <a:ln>
                      <a:noFill/>
                    </a:ln>
                  </pic:spPr>
                </pic:pic>
              </a:graphicData>
            </a:graphic>
          </wp:inline>
        </w:drawing>
      </w:r>
    </w:p>
    <w:p w14:paraId="1A63F88D" w14:textId="47A42DE8" w:rsidR="00987D72" w:rsidRPr="000A40E6" w:rsidRDefault="00653277" w:rsidP="00F756C3">
      <w:pPr>
        <w:pStyle w:val="ResimYazs"/>
        <w:suppressAutoHyphens/>
        <w:spacing w:before="120" w:after="120" w:line="360" w:lineRule="auto"/>
        <w:ind w:left="567" w:hanging="567"/>
        <w:rPr>
          <w:rFonts w:cs="Times New Roman"/>
          <w:b w:val="0"/>
          <w:color w:val="auto"/>
          <w:sz w:val="24"/>
          <w:szCs w:val="24"/>
        </w:rPr>
      </w:pPr>
      <w:bookmarkStart w:id="71" w:name="_Toc136385549"/>
      <w:bookmarkStart w:id="72" w:name="_Toc136386376"/>
      <w:r w:rsidRPr="000A40E6">
        <w:rPr>
          <w:rFonts w:cs="Times New Roman"/>
          <w:color w:val="auto"/>
          <w:sz w:val="24"/>
          <w:szCs w:val="24"/>
        </w:rPr>
        <w:t xml:space="preserve">Resim </w:t>
      </w:r>
      <w:r w:rsidR="003F42DA" w:rsidRPr="000A40E6">
        <w:rPr>
          <w:rFonts w:cs="Times New Roman"/>
          <w:noProof/>
          <w:color w:val="auto"/>
          <w:sz w:val="24"/>
          <w:szCs w:val="24"/>
        </w:rPr>
        <w:t>1</w:t>
      </w:r>
      <w:r w:rsidRPr="000A40E6">
        <w:rPr>
          <w:rFonts w:cs="Times New Roman"/>
          <w:color w:val="auto"/>
          <w:sz w:val="24"/>
          <w:szCs w:val="24"/>
        </w:rPr>
        <w:t xml:space="preserve">. </w:t>
      </w:r>
      <w:r w:rsidR="003C6D11" w:rsidRPr="000A40E6">
        <w:rPr>
          <w:rFonts w:cs="Times New Roman"/>
          <w:b w:val="0"/>
          <w:color w:val="auto"/>
          <w:sz w:val="24"/>
          <w:szCs w:val="24"/>
        </w:rPr>
        <w:t>Maksilladan alınan bantlı ölçü</w:t>
      </w:r>
      <w:r w:rsidR="00DF7811" w:rsidRPr="000A40E6">
        <w:rPr>
          <w:rFonts w:cs="Times New Roman"/>
          <w:b w:val="0"/>
          <w:color w:val="auto"/>
          <w:sz w:val="24"/>
          <w:szCs w:val="24"/>
        </w:rPr>
        <w:t>.</w:t>
      </w:r>
      <w:bookmarkEnd w:id="71"/>
      <w:bookmarkEnd w:id="72"/>
    </w:p>
    <w:p w14:paraId="5B0030E0" w14:textId="77777777" w:rsidR="003C6D11" w:rsidRPr="000A40E6" w:rsidRDefault="003C6D11" w:rsidP="00F756C3">
      <w:pPr>
        <w:suppressAutoHyphens/>
        <w:spacing w:after="120"/>
        <w:rPr>
          <w:rFonts w:cs="Times New Roman"/>
          <w:szCs w:val="24"/>
        </w:rPr>
      </w:pPr>
    </w:p>
    <w:p w14:paraId="229F1FBE" w14:textId="6DE1943C" w:rsidR="00987D72" w:rsidRPr="000A40E6" w:rsidRDefault="007E55E8" w:rsidP="00F756C3">
      <w:pPr>
        <w:suppressAutoHyphens/>
        <w:spacing w:after="120"/>
        <w:rPr>
          <w:rFonts w:eastAsia="Calibri" w:cs="Times New Roman"/>
          <w:szCs w:val="24"/>
          <w:lang w:val="en-GB"/>
        </w:rPr>
      </w:pPr>
      <w:proofErr w:type="gramStart"/>
      <w:r w:rsidRPr="000A40E6">
        <w:rPr>
          <w:rFonts w:eastAsia="Calibri" w:cs="Times New Roman"/>
          <w:szCs w:val="24"/>
          <w:lang w:val="en-GB"/>
        </w:rPr>
        <w:t>Alınan ölçüden alçı model elde edilmiştir</w:t>
      </w:r>
      <w:r w:rsidR="00F04106" w:rsidRPr="000A40E6">
        <w:rPr>
          <w:rFonts w:eastAsia="Calibri" w:cs="Times New Roman"/>
          <w:szCs w:val="24"/>
          <w:lang w:val="en-GB"/>
        </w:rPr>
        <w:t xml:space="preserve"> (Resim 2)</w:t>
      </w:r>
      <w:r w:rsidR="00FE769D" w:rsidRPr="000A40E6">
        <w:rPr>
          <w:rFonts w:eastAsia="Calibri" w:cs="Times New Roman"/>
          <w:szCs w:val="24"/>
          <w:lang w:val="en-GB"/>
        </w:rPr>
        <w:t>.</w:t>
      </w:r>
      <w:proofErr w:type="gramEnd"/>
      <w:r w:rsidR="00FE769D" w:rsidRPr="000A40E6">
        <w:rPr>
          <w:rFonts w:eastAsia="Calibri" w:cs="Times New Roman"/>
          <w:szCs w:val="24"/>
          <w:lang w:val="en-GB"/>
        </w:rPr>
        <w:t xml:space="preserve"> </w:t>
      </w:r>
      <w:r w:rsidRPr="000A40E6">
        <w:rPr>
          <w:rFonts w:eastAsia="Calibri" w:cs="Times New Roman"/>
          <w:szCs w:val="24"/>
          <w:lang w:val="en-GB"/>
        </w:rPr>
        <w:t xml:space="preserve">Maksiller darlık miktarına göre </w:t>
      </w:r>
      <w:r w:rsidR="002B3ACB" w:rsidRPr="000A40E6">
        <w:rPr>
          <w:rFonts w:eastAsia="Calibri" w:cs="Times New Roman"/>
          <w:szCs w:val="24"/>
          <w:lang w:val="en-GB"/>
        </w:rPr>
        <w:t>h</w:t>
      </w:r>
      <w:r w:rsidRPr="000A40E6">
        <w:rPr>
          <w:rFonts w:eastAsia="Calibri" w:cs="Times New Roman"/>
          <w:szCs w:val="24"/>
          <w:lang w:val="en-GB"/>
        </w:rPr>
        <w:t>yrax vidasının (</w:t>
      </w:r>
      <w:r w:rsidR="0045582E" w:rsidRPr="000A40E6">
        <w:rPr>
          <w:rFonts w:eastAsia="Calibri" w:cs="Times New Roman"/>
          <w:szCs w:val="24"/>
          <w:lang w:val="en-GB"/>
        </w:rPr>
        <w:t>mo</w:t>
      </w:r>
      <w:r w:rsidR="00D44719" w:rsidRPr="000A40E6">
        <w:rPr>
          <w:rFonts w:eastAsia="Calibri" w:cs="Times New Roman"/>
          <w:szCs w:val="24"/>
          <w:lang w:val="en-GB"/>
        </w:rPr>
        <w:t>del AO-0620-13, model AO-0620-11</w:t>
      </w:r>
      <w:r w:rsidR="0045582E" w:rsidRPr="000A40E6">
        <w:rPr>
          <w:rFonts w:eastAsia="Calibri" w:cs="Times New Roman"/>
          <w:szCs w:val="24"/>
          <w:lang w:val="en-GB"/>
        </w:rPr>
        <w:t>, model AO-062</w:t>
      </w:r>
      <w:r w:rsidRPr="000A40E6">
        <w:rPr>
          <w:rFonts w:eastAsia="Calibri" w:cs="Times New Roman"/>
          <w:szCs w:val="24"/>
          <w:lang w:val="en-GB"/>
        </w:rPr>
        <w:t>0-9; Leo</w:t>
      </w:r>
      <w:r w:rsidR="008A6787" w:rsidRPr="000A40E6">
        <w:rPr>
          <w:rFonts w:eastAsia="Calibri" w:cs="Times New Roman"/>
          <w:szCs w:val="24"/>
          <w:lang w:val="en-GB"/>
        </w:rPr>
        <w:t>ne, Sesto Fiorentino, İtalya)</w:t>
      </w:r>
      <w:r w:rsidR="007A36BB" w:rsidRPr="000A40E6">
        <w:rPr>
          <w:rFonts w:eastAsia="Calibri" w:cs="Times New Roman"/>
          <w:szCs w:val="24"/>
          <w:lang w:val="en-GB"/>
        </w:rPr>
        <w:t xml:space="preserve"> </w:t>
      </w:r>
      <w:r w:rsidR="00D446DE" w:rsidRPr="000A40E6">
        <w:rPr>
          <w:rFonts w:eastAsia="Calibri" w:cs="Times New Roman"/>
          <w:szCs w:val="24"/>
          <w:lang w:val="en-GB"/>
        </w:rPr>
        <w:t>boyutları seçilmiştir</w:t>
      </w:r>
      <w:r w:rsidR="007A36BB" w:rsidRPr="000A40E6">
        <w:rPr>
          <w:rFonts w:eastAsia="Calibri" w:cs="Times New Roman"/>
          <w:szCs w:val="24"/>
          <w:lang w:val="en-GB"/>
        </w:rPr>
        <w:t xml:space="preserve"> (Resim 3)</w:t>
      </w:r>
      <w:r w:rsidR="00D446DE" w:rsidRPr="000A40E6">
        <w:rPr>
          <w:rFonts w:eastAsia="Calibri" w:cs="Times New Roman"/>
          <w:szCs w:val="24"/>
          <w:lang w:val="en-GB"/>
        </w:rPr>
        <w:t>.</w:t>
      </w:r>
      <w:r w:rsidR="00CD22C1" w:rsidRPr="000A40E6">
        <w:rPr>
          <w:rFonts w:eastAsia="Calibri" w:cs="Times New Roman"/>
          <w:szCs w:val="24"/>
          <w:lang w:val="en-GB"/>
        </w:rPr>
        <w:t xml:space="preserve"> </w:t>
      </w:r>
      <w:r w:rsidR="00BE106E" w:rsidRPr="000A40E6">
        <w:rPr>
          <w:rFonts w:cs="Times New Roman"/>
          <w:szCs w:val="24"/>
        </w:rPr>
        <w:t xml:space="preserve">Vidanın 1 turu (4 çeyrek tur) </w:t>
      </w:r>
      <w:proofErr w:type="gramStart"/>
      <w:r w:rsidR="00BE106E" w:rsidRPr="000A40E6">
        <w:rPr>
          <w:rFonts w:cs="Times New Roman"/>
          <w:szCs w:val="24"/>
        </w:rPr>
        <w:t>0.8</w:t>
      </w:r>
      <w:proofErr w:type="gramEnd"/>
      <w:r w:rsidR="00BE106E" w:rsidRPr="000A40E6">
        <w:rPr>
          <w:rFonts w:cs="Times New Roman"/>
          <w:szCs w:val="24"/>
        </w:rPr>
        <w:t xml:space="preserve"> mm’lik ekspansiyona denk gelmektedir.</w:t>
      </w:r>
      <w:r w:rsidR="006E6340" w:rsidRPr="000A40E6">
        <w:rPr>
          <w:rFonts w:eastAsia="Calibri" w:cs="Times New Roman"/>
          <w:szCs w:val="24"/>
          <w:lang w:val="en-GB"/>
        </w:rPr>
        <w:t xml:space="preserve"> </w:t>
      </w:r>
      <w:proofErr w:type="gramStart"/>
      <w:r w:rsidR="000F607D" w:rsidRPr="000A40E6">
        <w:rPr>
          <w:rFonts w:eastAsia="Calibri" w:cs="Times New Roman"/>
          <w:szCs w:val="24"/>
          <w:lang w:val="en-GB"/>
        </w:rPr>
        <w:t xml:space="preserve">Hyrax vidası </w:t>
      </w:r>
      <w:r w:rsidR="000F607D" w:rsidRPr="000A40E6">
        <w:rPr>
          <w:rFonts w:cs="Times New Roman"/>
          <w:szCs w:val="24"/>
        </w:rPr>
        <w:t xml:space="preserve">elde edilen bantlı model üzerinde </w:t>
      </w:r>
      <w:r w:rsidR="000F607D" w:rsidRPr="000A40E6">
        <w:rPr>
          <w:rFonts w:eastAsia="Calibri" w:cs="Times New Roman"/>
          <w:szCs w:val="24"/>
          <w:lang w:val="en-GB"/>
        </w:rPr>
        <w:t>damağın tam merkezine gelec</w:t>
      </w:r>
      <w:r w:rsidR="00F6469F" w:rsidRPr="000A40E6">
        <w:rPr>
          <w:rFonts w:eastAsia="Calibri" w:cs="Times New Roman"/>
          <w:szCs w:val="24"/>
          <w:lang w:val="en-GB"/>
        </w:rPr>
        <w:t>ek şekilde konumlandırılmıştır.</w:t>
      </w:r>
      <w:proofErr w:type="gramEnd"/>
      <w:r w:rsidR="00F6469F" w:rsidRPr="000A40E6">
        <w:rPr>
          <w:rFonts w:eastAsia="Calibri" w:cs="Times New Roman"/>
          <w:szCs w:val="24"/>
          <w:lang w:val="en-GB"/>
        </w:rPr>
        <w:t xml:space="preserve"> </w:t>
      </w:r>
      <w:proofErr w:type="gramStart"/>
      <w:r w:rsidR="006B7B50" w:rsidRPr="000A40E6">
        <w:rPr>
          <w:rFonts w:eastAsia="Calibri" w:cs="Times New Roman"/>
          <w:szCs w:val="24"/>
          <w:lang w:val="en-GB"/>
        </w:rPr>
        <w:t>Ardından h</w:t>
      </w:r>
      <w:r w:rsidR="000F607D" w:rsidRPr="000A40E6">
        <w:rPr>
          <w:rFonts w:eastAsia="Calibri" w:cs="Times New Roman"/>
          <w:szCs w:val="24"/>
          <w:lang w:val="en-GB"/>
        </w:rPr>
        <w:t xml:space="preserve">yrax </w:t>
      </w:r>
      <w:r w:rsidR="000F607D" w:rsidRPr="000A40E6">
        <w:rPr>
          <w:rFonts w:cs="Times New Roman"/>
          <w:szCs w:val="24"/>
        </w:rPr>
        <w:t>vidasının</w:t>
      </w:r>
      <w:r w:rsidR="00CD0652" w:rsidRPr="000A40E6">
        <w:rPr>
          <w:rFonts w:cs="Times New Roman"/>
          <w:szCs w:val="24"/>
        </w:rPr>
        <w:t xml:space="preserve"> kolları, </w:t>
      </w:r>
      <w:r w:rsidR="00D446DE" w:rsidRPr="000A40E6">
        <w:rPr>
          <w:rFonts w:eastAsia="Calibri" w:cs="Times New Roman"/>
          <w:szCs w:val="24"/>
          <w:lang w:val="en-GB"/>
        </w:rPr>
        <w:t xml:space="preserve">mümkün olduğunca damağa paralel ve yakın olacak şekilde bantlı dişlerin palatinaline uyumlu </w:t>
      </w:r>
      <w:r w:rsidR="00416535" w:rsidRPr="000A40E6">
        <w:rPr>
          <w:rFonts w:eastAsia="Calibri" w:cs="Times New Roman"/>
          <w:szCs w:val="24"/>
          <w:lang w:val="en-GB"/>
        </w:rPr>
        <w:t>bükülmüştür.</w:t>
      </w:r>
      <w:proofErr w:type="gramEnd"/>
      <w:r w:rsidR="00C204B0" w:rsidRPr="000A40E6">
        <w:rPr>
          <w:rFonts w:eastAsia="Calibri" w:cs="Times New Roman"/>
          <w:szCs w:val="24"/>
          <w:lang w:val="en-GB"/>
        </w:rPr>
        <w:t xml:space="preserve"> </w:t>
      </w:r>
      <w:proofErr w:type="gramStart"/>
      <w:r w:rsidR="00C204B0" w:rsidRPr="000A40E6">
        <w:rPr>
          <w:rFonts w:eastAsia="Calibri" w:cs="Times New Roman"/>
          <w:szCs w:val="24"/>
          <w:lang w:val="en-GB"/>
        </w:rPr>
        <w:t>B</w:t>
      </w:r>
      <w:r w:rsidR="00F31921" w:rsidRPr="000A40E6">
        <w:rPr>
          <w:rFonts w:cs="Times New Roman"/>
          <w:szCs w:val="24"/>
        </w:rPr>
        <w:t>u kollar alçı model üzerindeki bantlara lehimlenerek katı bir şekilde sabitlenmiştir</w:t>
      </w:r>
      <w:r w:rsidR="00CD0652" w:rsidRPr="000A40E6">
        <w:rPr>
          <w:rFonts w:cs="Times New Roman"/>
          <w:szCs w:val="24"/>
        </w:rPr>
        <w:t>.</w:t>
      </w:r>
      <w:proofErr w:type="gramEnd"/>
    </w:p>
    <w:p w14:paraId="2DD7AF78" w14:textId="0200B15F" w:rsidR="00DF7811" w:rsidRPr="000A40E6" w:rsidRDefault="007E55E8" w:rsidP="00F756C3">
      <w:pPr>
        <w:suppressAutoHyphens/>
        <w:spacing w:line="240" w:lineRule="atLeast"/>
        <w:ind w:firstLine="0"/>
        <w:jc w:val="center"/>
        <w:rPr>
          <w:rFonts w:cs="Times New Roman"/>
          <w:szCs w:val="24"/>
        </w:rPr>
      </w:pPr>
      <w:r w:rsidRPr="000A40E6">
        <w:rPr>
          <w:rFonts w:eastAsia="Calibri" w:cs="Times New Roman"/>
          <w:noProof/>
          <w:szCs w:val="24"/>
          <w:lang w:eastAsia="tr-TR"/>
        </w:rPr>
        <w:drawing>
          <wp:inline distT="0" distB="0" distL="0" distR="0" wp14:anchorId="0458ABF9" wp14:editId="682FA0EF">
            <wp:extent cx="2160000" cy="1818455"/>
            <wp:effectExtent l="0" t="0" r="0" b="0"/>
            <wp:docPr id="2" name="Resim 2" descr="Açıklama: C:\Users\user\Desktop\TEZ İÇİN MODEL FOTO 23.06.22\DSC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user\Desktop\TEZ İÇİN MODEL FOTO 23.06.22\DSC_38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818455"/>
                    </a:xfrm>
                    <a:prstGeom prst="rect">
                      <a:avLst/>
                    </a:prstGeom>
                    <a:noFill/>
                    <a:ln>
                      <a:noFill/>
                    </a:ln>
                  </pic:spPr>
                </pic:pic>
              </a:graphicData>
            </a:graphic>
          </wp:inline>
        </w:drawing>
      </w:r>
    </w:p>
    <w:p w14:paraId="201A9690" w14:textId="6FA12874" w:rsidR="00F6349D" w:rsidRPr="000A40E6" w:rsidRDefault="00653277" w:rsidP="00F756C3">
      <w:pPr>
        <w:pStyle w:val="ResimYazs"/>
        <w:suppressAutoHyphens/>
        <w:spacing w:before="120" w:after="120" w:line="360" w:lineRule="auto"/>
        <w:ind w:left="567" w:hanging="567"/>
        <w:rPr>
          <w:rFonts w:cs="Times New Roman"/>
          <w:color w:val="auto"/>
          <w:sz w:val="24"/>
          <w:szCs w:val="24"/>
        </w:rPr>
      </w:pPr>
      <w:bookmarkStart w:id="73" w:name="_Toc136385550"/>
      <w:bookmarkStart w:id="74" w:name="_Toc136386377"/>
      <w:r w:rsidRPr="000A40E6">
        <w:rPr>
          <w:rFonts w:cs="Times New Roman"/>
          <w:color w:val="auto"/>
          <w:sz w:val="24"/>
          <w:szCs w:val="24"/>
        </w:rPr>
        <w:t xml:space="preserve">Resim </w:t>
      </w:r>
      <w:r w:rsidR="003F42DA" w:rsidRPr="000A40E6">
        <w:rPr>
          <w:rFonts w:cs="Times New Roman"/>
          <w:noProof/>
          <w:color w:val="auto"/>
          <w:sz w:val="24"/>
          <w:szCs w:val="24"/>
        </w:rPr>
        <w:t>2</w:t>
      </w:r>
      <w:r w:rsidRPr="000A40E6">
        <w:rPr>
          <w:rFonts w:cs="Times New Roman"/>
          <w:color w:val="auto"/>
          <w:sz w:val="24"/>
          <w:szCs w:val="24"/>
        </w:rPr>
        <w:t xml:space="preserve">. </w:t>
      </w:r>
      <w:r w:rsidR="00DF7811" w:rsidRPr="000A40E6">
        <w:rPr>
          <w:rFonts w:cs="Times New Roman"/>
          <w:b w:val="0"/>
          <w:color w:val="auto"/>
          <w:sz w:val="24"/>
          <w:szCs w:val="24"/>
        </w:rPr>
        <w:t>Alınan ölçüden elde edilen alçı model</w:t>
      </w:r>
      <w:r w:rsidR="00DF7811" w:rsidRPr="000A40E6">
        <w:rPr>
          <w:rFonts w:cs="Times New Roman"/>
          <w:color w:val="auto"/>
          <w:sz w:val="24"/>
          <w:szCs w:val="24"/>
        </w:rPr>
        <w:t>.</w:t>
      </w:r>
      <w:bookmarkEnd w:id="73"/>
      <w:bookmarkEnd w:id="74"/>
    </w:p>
    <w:p w14:paraId="04E41CDD" w14:textId="77777777" w:rsidR="00F301EB" w:rsidRPr="000A40E6" w:rsidRDefault="00F301EB" w:rsidP="00F756C3">
      <w:pPr>
        <w:suppressAutoHyphens/>
      </w:pPr>
    </w:p>
    <w:p w14:paraId="737F550D" w14:textId="1499EB06" w:rsidR="00DF7811" w:rsidRPr="000A40E6" w:rsidRDefault="007E55E8" w:rsidP="00F756C3">
      <w:pPr>
        <w:suppressAutoHyphens/>
        <w:spacing w:line="240" w:lineRule="atLeast"/>
        <w:ind w:firstLine="0"/>
        <w:jc w:val="center"/>
        <w:rPr>
          <w:rFonts w:cs="Times New Roman"/>
          <w:szCs w:val="24"/>
        </w:rPr>
      </w:pPr>
      <w:r w:rsidRPr="000A40E6">
        <w:rPr>
          <w:rFonts w:eastAsia="Calibri" w:cs="Times New Roman"/>
          <w:noProof/>
          <w:szCs w:val="24"/>
          <w:lang w:eastAsia="tr-TR"/>
        </w:rPr>
        <w:drawing>
          <wp:inline distT="0" distB="0" distL="0" distR="0" wp14:anchorId="5F31EAE8" wp14:editId="0C9EB09D">
            <wp:extent cx="2160000" cy="717220"/>
            <wp:effectExtent l="0" t="0" r="0" b="6985"/>
            <wp:docPr id="3" name="Resim 3" descr="Açıklama: F:\TEZ FOTO ÇİMEN\DSC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F:\TEZ FOTO ÇİMEN\DSC_177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14" t="26781" r="9453" b="32022"/>
                    <a:stretch/>
                  </pic:blipFill>
                  <pic:spPr bwMode="auto">
                    <a:xfrm>
                      <a:off x="0" y="0"/>
                      <a:ext cx="2160000" cy="717220"/>
                    </a:xfrm>
                    <a:prstGeom prst="rect">
                      <a:avLst/>
                    </a:prstGeom>
                    <a:noFill/>
                    <a:ln>
                      <a:noFill/>
                    </a:ln>
                    <a:extLst>
                      <a:ext uri="{53640926-AAD7-44D8-BBD7-CCE9431645EC}">
                        <a14:shadowObscured xmlns:a14="http://schemas.microsoft.com/office/drawing/2010/main"/>
                      </a:ext>
                    </a:extLst>
                  </pic:spPr>
                </pic:pic>
              </a:graphicData>
            </a:graphic>
          </wp:inline>
        </w:drawing>
      </w:r>
    </w:p>
    <w:p w14:paraId="3A7887B9" w14:textId="6605280C" w:rsidR="007E55E8" w:rsidRPr="000A40E6" w:rsidRDefault="00653277" w:rsidP="00F756C3">
      <w:pPr>
        <w:pStyle w:val="ResimYazs"/>
        <w:suppressAutoHyphens/>
        <w:spacing w:before="120" w:after="120" w:line="360" w:lineRule="auto"/>
        <w:ind w:left="567" w:hanging="567"/>
        <w:rPr>
          <w:rFonts w:eastAsia="Calibri" w:cs="Times New Roman"/>
          <w:b w:val="0"/>
          <w:color w:val="auto"/>
          <w:sz w:val="24"/>
          <w:szCs w:val="24"/>
          <w:lang w:val="en-GB"/>
        </w:rPr>
      </w:pPr>
      <w:bookmarkStart w:id="75" w:name="_Toc136385551"/>
      <w:bookmarkStart w:id="76" w:name="_Toc136386378"/>
      <w:r w:rsidRPr="000A40E6">
        <w:rPr>
          <w:rFonts w:cs="Times New Roman"/>
          <w:color w:val="auto"/>
          <w:sz w:val="24"/>
          <w:szCs w:val="24"/>
        </w:rPr>
        <w:t xml:space="preserve">Resim </w:t>
      </w:r>
      <w:r w:rsidR="003F42DA" w:rsidRPr="000A40E6">
        <w:rPr>
          <w:rFonts w:cs="Times New Roman"/>
          <w:noProof/>
          <w:color w:val="auto"/>
          <w:sz w:val="24"/>
          <w:szCs w:val="24"/>
        </w:rPr>
        <w:t>3</w:t>
      </w:r>
      <w:r w:rsidRPr="000A40E6">
        <w:rPr>
          <w:rFonts w:cs="Times New Roman"/>
          <w:color w:val="auto"/>
          <w:sz w:val="24"/>
          <w:szCs w:val="24"/>
        </w:rPr>
        <w:t xml:space="preserve">. </w:t>
      </w:r>
      <w:r w:rsidR="00573CEF" w:rsidRPr="000A40E6">
        <w:rPr>
          <w:rFonts w:cs="Times New Roman"/>
          <w:b w:val="0"/>
          <w:color w:val="auto"/>
          <w:sz w:val="24"/>
          <w:szCs w:val="24"/>
        </w:rPr>
        <w:t>Çalışmada kullanılan h</w:t>
      </w:r>
      <w:r w:rsidR="00DF7811" w:rsidRPr="000A40E6">
        <w:rPr>
          <w:rFonts w:cs="Times New Roman"/>
          <w:b w:val="0"/>
          <w:color w:val="auto"/>
          <w:sz w:val="24"/>
          <w:szCs w:val="24"/>
        </w:rPr>
        <w:t>yrax vidası (model AO-0620-11).</w:t>
      </w:r>
      <w:bookmarkEnd w:id="75"/>
      <w:bookmarkEnd w:id="76"/>
    </w:p>
    <w:p w14:paraId="35821082" w14:textId="77777777" w:rsidR="00D17133" w:rsidRPr="000A40E6" w:rsidRDefault="00D17133" w:rsidP="00F756C3">
      <w:pPr>
        <w:suppressAutoHyphens/>
        <w:spacing w:after="120"/>
        <w:rPr>
          <w:rFonts w:eastAsia="Calibri" w:cs="Times New Roman"/>
          <w:szCs w:val="24"/>
          <w:lang w:val="en-GB"/>
        </w:rPr>
      </w:pPr>
    </w:p>
    <w:p w14:paraId="3616AF09" w14:textId="6FD9F98D" w:rsidR="00987D72" w:rsidRPr="000A40E6" w:rsidRDefault="004938AB" w:rsidP="00F756C3">
      <w:pPr>
        <w:suppressAutoHyphens/>
        <w:spacing w:after="120"/>
        <w:rPr>
          <w:rFonts w:eastAsia="Calibri" w:cs="Times New Roman"/>
          <w:szCs w:val="24"/>
          <w:lang w:val="en-GB"/>
        </w:rPr>
      </w:pPr>
      <w:r w:rsidRPr="000A40E6">
        <w:rPr>
          <w:rFonts w:cs="Times New Roman"/>
          <w:szCs w:val="24"/>
        </w:rPr>
        <w:t>Sonrasında tesviye ve polisaj işlemleri yapılarak aparey ağıza yerleştirmeye uygun hale getirilmiştir</w:t>
      </w:r>
      <w:r w:rsidR="00401C6E" w:rsidRPr="000A40E6">
        <w:rPr>
          <w:rFonts w:cs="Times New Roman"/>
          <w:szCs w:val="24"/>
        </w:rPr>
        <w:t xml:space="preserve"> </w:t>
      </w:r>
      <w:r w:rsidR="0070200E" w:rsidRPr="000A40E6">
        <w:rPr>
          <w:rFonts w:cs="Times New Roman"/>
          <w:szCs w:val="24"/>
        </w:rPr>
        <w:t>(Resim 4)</w:t>
      </w:r>
      <w:r w:rsidRPr="000A40E6">
        <w:rPr>
          <w:rFonts w:cs="Times New Roman"/>
          <w:szCs w:val="24"/>
        </w:rPr>
        <w:t>.</w:t>
      </w:r>
    </w:p>
    <w:p w14:paraId="454F03EB" w14:textId="18479527" w:rsidR="00E03C20" w:rsidRPr="000A40E6" w:rsidRDefault="007E55E8" w:rsidP="00F756C3">
      <w:pPr>
        <w:suppressAutoHyphens/>
        <w:spacing w:line="240" w:lineRule="atLeast"/>
        <w:ind w:firstLine="0"/>
        <w:jc w:val="center"/>
        <w:rPr>
          <w:rFonts w:cs="Times New Roman"/>
          <w:szCs w:val="24"/>
        </w:rPr>
      </w:pPr>
      <w:r w:rsidRPr="000A40E6">
        <w:rPr>
          <w:rFonts w:eastAsia="Calibri" w:cs="Times New Roman"/>
          <w:noProof/>
          <w:szCs w:val="24"/>
          <w:lang w:eastAsia="tr-TR"/>
        </w:rPr>
        <w:drawing>
          <wp:inline distT="0" distB="0" distL="0" distR="0" wp14:anchorId="3CF23DD8" wp14:editId="5B9882F0">
            <wp:extent cx="2160000" cy="1884256"/>
            <wp:effectExtent l="0" t="0" r="0" b="1905"/>
            <wp:docPr id="4" name="Resim 4" descr="Açıklama: C:\Users\user\Desktop\TEZ FOTO\DSC_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C:\Users\user\Desktop\TEZ FOTO\DSC_4224.JPG"/>
                    <pic:cNvPicPr>
                      <a:picLocks noChangeAspect="1" noChangeArrowheads="1"/>
                    </pic:cNvPicPr>
                  </pic:nvPicPr>
                  <pic:blipFill>
                    <a:blip r:embed="rId14">
                      <a:extLst>
                        <a:ext uri="{28A0092B-C50C-407E-A947-70E740481C1C}">
                          <a14:useLocalDpi xmlns:a14="http://schemas.microsoft.com/office/drawing/2010/main" val="0"/>
                        </a:ext>
                      </a:extLst>
                    </a:blip>
                    <a:srcRect l="5147" r="4781" b="2130"/>
                    <a:stretch>
                      <a:fillRect/>
                    </a:stretch>
                  </pic:blipFill>
                  <pic:spPr bwMode="auto">
                    <a:xfrm>
                      <a:off x="0" y="0"/>
                      <a:ext cx="2160000" cy="1884256"/>
                    </a:xfrm>
                    <a:prstGeom prst="rect">
                      <a:avLst/>
                    </a:prstGeom>
                    <a:noFill/>
                    <a:ln>
                      <a:noFill/>
                    </a:ln>
                  </pic:spPr>
                </pic:pic>
              </a:graphicData>
            </a:graphic>
          </wp:inline>
        </w:drawing>
      </w:r>
    </w:p>
    <w:p w14:paraId="1AEBA59E" w14:textId="70A84396" w:rsidR="007E55E8" w:rsidRPr="000A40E6" w:rsidRDefault="002240FA" w:rsidP="00F756C3">
      <w:pPr>
        <w:pStyle w:val="ResimYazs"/>
        <w:suppressAutoHyphens/>
        <w:spacing w:before="120" w:after="120" w:line="360" w:lineRule="auto"/>
        <w:ind w:left="567" w:hanging="567"/>
        <w:rPr>
          <w:rFonts w:eastAsia="Calibri" w:cs="Times New Roman"/>
          <w:color w:val="auto"/>
          <w:sz w:val="24"/>
          <w:szCs w:val="24"/>
          <w:lang w:val="en-GB"/>
        </w:rPr>
      </w:pPr>
      <w:bookmarkStart w:id="77" w:name="_Toc136385552"/>
      <w:bookmarkStart w:id="78" w:name="_Toc136386379"/>
      <w:r w:rsidRPr="000A40E6">
        <w:rPr>
          <w:rFonts w:cs="Times New Roman"/>
          <w:color w:val="auto"/>
          <w:sz w:val="24"/>
          <w:szCs w:val="24"/>
        </w:rPr>
        <w:t xml:space="preserve">Resim </w:t>
      </w:r>
      <w:r w:rsidR="003F42DA" w:rsidRPr="000A40E6">
        <w:rPr>
          <w:rFonts w:cs="Times New Roman"/>
          <w:noProof/>
          <w:color w:val="auto"/>
          <w:sz w:val="24"/>
          <w:szCs w:val="24"/>
        </w:rPr>
        <w:t>4</w:t>
      </w:r>
      <w:r w:rsidRPr="000A40E6">
        <w:rPr>
          <w:rFonts w:cs="Times New Roman"/>
          <w:color w:val="auto"/>
          <w:sz w:val="24"/>
          <w:szCs w:val="24"/>
        </w:rPr>
        <w:t xml:space="preserve">. </w:t>
      </w:r>
      <w:r w:rsidR="00E03C20" w:rsidRPr="000A40E6">
        <w:rPr>
          <w:rFonts w:cs="Times New Roman"/>
          <w:b w:val="0"/>
          <w:color w:val="auto"/>
          <w:sz w:val="24"/>
          <w:szCs w:val="24"/>
        </w:rPr>
        <w:t>Apareyin tesviye ve cila işlemleri sonrası durumu.</w:t>
      </w:r>
      <w:bookmarkEnd w:id="77"/>
      <w:bookmarkEnd w:id="78"/>
    </w:p>
    <w:p w14:paraId="5D3D4DE7" w14:textId="77777777" w:rsidR="007E55E8" w:rsidRPr="000A40E6" w:rsidRDefault="007E55E8" w:rsidP="00F756C3">
      <w:pPr>
        <w:suppressAutoHyphens/>
        <w:spacing w:after="120"/>
        <w:rPr>
          <w:rFonts w:eastAsia="Calibri" w:cs="Times New Roman"/>
          <w:szCs w:val="24"/>
          <w:lang w:val="en-GB"/>
        </w:rPr>
      </w:pPr>
    </w:p>
    <w:p w14:paraId="13E276E7" w14:textId="77777777" w:rsidR="007E55E8" w:rsidRPr="000A40E6" w:rsidRDefault="007E55E8" w:rsidP="00F756C3">
      <w:pPr>
        <w:suppressAutoHyphens/>
        <w:spacing w:after="120"/>
        <w:ind w:firstLine="0"/>
        <w:rPr>
          <w:rFonts w:cs="Times New Roman"/>
          <w:b/>
          <w:szCs w:val="24"/>
        </w:rPr>
      </w:pPr>
      <w:bookmarkStart w:id="79" w:name="_Toc136443413"/>
      <w:r w:rsidRPr="000A40E6">
        <w:rPr>
          <w:rFonts w:cs="Times New Roman"/>
          <w:b/>
          <w:szCs w:val="24"/>
        </w:rPr>
        <w:t>3.3.3. Apareyin Simantasyonu ve Aktive Edilmesi</w:t>
      </w:r>
      <w:bookmarkEnd w:id="79"/>
    </w:p>
    <w:p w14:paraId="71F8498A" w14:textId="77777777" w:rsidR="007E55E8" w:rsidRPr="000A40E6" w:rsidRDefault="007E55E8" w:rsidP="00F756C3">
      <w:pPr>
        <w:suppressAutoHyphens/>
        <w:spacing w:after="120"/>
        <w:rPr>
          <w:rFonts w:eastAsia="Calibri" w:cs="Times New Roman"/>
          <w:b/>
          <w:szCs w:val="24"/>
          <w:lang w:val="en-GB"/>
        </w:rPr>
      </w:pPr>
    </w:p>
    <w:p w14:paraId="3808B017" w14:textId="0D31C79F" w:rsidR="007E55E8" w:rsidRPr="000A40E6" w:rsidRDefault="007E55E8" w:rsidP="00F756C3">
      <w:pPr>
        <w:suppressAutoHyphens/>
        <w:spacing w:after="120"/>
        <w:rPr>
          <w:rFonts w:eastAsia="Calibri" w:cs="Times New Roman"/>
          <w:szCs w:val="24"/>
          <w:lang w:val="en-GB"/>
        </w:rPr>
      </w:pPr>
      <w:r w:rsidRPr="000A40E6">
        <w:rPr>
          <w:rFonts w:eastAsia="Calibri" w:cs="Times New Roman"/>
          <w:szCs w:val="24"/>
          <w:lang w:val="en-GB"/>
        </w:rPr>
        <w:t xml:space="preserve">Sağ ve sol maksiller 1. </w:t>
      </w:r>
      <w:proofErr w:type="gramStart"/>
      <w:r w:rsidRPr="000A40E6">
        <w:rPr>
          <w:rFonts w:eastAsia="Calibri" w:cs="Times New Roman"/>
          <w:szCs w:val="24"/>
          <w:lang w:val="en-GB"/>
        </w:rPr>
        <w:t>molar</w:t>
      </w:r>
      <w:proofErr w:type="gramEnd"/>
      <w:r w:rsidRPr="000A40E6">
        <w:rPr>
          <w:rFonts w:eastAsia="Calibri" w:cs="Times New Roman"/>
          <w:szCs w:val="24"/>
          <w:lang w:val="en-GB"/>
        </w:rPr>
        <w:t xml:space="preserve"> dişler hava ile kurutulup, pamuk rulolarla ve tükürük emici ile izole edilmiştir. </w:t>
      </w:r>
      <w:proofErr w:type="gramStart"/>
      <w:r w:rsidRPr="000A40E6">
        <w:rPr>
          <w:rFonts w:eastAsia="Calibri" w:cs="Times New Roman"/>
          <w:szCs w:val="24"/>
          <w:lang w:val="en-GB"/>
        </w:rPr>
        <w:t>Cam iyonomer siman (3M Unitek</w:t>
      </w:r>
      <w:r w:rsidR="00C44D97" w:rsidRPr="000A40E6">
        <w:rPr>
          <w:rFonts w:eastAsia="Calibri" w:cs="Times New Roman"/>
          <w:szCs w:val="24"/>
          <w:lang w:val="en-GB"/>
        </w:rPr>
        <w:t>,</w:t>
      </w:r>
      <w:r w:rsidR="00281870" w:rsidRPr="000A40E6">
        <w:rPr>
          <w:rFonts w:eastAsia="Calibri" w:cs="Times New Roman"/>
          <w:szCs w:val="24"/>
          <w:lang w:val="en-GB"/>
        </w:rPr>
        <w:t xml:space="preserve"> 3</w:t>
      </w:r>
      <w:r w:rsidR="00281870" w:rsidRPr="000A40E6">
        <w:rPr>
          <w:rFonts w:cs="Times New Roman"/>
          <w:szCs w:val="24"/>
        </w:rPr>
        <w:t>M UNITEK Dental Products</w:t>
      </w:r>
      <w:r w:rsidR="00C44D97" w:rsidRPr="000A40E6">
        <w:rPr>
          <w:rFonts w:eastAsia="Calibri" w:cs="Times New Roman"/>
          <w:szCs w:val="24"/>
          <w:lang w:val="en-GB"/>
        </w:rPr>
        <w:t xml:space="preserve">, </w:t>
      </w:r>
      <w:r w:rsidR="00450FBD" w:rsidRPr="000A40E6">
        <w:rPr>
          <w:rFonts w:eastAsia="Calibri" w:cs="Times New Roman"/>
          <w:szCs w:val="24"/>
          <w:lang w:val="en-GB"/>
        </w:rPr>
        <w:t>Monrovia, ABD</w:t>
      </w:r>
      <w:r w:rsidRPr="000A40E6">
        <w:rPr>
          <w:rFonts w:eastAsia="Calibri" w:cs="Times New Roman"/>
          <w:szCs w:val="24"/>
          <w:lang w:val="en-GB"/>
        </w:rPr>
        <w:t>)</w:t>
      </w:r>
      <w:r w:rsidR="00DB7034" w:rsidRPr="000A40E6">
        <w:rPr>
          <w:rFonts w:eastAsia="Calibri" w:cs="Times New Roman"/>
          <w:szCs w:val="24"/>
          <w:lang w:val="en-GB"/>
        </w:rPr>
        <w:t xml:space="preserve"> </w:t>
      </w:r>
      <w:r w:rsidRPr="000A40E6">
        <w:rPr>
          <w:rFonts w:eastAsia="Calibri" w:cs="Times New Roman"/>
          <w:szCs w:val="24"/>
          <w:lang w:val="en-GB"/>
        </w:rPr>
        <w:t>3/1 toz likit oranıyla karıştırılmıştır</w:t>
      </w:r>
      <w:r w:rsidR="00DB7034" w:rsidRPr="000A40E6">
        <w:rPr>
          <w:rFonts w:eastAsia="Calibri" w:cs="Times New Roman"/>
          <w:szCs w:val="24"/>
          <w:lang w:val="en-GB"/>
        </w:rPr>
        <w:t xml:space="preserve"> (Resim 5)</w:t>
      </w:r>
      <w:r w:rsidRPr="000A40E6">
        <w:rPr>
          <w:rFonts w:eastAsia="Calibri" w:cs="Times New Roman"/>
          <w:szCs w:val="24"/>
          <w:lang w:val="en-GB"/>
        </w:rPr>
        <w:t>.</w:t>
      </w:r>
      <w:proofErr w:type="gramEnd"/>
      <w:r w:rsidRPr="000A40E6">
        <w:rPr>
          <w:rFonts w:eastAsia="Calibri" w:cs="Times New Roman"/>
          <w:szCs w:val="24"/>
          <w:lang w:val="en-GB"/>
        </w:rPr>
        <w:t xml:space="preserve"> Hazırlanan cam iyonomer siman bantların iç yüzeyine sürüldükten sonra aparey, bantların 1. </w:t>
      </w:r>
      <w:proofErr w:type="gramStart"/>
      <w:r w:rsidRPr="000A40E6">
        <w:rPr>
          <w:rFonts w:eastAsia="Calibri" w:cs="Times New Roman"/>
          <w:szCs w:val="24"/>
          <w:lang w:val="en-GB"/>
        </w:rPr>
        <w:t>molar</w:t>
      </w:r>
      <w:proofErr w:type="gramEnd"/>
      <w:r w:rsidRPr="000A40E6">
        <w:rPr>
          <w:rFonts w:eastAsia="Calibri" w:cs="Times New Roman"/>
          <w:szCs w:val="24"/>
          <w:lang w:val="en-GB"/>
        </w:rPr>
        <w:t xml:space="preserve"> dişlere yerleştirilmesi suret</w:t>
      </w:r>
      <w:r w:rsidR="0090013F" w:rsidRPr="000A40E6">
        <w:rPr>
          <w:rFonts w:eastAsia="Calibri" w:cs="Times New Roman"/>
          <w:szCs w:val="24"/>
          <w:lang w:val="en-GB"/>
        </w:rPr>
        <w:t>iyle ağız içine uygulanmıştır.</w:t>
      </w:r>
    </w:p>
    <w:p w14:paraId="3B0A2776" w14:textId="77777777" w:rsidR="00F756C3" w:rsidRPr="000A40E6" w:rsidRDefault="00F756C3" w:rsidP="00F756C3">
      <w:pPr>
        <w:suppressAutoHyphens/>
        <w:spacing w:after="120"/>
        <w:rPr>
          <w:rFonts w:eastAsia="Calibri" w:cs="Times New Roman"/>
          <w:szCs w:val="24"/>
          <w:lang w:val="en-GB"/>
        </w:rPr>
      </w:pPr>
    </w:p>
    <w:p w14:paraId="67F09ADB" w14:textId="49C3D90E" w:rsidR="00232BE0" w:rsidRPr="000A40E6" w:rsidRDefault="007E55E8" w:rsidP="00F756C3">
      <w:pPr>
        <w:suppressAutoHyphens/>
        <w:spacing w:line="240" w:lineRule="atLeast"/>
        <w:ind w:firstLine="0"/>
        <w:jc w:val="center"/>
        <w:rPr>
          <w:rFonts w:cs="Times New Roman"/>
          <w:szCs w:val="24"/>
        </w:rPr>
      </w:pPr>
      <w:r w:rsidRPr="000A40E6">
        <w:rPr>
          <w:rFonts w:eastAsia="Calibri" w:cs="Times New Roman"/>
          <w:noProof/>
          <w:szCs w:val="24"/>
          <w:lang w:eastAsia="tr-TR"/>
        </w:rPr>
        <w:drawing>
          <wp:inline distT="0" distB="0" distL="0" distR="0" wp14:anchorId="65EB5B8A" wp14:editId="7E2C1D3B">
            <wp:extent cx="2520000" cy="1579805"/>
            <wp:effectExtent l="0" t="0" r="0" b="1905"/>
            <wp:docPr id="5" name="Resim 5" descr="Açıklama: F:\TEZ FOTO ÇİMEN\DSC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F:\TEZ FOTO ÇİMEN\DSC_178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569" t="7742" r="4622" b="14547"/>
                    <a:stretch/>
                  </pic:blipFill>
                  <pic:spPr bwMode="auto">
                    <a:xfrm>
                      <a:off x="0" y="0"/>
                      <a:ext cx="2520000" cy="1579805"/>
                    </a:xfrm>
                    <a:prstGeom prst="rect">
                      <a:avLst/>
                    </a:prstGeom>
                    <a:noFill/>
                    <a:ln>
                      <a:noFill/>
                    </a:ln>
                    <a:extLst>
                      <a:ext uri="{53640926-AAD7-44D8-BBD7-CCE9431645EC}">
                        <a14:shadowObscured xmlns:a14="http://schemas.microsoft.com/office/drawing/2010/main"/>
                      </a:ext>
                    </a:extLst>
                  </pic:spPr>
                </pic:pic>
              </a:graphicData>
            </a:graphic>
          </wp:inline>
        </w:drawing>
      </w:r>
    </w:p>
    <w:p w14:paraId="48B91B79" w14:textId="687B1517" w:rsidR="002106BE" w:rsidRPr="000A40E6" w:rsidRDefault="002240FA" w:rsidP="00F756C3">
      <w:pPr>
        <w:pStyle w:val="ResimYazs"/>
        <w:suppressAutoHyphens/>
        <w:spacing w:before="120" w:after="120" w:line="360" w:lineRule="auto"/>
        <w:ind w:left="567" w:hanging="567"/>
        <w:rPr>
          <w:rFonts w:cs="Times New Roman"/>
          <w:b w:val="0"/>
          <w:color w:val="auto"/>
          <w:sz w:val="24"/>
          <w:szCs w:val="24"/>
        </w:rPr>
      </w:pPr>
      <w:bookmarkStart w:id="80" w:name="_Toc136385553"/>
      <w:bookmarkStart w:id="81" w:name="_Toc136386380"/>
      <w:r w:rsidRPr="000A40E6">
        <w:rPr>
          <w:rFonts w:cs="Times New Roman"/>
          <w:color w:val="auto"/>
          <w:sz w:val="24"/>
          <w:szCs w:val="24"/>
        </w:rPr>
        <w:t xml:space="preserve">Resim </w:t>
      </w:r>
      <w:r w:rsidR="003F42DA" w:rsidRPr="000A40E6">
        <w:rPr>
          <w:rFonts w:cs="Times New Roman"/>
          <w:noProof/>
          <w:color w:val="auto"/>
          <w:sz w:val="24"/>
          <w:szCs w:val="24"/>
        </w:rPr>
        <w:t>5</w:t>
      </w:r>
      <w:r w:rsidRPr="000A40E6">
        <w:rPr>
          <w:rFonts w:cs="Times New Roman"/>
          <w:color w:val="auto"/>
          <w:sz w:val="24"/>
          <w:szCs w:val="24"/>
        </w:rPr>
        <w:t xml:space="preserve">. </w:t>
      </w:r>
      <w:r w:rsidR="00232BE0" w:rsidRPr="000A40E6">
        <w:rPr>
          <w:rFonts w:cs="Times New Roman"/>
          <w:b w:val="0"/>
          <w:color w:val="auto"/>
          <w:sz w:val="24"/>
          <w:szCs w:val="24"/>
        </w:rPr>
        <w:t>Çalışmada kullanılan 3M Unitek marka cam iyonomer siman.</w:t>
      </w:r>
      <w:bookmarkEnd w:id="80"/>
      <w:bookmarkEnd w:id="81"/>
    </w:p>
    <w:p w14:paraId="0F98B655" w14:textId="77777777" w:rsidR="00F756C3" w:rsidRPr="000A40E6" w:rsidRDefault="00F756C3" w:rsidP="00F756C3">
      <w:pPr>
        <w:suppressAutoHyphens/>
      </w:pPr>
    </w:p>
    <w:p w14:paraId="02365A61" w14:textId="796AD40F" w:rsidR="003F00CD" w:rsidRPr="000A40E6" w:rsidRDefault="007E55E8" w:rsidP="00F756C3">
      <w:pPr>
        <w:suppressAutoHyphens/>
        <w:spacing w:line="240" w:lineRule="atLeast"/>
        <w:ind w:firstLine="0"/>
        <w:jc w:val="center"/>
        <w:rPr>
          <w:rFonts w:cs="Times New Roman"/>
          <w:szCs w:val="24"/>
        </w:rPr>
      </w:pPr>
      <w:r w:rsidRPr="000A40E6">
        <w:rPr>
          <w:rFonts w:eastAsia="Calibri" w:cs="Times New Roman"/>
          <w:noProof/>
          <w:szCs w:val="24"/>
          <w:lang w:eastAsia="tr-TR"/>
        </w:rPr>
        <w:drawing>
          <wp:inline distT="0" distB="0" distL="0" distR="0" wp14:anchorId="2220A98E" wp14:editId="34144292">
            <wp:extent cx="2520000" cy="2107805"/>
            <wp:effectExtent l="0" t="0" r="0" b="6985"/>
            <wp:docPr id="7" name="Resim 6" descr="Açıklama: C:\Users\user\Desktop\TEZ FOTO\TEZ FOTO çimen\DSC_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C:\Users\user\Desktop\TEZ FOTO\TEZ FOTO çimen\DSC_46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107805"/>
                    </a:xfrm>
                    <a:prstGeom prst="rect">
                      <a:avLst/>
                    </a:prstGeom>
                    <a:noFill/>
                    <a:ln>
                      <a:noFill/>
                    </a:ln>
                  </pic:spPr>
                </pic:pic>
              </a:graphicData>
            </a:graphic>
          </wp:inline>
        </w:drawing>
      </w:r>
    </w:p>
    <w:p w14:paraId="5722AC0A" w14:textId="08C15424" w:rsidR="00987D72" w:rsidRPr="000A40E6" w:rsidRDefault="00CE6AA2" w:rsidP="00F756C3">
      <w:pPr>
        <w:pStyle w:val="ResimYazs"/>
        <w:suppressAutoHyphens/>
        <w:spacing w:before="120" w:after="120" w:line="360" w:lineRule="auto"/>
        <w:ind w:left="567" w:hanging="567"/>
        <w:rPr>
          <w:rFonts w:eastAsia="Calibri" w:cs="Times New Roman"/>
          <w:b w:val="0"/>
          <w:color w:val="auto"/>
          <w:sz w:val="24"/>
          <w:szCs w:val="24"/>
          <w:lang w:val="en-GB"/>
        </w:rPr>
      </w:pPr>
      <w:bookmarkStart w:id="82" w:name="_Toc136385554"/>
      <w:bookmarkStart w:id="83" w:name="_Toc136386381"/>
      <w:r w:rsidRPr="000A40E6">
        <w:rPr>
          <w:rFonts w:cs="Times New Roman"/>
          <w:color w:val="auto"/>
          <w:sz w:val="24"/>
          <w:szCs w:val="24"/>
        </w:rPr>
        <w:t xml:space="preserve">Resim </w:t>
      </w:r>
      <w:r w:rsidR="003F42DA" w:rsidRPr="000A40E6">
        <w:rPr>
          <w:rFonts w:cs="Times New Roman"/>
          <w:noProof/>
          <w:color w:val="auto"/>
          <w:sz w:val="24"/>
          <w:szCs w:val="24"/>
        </w:rPr>
        <w:t>6</w:t>
      </w:r>
      <w:r w:rsidRPr="000A40E6">
        <w:rPr>
          <w:rFonts w:cs="Times New Roman"/>
          <w:color w:val="auto"/>
          <w:sz w:val="24"/>
          <w:szCs w:val="24"/>
        </w:rPr>
        <w:t xml:space="preserve">. </w:t>
      </w:r>
      <w:r w:rsidR="003F00CD" w:rsidRPr="000A40E6">
        <w:rPr>
          <w:rFonts w:cs="Times New Roman"/>
          <w:b w:val="0"/>
          <w:color w:val="auto"/>
          <w:sz w:val="24"/>
          <w:szCs w:val="24"/>
        </w:rPr>
        <w:t>Ağız içine uygulanan banded tip RME apareyi.</w:t>
      </w:r>
      <w:bookmarkEnd w:id="82"/>
      <w:bookmarkEnd w:id="83"/>
    </w:p>
    <w:p w14:paraId="46313CC3" w14:textId="12564BD2" w:rsidR="007E55E8" w:rsidRPr="000A40E6" w:rsidRDefault="007E55E8" w:rsidP="00F756C3">
      <w:pPr>
        <w:suppressAutoHyphens/>
        <w:spacing w:after="120"/>
        <w:rPr>
          <w:rFonts w:eastAsia="Calibri" w:cs="Times New Roman"/>
          <w:b/>
          <w:szCs w:val="24"/>
          <w:lang w:val="en-GB"/>
        </w:rPr>
      </w:pPr>
    </w:p>
    <w:p w14:paraId="7AADF79A" w14:textId="13A7813F" w:rsidR="00987D72" w:rsidRPr="000A40E6" w:rsidRDefault="007E55E8" w:rsidP="00F756C3">
      <w:pPr>
        <w:suppressAutoHyphens/>
        <w:spacing w:after="120"/>
        <w:rPr>
          <w:rFonts w:eastAsia="Calibri" w:cs="Times New Roman"/>
          <w:szCs w:val="24"/>
          <w:lang w:val="en-GB"/>
        </w:rPr>
      </w:pPr>
      <w:r w:rsidRPr="000A40E6">
        <w:rPr>
          <w:rFonts w:eastAsia="Calibri" w:cs="Times New Roman"/>
          <w:szCs w:val="24"/>
          <w:lang w:val="en-GB"/>
        </w:rPr>
        <w:t xml:space="preserve">Aparey ağız içine </w:t>
      </w:r>
      <w:r w:rsidR="00653C40" w:rsidRPr="000A40E6">
        <w:rPr>
          <w:rFonts w:eastAsia="Calibri" w:cs="Times New Roman"/>
          <w:szCs w:val="24"/>
          <w:lang w:val="en-GB"/>
        </w:rPr>
        <w:t>uygulandıktan hemen sonra h</w:t>
      </w:r>
      <w:r w:rsidRPr="000A40E6">
        <w:rPr>
          <w:rFonts w:eastAsia="Calibri" w:cs="Times New Roman"/>
          <w:szCs w:val="24"/>
          <w:lang w:val="en-GB"/>
        </w:rPr>
        <w:t>yrax vidası hastanın velisi tarafından</w:t>
      </w:r>
      <w:r w:rsidR="003D6B0C" w:rsidRPr="000A40E6">
        <w:rPr>
          <w:rFonts w:eastAsia="Calibri" w:cs="Times New Roman"/>
          <w:szCs w:val="24"/>
          <w:lang w:val="en-GB"/>
        </w:rPr>
        <w:t xml:space="preserve"> </w:t>
      </w:r>
      <w:proofErr w:type="gramStart"/>
      <w:r w:rsidR="003D6B0C" w:rsidRPr="000A40E6">
        <w:rPr>
          <w:rFonts w:eastAsia="Calibri" w:cs="Times New Roman"/>
          <w:szCs w:val="24"/>
          <w:lang w:val="en-GB"/>
        </w:rPr>
        <w:t>sabah</w:t>
      </w:r>
      <w:proofErr w:type="gramEnd"/>
      <w:r w:rsidR="003D6B0C" w:rsidRPr="000A40E6">
        <w:rPr>
          <w:rFonts w:eastAsia="Calibri" w:cs="Times New Roman"/>
          <w:szCs w:val="24"/>
          <w:lang w:val="en-GB"/>
        </w:rPr>
        <w:t xml:space="preserve"> akşam ¼ dönüşle günde 2 kez çevrilerek RME protolü uygulanmaya başlanmıştır (</w:t>
      </w:r>
      <w:r w:rsidR="00544205" w:rsidRPr="000A40E6">
        <w:rPr>
          <w:rFonts w:cs="Times New Roman"/>
          <w:szCs w:val="24"/>
        </w:rPr>
        <w:t>McNamara</w:t>
      </w:r>
      <w:r w:rsidR="0050541C" w:rsidRPr="000A40E6">
        <w:rPr>
          <w:rFonts w:cs="Times New Roman"/>
          <w:szCs w:val="24"/>
        </w:rPr>
        <w:t>a</w:t>
      </w:r>
      <w:r w:rsidR="00544205" w:rsidRPr="000A40E6">
        <w:rPr>
          <w:rFonts w:cs="Times New Roman"/>
          <w:szCs w:val="24"/>
        </w:rPr>
        <w:t>, 2000</w:t>
      </w:r>
      <w:r w:rsidR="000733F5" w:rsidRPr="000A40E6">
        <w:rPr>
          <w:rFonts w:eastAsia="Calibri" w:cs="Times New Roman"/>
          <w:szCs w:val="24"/>
          <w:lang w:val="en-GB"/>
        </w:rPr>
        <w:t xml:space="preserve">). </w:t>
      </w:r>
      <w:r w:rsidR="00DF51A4" w:rsidRPr="000A40E6">
        <w:rPr>
          <w:rFonts w:eastAsia="Calibri" w:cs="Times New Roman"/>
          <w:szCs w:val="24"/>
          <w:lang w:val="en-GB"/>
        </w:rPr>
        <w:t>M</w:t>
      </w:r>
      <w:r w:rsidR="004C18F2" w:rsidRPr="000A40E6">
        <w:rPr>
          <w:rFonts w:cs="Times New Roman"/>
          <w:szCs w:val="24"/>
        </w:rPr>
        <w:t>aksiller dişlerin palatinal</w:t>
      </w:r>
      <w:r w:rsidR="00DF51A4" w:rsidRPr="000A40E6">
        <w:rPr>
          <w:rFonts w:cs="Times New Roman"/>
          <w:szCs w:val="24"/>
        </w:rPr>
        <w:t xml:space="preserve"> tüberkülleri, mandibular dişlerin bukkal tüberkülleri ile aynı seviyeye gelene kadar (Timms, 1981</w:t>
      </w:r>
      <w:proofErr w:type="gramStart"/>
      <w:r w:rsidR="00DF51A4" w:rsidRPr="000A40E6">
        <w:rPr>
          <w:rFonts w:cs="Times New Roman"/>
          <w:szCs w:val="24"/>
        </w:rPr>
        <w:t>)</w:t>
      </w:r>
      <w:r w:rsidR="003D6B0C" w:rsidRPr="000A40E6">
        <w:rPr>
          <w:rFonts w:cs="Times New Roman"/>
          <w:szCs w:val="24"/>
        </w:rPr>
        <w:t xml:space="preserve"> </w:t>
      </w:r>
      <w:r w:rsidR="00DF51A4" w:rsidRPr="000A40E6">
        <w:rPr>
          <w:rFonts w:cs="Times New Roman"/>
          <w:szCs w:val="24"/>
        </w:rPr>
        <w:t xml:space="preserve"> </w:t>
      </w:r>
      <w:r w:rsidR="003D6B0C" w:rsidRPr="000A40E6">
        <w:rPr>
          <w:rFonts w:eastAsia="Calibri" w:cs="Times New Roman"/>
          <w:szCs w:val="24"/>
          <w:lang w:val="en-GB"/>
        </w:rPr>
        <w:t>sabah</w:t>
      </w:r>
      <w:proofErr w:type="gramEnd"/>
      <w:r w:rsidR="003D6B0C" w:rsidRPr="000A40E6">
        <w:rPr>
          <w:rFonts w:eastAsia="Calibri" w:cs="Times New Roman"/>
          <w:szCs w:val="24"/>
          <w:lang w:val="en-GB"/>
        </w:rPr>
        <w:t xml:space="preserve"> bir kez (0,2 mm) ve akşam bir kez (toplam aktivasyon 0,4 mm) olmak üzere vida </w:t>
      </w:r>
      <w:r w:rsidRPr="000A40E6">
        <w:rPr>
          <w:rFonts w:eastAsia="Calibri" w:cs="Times New Roman"/>
          <w:szCs w:val="24"/>
          <w:lang w:val="en-GB"/>
        </w:rPr>
        <w:t>g</w:t>
      </w:r>
      <w:r w:rsidR="003D6B0C" w:rsidRPr="000A40E6">
        <w:rPr>
          <w:rFonts w:eastAsia="Calibri" w:cs="Times New Roman"/>
          <w:szCs w:val="24"/>
          <w:lang w:val="en-GB"/>
        </w:rPr>
        <w:t>ünde 2 kez aktifleştirilmeye devam edilmiştir</w:t>
      </w:r>
      <w:r w:rsidR="000B13F3" w:rsidRPr="000A40E6">
        <w:rPr>
          <w:rFonts w:eastAsia="Calibri" w:cs="Times New Roman"/>
          <w:szCs w:val="24"/>
          <w:lang w:val="en-GB"/>
        </w:rPr>
        <w:t>.</w:t>
      </w:r>
      <w:r w:rsidR="00DF51A4" w:rsidRPr="000A40E6">
        <w:rPr>
          <w:rFonts w:eastAsia="Calibri" w:cs="Times New Roman"/>
          <w:szCs w:val="24"/>
          <w:lang w:val="en-GB"/>
        </w:rPr>
        <w:t xml:space="preserve"> </w:t>
      </w:r>
      <w:r w:rsidR="00B36A3C" w:rsidRPr="000A40E6">
        <w:rPr>
          <w:rFonts w:eastAsia="Calibri" w:cs="Times New Roman"/>
          <w:szCs w:val="24"/>
          <w:lang w:val="en-GB"/>
        </w:rPr>
        <w:t xml:space="preserve">Böylece </w:t>
      </w:r>
      <w:r w:rsidR="00B625C1" w:rsidRPr="000A40E6">
        <w:rPr>
          <w:rFonts w:cs="Times New Roman"/>
          <w:szCs w:val="24"/>
        </w:rPr>
        <w:t>3</w:t>
      </w:r>
      <w:r w:rsidR="00095F3F" w:rsidRPr="000A40E6">
        <w:rPr>
          <w:rFonts w:cs="Times New Roman"/>
          <w:szCs w:val="24"/>
        </w:rPr>
        <w:t xml:space="preserve"> hafta</w:t>
      </w:r>
      <w:r w:rsidR="00B625C1" w:rsidRPr="000A40E6">
        <w:rPr>
          <w:rFonts w:cs="Times New Roman"/>
          <w:szCs w:val="24"/>
        </w:rPr>
        <w:t xml:space="preserve"> ile 6 hafta arasında değişen</w:t>
      </w:r>
      <w:r w:rsidR="00095F3F" w:rsidRPr="000A40E6">
        <w:rPr>
          <w:rFonts w:cs="Times New Roman"/>
          <w:szCs w:val="24"/>
        </w:rPr>
        <w:t xml:space="preserve"> RME</w:t>
      </w:r>
      <w:r w:rsidR="000733F5" w:rsidRPr="000A40E6">
        <w:rPr>
          <w:rFonts w:cs="Times New Roman"/>
          <w:szCs w:val="24"/>
        </w:rPr>
        <w:t xml:space="preserve"> tedavisi</w:t>
      </w:r>
      <w:r w:rsidR="006E407E" w:rsidRPr="000A40E6">
        <w:rPr>
          <w:rFonts w:cs="Times New Roman"/>
          <w:szCs w:val="24"/>
        </w:rPr>
        <w:t xml:space="preserve"> sonunda </w:t>
      </w:r>
      <w:r w:rsidR="00B36A3C" w:rsidRPr="000A40E6">
        <w:rPr>
          <w:rFonts w:eastAsia="Calibri" w:cs="Times New Roman"/>
          <w:szCs w:val="24"/>
          <w:lang w:val="en-GB"/>
        </w:rPr>
        <w:t>y</w:t>
      </w:r>
      <w:r w:rsidR="00DF51A4" w:rsidRPr="000A40E6">
        <w:rPr>
          <w:rFonts w:eastAsia="Calibri" w:cs="Times New Roman"/>
          <w:szCs w:val="24"/>
          <w:lang w:val="en-GB"/>
        </w:rPr>
        <w:t>eterli ekspansiyon ve aşırı düzeltme</w:t>
      </w:r>
      <w:r w:rsidR="00DF51A4" w:rsidRPr="000A40E6">
        <w:rPr>
          <w:rFonts w:cs="Times New Roman"/>
          <w:szCs w:val="24"/>
        </w:rPr>
        <w:t xml:space="preserve"> </w:t>
      </w:r>
      <w:r w:rsidR="00EB385B" w:rsidRPr="000A40E6">
        <w:rPr>
          <w:rFonts w:cs="Times New Roman"/>
          <w:szCs w:val="24"/>
        </w:rPr>
        <w:t xml:space="preserve">sağlanmıştır. </w:t>
      </w:r>
      <w:proofErr w:type="gramStart"/>
      <w:r w:rsidRPr="000A40E6">
        <w:rPr>
          <w:rFonts w:eastAsia="Calibri" w:cs="Times New Roman"/>
          <w:szCs w:val="24"/>
          <w:lang w:val="en-GB"/>
        </w:rPr>
        <w:t>Daha sonr</w:t>
      </w:r>
      <w:r w:rsidR="00925DEC" w:rsidRPr="000A40E6">
        <w:rPr>
          <w:rFonts w:eastAsia="Calibri" w:cs="Times New Roman"/>
          <w:szCs w:val="24"/>
          <w:lang w:val="en-GB"/>
        </w:rPr>
        <w:t>a vida ligatür teli ile bağlanmıştır</w:t>
      </w:r>
      <w:r w:rsidRPr="000A40E6">
        <w:rPr>
          <w:rFonts w:eastAsia="Calibri" w:cs="Times New Roman"/>
          <w:szCs w:val="24"/>
          <w:lang w:val="en-GB"/>
        </w:rPr>
        <w:t xml:space="preserve"> ve aparey 6 aylık retansiyon döneminde pasif retaine</w:t>
      </w:r>
      <w:r w:rsidR="00925DEC" w:rsidRPr="000A40E6">
        <w:rPr>
          <w:rFonts w:eastAsia="Calibri" w:cs="Times New Roman"/>
          <w:szCs w:val="24"/>
          <w:lang w:val="en-GB"/>
        </w:rPr>
        <w:t>r olarak dişler üzerinde tutulmuştur</w:t>
      </w:r>
      <w:r w:rsidR="0090013F" w:rsidRPr="000A40E6">
        <w:rPr>
          <w:rFonts w:eastAsia="Calibri" w:cs="Times New Roman"/>
          <w:szCs w:val="24"/>
          <w:lang w:val="en-GB"/>
        </w:rPr>
        <w:t>.</w:t>
      </w:r>
      <w:proofErr w:type="gramEnd"/>
    </w:p>
    <w:p w14:paraId="34248B3B" w14:textId="1C160C14" w:rsidR="002A1CFF" w:rsidRPr="000A40E6" w:rsidRDefault="002A1CFF" w:rsidP="00F756C3">
      <w:pPr>
        <w:suppressAutoHyphens/>
        <w:spacing w:after="120"/>
        <w:rPr>
          <w:rFonts w:eastAsia="Calibri" w:cs="Times New Roman"/>
          <w:szCs w:val="24"/>
          <w:lang w:val="en-GB"/>
        </w:rPr>
      </w:pPr>
    </w:p>
    <w:p w14:paraId="482A7AA6" w14:textId="24501B86" w:rsidR="002A1CFF" w:rsidRPr="000A40E6" w:rsidRDefault="00E557D5" w:rsidP="00F756C3">
      <w:pPr>
        <w:suppressAutoHyphens/>
        <w:spacing w:line="240" w:lineRule="atLeast"/>
        <w:ind w:firstLine="0"/>
        <w:jc w:val="center"/>
        <w:rPr>
          <w:rFonts w:cs="Times New Roman"/>
          <w:noProof/>
          <w:szCs w:val="24"/>
          <w:lang w:eastAsia="tr-TR"/>
        </w:rPr>
      </w:pPr>
      <w:r w:rsidRPr="000A40E6">
        <w:rPr>
          <w:rFonts w:eastAsia="Calibri" w:cs="Times New Roman"/>
          <w:noProof/>
          <w:szCs w:val="24"/>
          <w:lang w:eastAsia="tr-TR"/>
        </w:rPr>
        <w:drawing>
          <wp:inline distT="0" distB="0" distL="0" distR="0" wp14:anchorId="4EAB8A37" wp14:editId="455BEEAF">
            <wp:extent cx="3470279" cy="158115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72" r="3082"/>
                    <a:stretch/>
                  </pic:blipFill>
                  <pic:spPr bwMode="auto">
                    <a:xfrm>
                      <a:off x="0" y="0"/>
                      <a:ext cx="3510459" cy="1599457"/>
                    </a:xfrm>
                    <a:prstGeom prst="rect">
                      <a:avLst/>
                    </a:prstGeom>
                    <a:noFill/>
                    <a:ln>
                      <a:noFill/>
                    </a:ln>
                    <a:extLst>
                      <a:ext uri="{53640926-AAD7-44D8-BBD7-CCE9431645EC}">
                        <a14:shadowObscured xmlns:a14="http://schemas.microsoft.com/office/drawing/2010/main"/>
                      </a:ext>
                    </a:extLst>
                  </pic:spPr>
                </pic:pic>
              </a:graphicData>
            </a:graphic>
          </wp:inline>
        </w:drawing>
      </w:r>
      <w:r w:rsidR="008035E0">
        <w:rPr>
          <w:rFonts w:eastAsia="Calibri" w:cs="Times New Roman"/>
          <w:noProof/>
          <w:szCs w:val="24"/>
          <w:lang w:eastAsia="tr-TR"/>
        </w:rPr>
        <w:t xml:space="preserve"> </w:t>
      </w:r>
      <w:r w:rsidRPr="000A40E6">
        <w:rPr>
          <w:rFonts w:eastAsia="Calibri" w:cs="Times New Roman"/>
          <w:noProof/>
          <w:szCs w:val="24"/>
          <w:lang w:eastAsia="tr-TR"/>
        </w:rPr>
        <w:drawing>
          <wp:inline distT="0" distB="0" distL="0" distR="0" wp14:anchorId="1FB454E0" wp14:editId="0339B893">
            <wp:extent cx="1962530" cy="1568591"/>
            <wp:effectExtent l="0" t="0" r="0" b="0"/>
            <wp:docPr id="54" name="Resim 54" descr="C:\Users\user\Desktop\TEZ HASTALARI\IRMAK AKIN\IRMAK AKIN 14.10.2021 MAT\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EZ HASTALARI\IRMAK AKIN\IRMAK AKIN 14.10.2021 MAT\DSC_00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7287" cy="1596371"/>
                    </a:xfrm>
                    <a:prstGeom prst="rect">
                      <a:avLst/>
                    </a:prstGeom>
                    <a:noFill/>
                    <a:ln>
                      <a:noFill/>
                    </a:ln>
                  </pic:spPr>
                </pic:pic>
              </a:graphicData>
            </a:graphic>
          </wp:inline>
        </w:drawing>
      </w:r>
    </w:p>
    <w:p w14:paraId="1F4FC98A" w14:textId="2ED02464" w:rsidR="00E557D5" w:rsidRPr="000A40E6" w:rsidRDefault="00E557D5" w:rsidP="00F756C3">
      <w:pPr>
        <w:suppressAutoHyphens/>
        <w:spacing w:line="240" w:lineRule="atLeast"/>
        <w:ind w:firstLine="0"/>
        <w:jc w:val="center"/>
        <w:rPr>
          <w:rFonts w:cs="Times New Roman"/>
          <w:noProof/>
          <w:szCs w:val="24"/>
          <w:lang w:eastAsia="tr-TR"/>
        </w:rPr>
      </w:pPr>
      <w:r w:rsidRPr="000A40E6">
        <w:rPr>
          <w:rFonts w:cs="Times New Roman"/>
          <w:noProof/>
          <w:szCs w:val="24"/>
          <w:lang w:eastAsia="tr-TR"/>
        </w:rPr>
        <w:drawing>
          <wp:inline distT="0" distB="0" distL="0" distR="0" wp14:anchorId="0732801E" wp14:editId="568C6694">
            <wp:extent cx="2743200" cy="1418252"/>
            <wp:effectExtent l="19050" t="19050" r="19050" b="10795"/>
            <wp:docPr id="55" name="Picture 8" descr="C:\Users\user\Desktop\TEZ HASTALARI\IRMAK AKIN 14.10.2021 MAT\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C:\Users\user\Desktop\TEZ HASTALARI\IRMAK AKIN 14.10.2021 MAT\DSC_0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612" cy="1424669"/>
                    </a:xfrm>
                    <a:prstGeom prst="rect">
                      <a:avLst/>
                    </a:prstGeom>
                    <a:noFill/>
                    <a:ln>
                      <a:solidFill>
                        <a:sysClr val="window" lastClr="FFFFFF"/>
                      </a:solidFill>
                    </a:ln>
                    <a:extLst/>
                  </pic:spPr>
                </pic:pic>
              </a:graphicData>
            </a:graphic>
          </wp:inline>
        </w:drawing>
      </w:r>
      <w:r w:rsidRPr="000A40E6">
        <w:rPr>
          <w:rFonts w:cs="Times New Roman"/>
          <w:noProof/>
          <w:szCs w:val="24"/>
          <w:lang w:eastAsia="tr-TR"/>
        </w:rPr>
        <w:drawing>
          <wp:inline distT="0" distB="0" distL="0" distR="0" wp14:anchorId="5B286498" wp14:editId="19528F60">
            <wp:extent cx="2686050" cy="1416965"/>
            <wp:effectExtent l="19050" t="19050" r="19050" b="12065"/>
            <wp:docPr id="56" name="Picture 9" descr="C:\Users\user\Desktop\TEZ HASTALARI\IRMAK AKIN 14.10.2021 MAT\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C:\Users\user\Desktop\TEZ HASTALARI\IRMAK AKIN 14.10.2021 MAT\DSC_00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072" cy="1422252"/>
                    </a:xfrm>
                    <a:prstGeom prst="rect">
                      <a:avLst/>
                    </a:prstGeom>
                    <a:noFill/>
                    <a:ln>
                      <a:solidFill>
                        <a:sysClr val="window" lastClr="FFFFFF"/>
                      </a:solidFill>
                    </a:ln>
                    <a:extLst/>
                  </pic:spPr>
                </pic:pic>
              </a:graphicData>
            </a:graphic>
          </wp:inline>
        </w:drawing>
      </w:r>
    </w:p>
    <w:p w14:paraId="4AD74F4C" w14:textId="584CABFD" w:rsidR="00E557D5" w:rsidRPr="000A40E6" w:rsidRDefault="00CE6AA2" w:rsidP="00F756C3">
      <w:pPr>
        <w:pStyle w:val="ResimYazs"/>
        <w:suppressAutoHyphens/>
        <w:spacing w:before="120" w:after="120" w:line="360" w:lineRule="auto"/>
        <w:ind w:left="709" w:hanging="709"/>
        <w:rPr>
          <w:rFonts w:cs="Times New Roman"/>
          <w:b w:val="0"/>
          <w:color w:val="auto"/>
          <w:sz w:val="24"/>
          <w:szCs w:val="24"/>
        </w:rPr>
      </w:pPr>
      <w:bookmarkStart w:id="84" w:name="_Toc136385555"/>
      <w:bookmarkStart w:id="85" w:name="_Toc136386382"/>
      <w:r w:rsidRPr="000A40E6">
        <w:rPr>
          <w:rFonts w:cs="Times New Roman"/>
          <w:color w:val="auto"/>
          <w:sz w:val="24"/>
          <w:szCs w:val="24"/>
        </w:rPr>
        <w:t xml:space="preserve">Resim </w:t>
      </w:r>
      <w:r w:rsidR="003F42DA" w:rsidRPr="000A40E6">
        <w:rPr>
          <w:rFonts w:cs="Times New Roman"/>
          <w:noProof/>
          <w:color w:val="auto"/>
          <w:sz w:val="24"/>
          <w:szCs w:val="24"/>
        </w:rPr>
        <w:t>7</w:t>
      </w:r>
      <w:r w:rsidRPr="000A40E6">
        <w:rPr>
          <w:rFonts w:cs="Times New Roman"/>
          <w:color w:val="auto"/>
          <w:sz w:val="24"/>
          <w:szCs w:val="24"/>
        </w:rPr>
        <w:t xml:space="preserve">. </w:t>
      </w:r>
      <w:r w:rsidR="0009278F" w:rsidRPr="000A40E6">
        <w:rPr>
          <w:rFonts w:cs="Times New Roman"/>
          <w:b w:val="0"/>
          <w:color w:val="auto"/>
          <w:sz w:val="24"/>
          <w:szCs w:val="24"/>
        </w:rPr>
        <w:t>Örnek vakanın ekspansiyon öncesi ağız içi fotoğraf kayıtları</w:t>
      </w:r>
      <w:r w:rsidR="00017B20" w:rsidRPr="000A40E6">
        <w:rPr>
          <w:rFonts w:cs="Times New Roman"/>
          <w:b w:val="0"/>
          <w:color w:val="auto"/>
          <w:sz w:val="24"/>
          <w:szCs w:val="24"/>
        </w:rPr>
        <w:t>.</w:t>
      </w:r>
      <w:bookmarkEnd w:id="84"/>
      <w:bookmarkEnd w:id="85"/>
    </w:p>
    <w:p w14:paraId="4C9B9D82" w14:textId="77777777" w:rsidR="009A4879" w:rsidRPr="000A40E6" w:rsidRDefault="009A4879" w:rsidP="00F756C3">
      <w:pPr>
        <w:suppressAutoHyphens/>
        <w:spacing w:after="120"/>
        <w:rPr>
          <w:rFonts w:cs="Times New Roman"/>
          <w:szCs w:val="24"/>
        </w:rPr>
      </w:pPr>
    </w:p>
    <w:p w14:paraId="4109F984" w14:textId="3AC3D3E5" w:rsidR="00E557D5" w:rsidRPr="000A40E6" w:rsidRDefault="00395A48" w:rsidP="00F756C3">
      <w:pPr>
        <w:suppressAutoHyphens/>
        <w:spacing w:line="240" w:lineRule="atLeast"/>
        <w:ind w:firstLine="0"/>
        <w:jc w:val="center"/>
        <w:rPr>
          <w:rFonts w:cs="Times New Roman"/>
          <w:sz w:val="8"/>
          <w:szCs w:val="24"/>
        </w:rPr>
      </w:pPr>
      <w:r w:rsidRPr="000A40E6">
        <w:rPr>
          <w:rFonts w:eastAsia="Calibri" w:cs="Times New Roman"/>
          <w:noProof/>
          <w:szCs w:val="24"/>
          <w:lang w:eastAsia="tr-TR"/>
        </w:rPr>
        <w:drawing>
          <wp:inline distT="0" distB="0" distL="0" distR="0" wp14:anchorId="5500B201" wp14:editId="637AF631">
            <wp:extent cx="3569797" cy="1433753"/>
            <wp:effectExtent l="0" t="0" r="0" b="0"/>
            <wp:docPr id="57" name="Resim 57" descr="C:\Users\user\Desktop\TEZ HASTALARI\IRMAK AKIN\IRMAK AKIN 15.03.2022 TEZ\DSC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EZ HASTALARI\IRMAK AKIN\IRMAK AKIN 15.03.2022 TEZ\DSC_375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49" t="5751" r="1830" b="-363"/>
                    <a:stretch/>
                  </pic:blipFill>
                  <pic:spPr bwMode="auto">
                    <a:xfrm>
                      <a:off x="0" y="0"/>
                      <a:ext cx="3570700" cy="1434116"/>
                    </a:xfrm>
                    <a:prstGeom prst="rect">
                      <a:avLst/>
                    </a:prstGeom>
                    <a:noFill/>
                    <a:ln>
                      <a:noFill/>
                    </a:ln>
                    <a:extLst>
                      <a:ext uri="{53640926-AAD7-44D8-BBD7-CCE9431645EC}">
                        <a14:shadowObscured xmlns:a14="http://schemas.microsoft.com/office/drawing/2010/main"/>
                      </a:ext>
                    </a:extLst>
                  </pic:spPr>
                </pic:pic>
              </a:graphicData>
            </a:graphic>
          </wp:inline>
        </w:drawing>
      </w:r>
      <w:r w:rsidR="00FD2079" w:rsidRPr="000A40E6">
        <w:rPr>
          <w:rFonts w:cs="Times New Roman"/>
          <w:sz w:val="8"/>
          <w:szCs w:val="24"/>
        </w:rPr>
        <w:t xml:space="preserve"> </w:t>
      </w:r>
      <w:r w:rsidRPr="000A40E6">
        <w:rPr>
          <w:rFonts w:eastAsia="Calibri" w:cs="Times New Roman"/>
          <w:noProof/>
          <w:szCs w:val="24"/>
          <w:lang w:eastAsia="tr-TR"/>
        </w:rPr>
        <w:drawing>
          <wp:inline distT="0" distB="0" distL="0" distR="0" wp14:anchorId="4157E7B4" wp14:editId="0DD83708">
            <wp:extent cx="1840794" cy="1431985"/>
            <wp:effectExtent l="0" t="0" r="7620" b="0"/>
            <wp:docPr id="58" name="Resim 58" descr="C:\Users\user\Desktop\TEZ HASTALARI\IRMAK AKIN\IRMAK AKIN 15.03.2022 TEZ\DSC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EZ HASTALARI\IRMAK AKIN\IRMAK AKIN 15.03.2022 TEZ\DSC_37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1988" cy="1487368"/>
                    </a:xfrm>
                    <a:prstGeom prst="rect">
                      <a:avLst/>
                    </a:prstGeom>
                    <a:noFill/>
                    <a:ln>
                      <a:noFill/>
                    </a:ln>
                  </pic:spPr>
                </pic:pic>
              </a:graphicData>
            </a:graphic>
          </wp:inline>
        </w:drawing>
      </w:r>
    </w:p>
    <w:p w14:paraId="06AD818C" w14:textId="77777777" w:rsidR="00FD2079" w:rsidRPr="000A40E6" w:rsidRDefault="00FD2079" w:rsidP="00FD2079">
      <w:pPr>
        <w:suppressAutoHyphens/>
        <w:spacing w:line="240" w:lineRule="auto"/>
        <w:ind w:firstLine="0"/>
        <w:jc w:val="center"/>
        <w:rPr>
          <w:rFonts w:cs="Times New Roman"/>
          <w:sz w:val="4"/>
          <w:szCs w:val="24"/>
        </w:rPr>
      </w:pPr>
    </w:p>
    <w:p w14:paraId="458B93D2" w14:textId="10BD5844" w:rsidR="00395A48" w:rsidRPr="000A40E6" w:rsidRDefault="00395A48" w:rsidP="00F756C3">
      <w:pPr>
        <w:suppressAutoHyphens/>
        <w:spacing w:line="240" w:lineRule="atLeast"/>
        <w:ind w:firstLine="0"/>
        <w:jc w:val="center"/>
        <w:rPr>
          <w:rFonts w:cs="Times New Roman"/>
          <w:szCs w:val="24"/>
        </w:rPr>
      </w:pPr>
      <w:r w:rsidRPr="000A40E6">
        <w:rPr>
          <w:rFonts w:eastAsia="Calibri" w:cs="Times New Roman"/>
          <w:noProof/>
          <w:szCs w:val="24"/>
          <w:lang w:eastAsia="tr-TR"/>
        </w:rPr>
        <w:drawing>
          <wp:inline distT="0" distB="0" distL="0" distR="0" wp14:anchorId="14C1E1A2" wp14:editId="7850444A">
            <wp:extent cx="2720803" cy="1311215"/>
            <wp:effectExtent l="0" t="0" r="3810" b="3810"/>
            <wp:docPr id="59" name="Resim 59" descr="C:\Users\user\Desktop\TEZ HASTALARI\IRMAK AKIN\IRMAK AKIN 15.03.2022 TEZ\DSC_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EZ HASTALARI\IRMAK AKIN\IRMAK AKIN 15.03.2022 TEZ\DSC_376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678"/>
                    <a:stretch/>
                  </pic:blipFill>
                  <pic:spPr bwMode="auto">
                    <a:xfrm>
                      <a:off x="0" y="0"/>
                      <a:ext cx="2720803" cy="1311215"/>
                    </a:xfrm>
                    <a:prstGeom prst="rect">
                      <a:avLst/>
                    </a:prstGeom>
                    <a:noFill/>
                    <a:ln>
                      <a:noFill/>
                    </a:ln>
                    <a:extLst>
                      <a:ext uri="{53640926-AAD7-44D8-BBD7-CCE9431645EC}">
                        <a14:shadowObscured xmlns:a14="http://schemas.microsoft.com/office/drawing/2010/main"/>
                      </a:ext>
                    </a:extLst>
                  </pic:spPr>
                </pic:pic>
              </a:graphicData>
            </a:graphic>
          </wp:inline>
        </w:drawing>
      </w:r>
      <w:r w:rsidR="00FD2079" w:rsidRPr="000A40E6">
        <w:rPr>
          <w:rFonts w:cs="Times New Roman"/>
          <w:sz w:val="10"/>
          <w:szCs w:val="24"/>
        </w:rPr>
        <w:t xml:space="preserve"> </w:t>
      </w:r>
      <w:r w:rsidRPr="000A40E6">
        <w:rPr>
          <w:rFonts w:eastAsia="Calibri" w:cs="Times New Roman"/>
          <w:noProof/>
          <w:szCs w:val="24"/>
          <w:lang w:eastAsia="tr-TR"/>
        </w:rPr>
        <w:drawing>
          <wp:inline distT="0" distB="0" distL="0" distR="0" wp14:anchorId="6BF90CD7" wp14:editId="055BD6DE">
            <wp:extent cx="2656935" cy="1308238"/>
            <wp:effectExtent l="0" t="0" r="0" b="6350"/>
            <wp:docPr id="60" name="Resim 60" descr="C:\Users\user\Desktop\TEZ HASTALARI\IRMAK AKIN\IRMAK AKIN 15.03.2022 TEZ\DSC_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Z HASTALARI\IRMAK AKIN\IRMAK AKIN 15.03.2022 TEZ\DSC_376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882"/>
                    <a:stretch/>
                  </pic:blipFill>
                  <pic:spPr bwMode="auto">
                    <a:xfrm>
                      <a:off x="0" y="0"/>
                      <a:ext cx="2662669" cy="1311061"/>
                    </a:xfrm>
                    <a:prstGeom prst="rect">
                      <a:avLst/>
                    </a:prstGeom>
                    <a:noFill/>
                    <a:ln>
                      <a:noFill/>
                    </a:ln>
                    <a:extLst>
                      <a:ext uri="{53640926-AAD7-44D8-BBD7-CCE9431645EC}">
                        <a14:shadowObscured xmlns:a14="http://schemas.microsoft.com/office/drawing/2010/main"/>
                      </a:ext>
                    </a:extLst>
                  </pic:spPr>
                </pic:pic>
              </a:graphicData>
            </a:graphic>
          </wp:inline>
        </w:drawing>
      </w:r>
    </w:p>
    <w:p w14:paraId="3899F355" w14:textId="5F837C98" w:rsidR="0009278F" w:rsidRPr="000A40E6" w:rsidRDefault="00CE6AA2" w:rsidP="00F756C3">
      <w:pPr>
        <w:pStyle w:val="ResimYazs"/>
        <w:suppressAutoHyphens/>
        <w:spacing w:before="120" w:after="120" w:line="360" w:lineRule="auto"/>
        <w:ind w:left="567" w:hanging="567"/>
        <w:rPr>
          <w:rFonts w:cs="Times New Roman"/>
          <w:b w:val="0"/>
          <w:color w:val="auto"/>
          <w:sz w:val="24"/>
          <w:szCs w:val="24"/>
        </w:rPr>
      </w:pPr>
      <w:bookmarkStart w:id="86" w:name="_Toc136385556"/>
      <w:bookmarkStart w:id="87" w:name="_Toc136386383"/>
      <w:r w:rsidRPr="000A40E6">
        <w:rPr>
          <w:rFonts w:cs="Times New Roman"/>
          <w:color w:val="auto"/>
          <w:sz w:val="24"/>
          <w:szCs w:val="24"/>
        </w:rPr>
        <w:t xml:space="preserve">Resim </w:t>
      </w:r>
      <w:r w:rsidR="003F42DA" w:rsidRPr="000A40E6">
        <w:rPr>
          <w:rFonts w:cs="Times New Roman"/>
          <w:noProof/>
          <w:color w:val="auto"/>
          <w:sz w:val="24"/>
          <w:szCs w:val="24"/>
        </w:rPr>
        <w:t>8</w:t>
      </w:r>
      <w:r w:rsidRPr="000A40E6">
        <w:rPr>
          <w:rFonts w:cs="Times New Roman"/>
          <w:color w:val="auto"/>
          <w:sz w:val="24"/>
          <w:szCs w:val="24"/>
        </w:rPr>
        <w:t xml:space="preserve">. </w:t>
      </w:r>
      <w:r w:rsidR="0009278F" w:rsidRPr="000A40E6">
        <w:rPr>
          <w:rFonts w:cs="Times New Roman"/>
          <w:b w:val="0"/>
          <w:color w:val="auto"/>
          <w:sz w:val="24"/>
          <w:szCs w:val="24"/>
        </w:rPr>
        <w:t>Örnek vakanın ekspansiyon sonrası ağız içi fotoğraf kayıtları.</w:t>
      </w:r>
      <w:bookmarkEnd w:id="86"/>
      <w:bookmarkEnd w:id="87"/>
    </w:p>
    <w:p w14:paraId="0518C4D8" w14:textId="4AA4E771" w:rsidR="0009278F" w:rsidRPr="000A40E6" w:rsidRDefault="0009278F" w:rsidP="00F756C3">
      <w:pPr>
        <w:suppressAutoHyphens/>
        <w:spacing w:after="120"/>
        <w:rPr>
          <w:rFonts w:eastAsia="Calibri" w:cs="Times New Roman"/>
          <w:noProof/>
          <w:szCs w:val="24"/>
          <w:lang w:eastAsia="tr-TR"/>
        </w:rPr>
      </w:pPr>
    </w:p>
    <w:p w14:paraId="60ED6D37" w14:textId="77777777" w:rsidR="009A4879" w:rsidRPr="000A40E6" w:rsidRDefault="009A4879" w:rsidP="00F756C3">
      <w:pPr>
        <w:suppressAutoHyphens/>
        <w:spacing w:after="120"/>
        <w:rPr>
          <w:rFonts w:eastAsia="Calibri" w:cs="Times New Roman"/>
          <w:noProof/>
          <w:szCs w:val="24"/>
          <w:lang w:eastAsia="tr-TR"/>
        </w:rPr>
      </w:pPr>
    </w:p>
    <w:p w14:paraId="0F83C14F" w14:textId="77777777" w:rsidR="009A4879" w:rsidRPr="000A40E6" w:rsidRDefault="009A4879" w:rsidP="00F756C3">
      <w:pPr>
        <w:suppressAutoHyphens/>
        <w:spacing w:after="120"/>
        <w:rPr>
          <w:rFonts w:eastAsia="Calibri" w:cs="Times New Roman"/>
          <w:noProof/>
          <w:szCs w:val="24"/>
          <w:lang w:eastAsia="tr-TR"/>
        </w:rPr>
      </w:pPr>
    </w:p>
    <w:p w14:paraId="62B7D14B" w14:textId="334FB52A" w:rsidR="00017B20" w:rsidRPr="000A40E6" w:rsidRDefault="00017B20" w:rsidP="00F756C3">
      <w:pPr>
        <w:suppressAutoHyphens/>
        <w:spacing w:line="240" w:lineRule="atLeast"/>
        <w:ind w:firstLine="0"/>
        <w:jc w:val="center"/>
        <w:rPr>
          <w:rFonts w:eastAsia="Calibri" w:cs="Times New Roman"/>
          <w:noProof/>
          <w:szCs w:val="24"/>
          <w:lang w:eastAsia="tr-TR"/>
        </w:rPr>
      </w:pPr>
      <w:r w:rsidRPr="000A40E6">
        <w:rPr>
          <w:rFonts w:cs="Times New Roman"/>
          <w:noProof/>
          <w:szCs w:val="24"/>
          <w:lang w:eastAsia="tr-TR"/>
        </w:rPr>
        <w:drawing>
          <wp:inline distT="0" distB="0" distL="0" distR="0" wp14:anchorId="7F8330EA" wp14:editId="2EF50A73">
            <wp:extent cx="3581400" cy="1402906"/>
            <wp:effectExtent l="19050" t="19050" r="19050" b="26035"/>
            <wp:docPr id="44" name="Picture 2" descr="C:\Users\user\Desktop\IRMAK AKIN\IRMAK AKIN 19.09.2022 ARAMAT\DSC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IRMAK AKIN\IRMAK AKIN 19.09.2022 ARAMAT\DSC_062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34" t="6314" r="1781"/>
                    <a:stretch/>
                  </pic:blipFill>
                  <pic:spPr bwMode="auto">
                    <a:xfrm>
                      <a:off x="0" y="0"/>
                      <a:ext cx="3602974" cy="1411357"/>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17D13" w:rsidRPr="000A40E6">
        <w:rPr>
          <w:rFonts w:cs="Times New Roman"/>
          <w:noProof/>
          <w:szCs w:val="24"/>
          <w:lang w:eastAsia="tr-TR"/>
        </w:rPr>
        <w:drawing>
          <wp:inline distT="0" distB="0" distL="0" distR="0" wp14:anchorId="30B2BCE0" wp14:editId="0760963F">
            <wp:extent cx="1876425" cy="1418771"/>
            <wp:effectExtent l="19050" t="19050" r="9525" b="10160"/>
            <wp:docPr id="61" name="Picture 5" descr="C:\Users\user\Desktop\IRMAK AKIN\IRMAK AKIN 19.09.2022 ARAMAT\DSC_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user\Desktop\IRMAK AKIN\IRMAK AKIN 19.09.2022 ARAMAT\DSC_06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77"/>
                    <a:stretch/>
                  </pic:blipFill>
                  <pic:spPr bwMode="auto">
                    <a:xfrm>
                      <a:off x="0" y="0"/>
                      <a:ext cx="1910139" cy="1444263"/>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29B419" w14:textId="76B8F33E" w:rsidR="007B3FD4" w:rsidRPr="000A40E6" w:rsidRDefault="00917D13" w:rsidP="00F756C3">
      <w:pPr>
        <w:suppressAutoHyphens/>
        <w:spacing w:line="240" w:lineRule="atLeast"/>
        <w:ind w:firstLine="0"/>
        <w:jc w:val="center"/>
        <w:rPr>
          <w:rFonts w:eastAsia="Calibri" w:cs="Times New Roman"/>
          <w:noProof/>
          <w:szCs w:val="24"/>
          <w:lang w:eastAsia="tr-TR"/>
        </w:rPr>
      </w:pPr>
      <w:r w:rsidRPr="000A40E6">
        <w:rPr>
          <w:rFonts w:cs="Times New Roman"/>
          <w:noProof/>
          <w:szCs w:val="24"/>
          <w:lang w:eastAsia="tr-TR"/>
        </w:rPr>
        <w:drawing>
          <wp:inline distT="0" distB="0" distL="0" distR="0" wp14:anchorId="16AEFF19" wp14:editId="0D4626E9">
            <wp:extent cx="2724150" cy="1331413"/>
            <wp:effectExtent l="19050" t="19050" r="19050" b="21590"/>
            <wp:docPr id="62" name="Picture 3" descr="C:\Users\user\Desktop\IRMAK AKIN\IRMAK AKIN 19.09.2022 ARAMAT\DSC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IRMAK AKIN\IRMAK AKIN 19.09.2022 ARAMAT\DSC_063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394" r="1755" b="6107"/>
                    <a:stretch/>
                  </pic:blipFill>
                  <pic:spPr bwMode="auto">
                    <a:xfrm>
                      <a:off x="0" y="0"/>
                      <a:ext cx="2739525" cy="1338928"/>
                    </a:xfrm>
                    <a:prstGeom prst="rect">
                      <a:avLst/>
                    </a:prstGeom>
                    <a:noFill/>
                    <a:ln>
                      <a:solidFill>
                        <a:sysClr val="window" lastClr="FFFFFF"/>
                      </a:solidFill>
                    </a:ln>
                    <a:extLst/>
                  </pic:spPr>
                </pic:pic>
              </a:graphicData>
            </a:graphic>
          </wp:inline>
        </w:drawing>
      </w:r>
      <w:r w:rsidRPr="000A40E6">
        <w:rPr>
          <w:rFonts w:cs="Times New Roman"/>
          <w:noProof/>
          <w:szCs w:val="24"/>
          <w:lang w:eastAsia="tr-TR"/>
        </w:rPr>
        <w:drawing>
          <wp:inline distT="0" distB="0" distL="0" distR="0" wp14:anchorId="52CD597D" wp14:editId="0AC7709C">
            <wp:extent cx="2733675" cy="1338098"/>
            <wp:effectExtent l="19050" t="19050" r="9525" b="14605"/>
            <wp:docPr id="63" name="Picture 4" descr="C:\Users\user\Desktop\IRMAK AKIN\IRMAK AKIN 19.09.2022 ARAMAT\DSC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esktop\IRMAK AKIN\IRMAK AKIN 19.09.2022 ARAMAT\DSC_063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211"/>
                    <a:stretch/>
                  </pic:blipFill>
                  <pic:spPr bwMode="auto">
                    <a:xfrm>
                      <a:off x="0" y="0"/>
                      <a:ext cx="2759701" cy="1350838"/>
                    </a:xfrm>
                    <a:prstGeom prst="rect">
                      <a:avLst/>
                    </a:prstGeom>
                    <a:noFill/>
                    <a:ln>
                      <a:solidFill>
                        <a:sysClr val="window" lastClr="FFFFFF"/>
                      </a:solidFill>
                    </a:ln>
                    <a:extLst/>
                  </pic:spPr>
                </pic:pic>
              </a:graphicData>
            </a:graphic>
          </wp:inline>
        </w:drawing>
      </w:r>
    </w:p>
    <w:p w14:paraId="621031AD" w14:textId="303F552C" w:rsidR="00395A48" w:rsidRPr="000A40E6" w:rsidRDefault="00CE6AA2" w:rsidP="00F756C3">
      <w:pPr>
        <w:pStyle w:val="ResimYazs"/>
        <w:suppressAutoHyphens/>
        <w:spacing w:before="120" w:after="120" w:line="360" w:lineRule="auto"/>
        <w:ind w:left="567" w:hanging="567"/>
        <w:rPr>
          <w:rFonts w:eastAsia="Calibri" w:cs="Times New Roman"/>
          <w:b w:val="0"/>
          <w:noProof/>
          <w:color w:val="auto"/>
          <w:sz w:val="24"/>
          <w:szCs w:val="24"/>
          <w:lang w:eastAsia="tr-TR"/>
        </w:rPr>
      </w:pPr>
      <w:bookmarkStart w:id="88" w:name="_Toc136385557"/>
      <w:bookmarkStart w:id="89" w:name="_Toc136386384"/>
      <w:r w:rsidRPr="000A40E6">
        <w:rPr>
          <w:rFonts w:cs="Times New Roman"/>
          <w:color w:val="auto"/>
          <w:sz w:val="24"/>
          <w:szCs w:val="24"/>
        </w:rPr>
        <w:t xml:space="preserve">Resim </w:t>
      </w:r>
      <w:r w:rsidR="003F42DA" w:rsidRPr="000A40E6">
        <w:rPr>
          <w:rFonts w:cs="Times New Roman"/>
          <w:noProof/>
          <w:color w:val="auto"/>
          <w:sz w:val="24"/>
          <w:szCs w:val="24"/>
        </w:rPr>
        <w:t>9</w:t>
      </w:r>
      <w:r w:rsidRPr="000A40E6">
        <w:rPr>
          <w:rFonts w:cs="Times New Roman"/>
          <w:color w:val="auto"/>
          <w:sz w:val="24"/>
          <w:szCs w:val="24"/>
        </w:rPr>
        <w:t xml:space="preserve">. </w:t>
      </w:r>
      <w:r w:rsidR="00006D09" w:rsidRPr="000A40E6">
        <w:rPr>
          <w:rFonts w:cs="Times New Roman"/>
          <w:b w:val="0"/>
          <w:color w:val="auto"/>
          <w:sz w:val="24"/>
          <w:szCs w:val="24"/>
        </w:rPr>
        <w:t>Örnek vakanın 3. ay retansiyon sonrası ağız içi fotoğraf kayıtları.</w:t>
      </w:r>
      <w:bookmarkEnd w:id="88"/>
      <w:bookmarkEnd w:id="89"/>
    </w:p>
    <w:p w14:paraId="78F278A8" w14:textId="77777777" w:rsidR="00820683" w:rsidRPr="000A40E6" w:rsidRDefault="00820683" w:rsidP="00F756C3">
      <w:pPr>
        <w:suppressAutoHyphens/>
        <w:spacing w:after="120"/>
        <w:rPr>
          <w:rFonts w:eastAsia="Calibri" w:cs="Times New Roman"/>
          <w:szCs w:val="24"/>
          <w:lang w:val="en-GB"/>
        </w:rPr>
      </w:pPr>
    </w:p>
    <w:p w14:paraId="62BFA48E" w14:textId="2F4EB4A1" w:rsidR="00990A1F" w:rsidRPr="000A40E6" w:rsidRDefault="00233E47" w:rsidP="00F756C3">
      <w:pPr>
        <w:suppressAutoHyphens/>
        <w:spacing w:line="240" w:lineRule="atLeast"/>
        <w:ind w:firstLine="0"/>
        <w:jc w:val="center"/>
        <w:rPr>
          <w:rFonts w:eastAsia="Calibri" w:cs="Times New Roman"/>
          <w:sz w:val="12"/>
          <w:szCs w:val="24"/>
          <w:lang w:val="en-GB"/>
        </w:rPr>
      </w:pPr>
      <w:r w:rsidRPr="000A40E6">
        <w:rPr>
          <w:rFonts w:eastAsia="Calibri" w:cs="Times New Roman"/>
          <w:noProof/>
          <w:szCs w:val="24"/>
          <w:lang w:eastAsia="tr-TR"/>
        </w:rPr>
        <w:drawing>
          <wp:inline distT="0" distB="0" distL="0" distR="0" wp14:anchorId="11A3D53F" wp14:editId="79BE8F93">
            <wp:extent cx="3524250" cy="1411316"/>
            <wp:effectExtent l="0" t="0" r="0" b="0"/>
            <wp:docPr id="8" name="Resim 8" descr="C:\Users\user\Desktop\TEZ HASTALARI\IRMAK AKIN\IRMAK AKIN 19.09.2022 ARAMAT\DSC_0626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Z HASTALARI\IRMAK AKIN\IRMAK AKIN 19.09.2022 ARAMAT\DSC_0626 - Kopya.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24" r="1577"/>
                    <a:stretch/>
                  </pic:blipFill>
                  <pic:spPr bwMode="auto">
                    <a:xfrm>
                      <a:off x="0" y="0"/>
                      <a:ext cx="3529542" cy="1413435"/>
                    </a:xfrm>
                    <a:prstGeom prst="rect">
                      <a:avLst/>
                    </a:prstGeom>
                    <a:noFill/>
                    <a:ln>
                      <a:noFill/>
                    </a:ln>
                    <a:extLst>
                      <a:ext uri="{53640926-AAD7-44D8-BBD7-CCE9431645EC}">
                        <a14:shadowObscured xmlns:a14="http://schemas.microsoft.com/office/drawing/2010/main"/>
                      </a:ext>
                    </a:extLst>
                  </pic:spPr>
                </pic:pic>
              </a:graphicData>
            </a:graphic>
          </wp:inline>
        </w:drawing>
      </w:r>
      <w:r w:rsidR="00FD2079" w:rsidRPr="000A40E6">
        <w:rPr>
          <w:rFonts w:eastAsia="Calibri" w:cs="Times New Roman"/>
          <w:sz w:val="12"/>
          <w:szCs w:val="24"/>
          <w:lang w:val="en-GB"/>
        </w:rPr>
        <w:t xml:space="preserve"> </w:t>
      </w:r>
      <w:r w:rsidR="007F358B">
        <w:rPr>
          <w:rFonts w:eastAsia="Calibri" w:cs="Times New Roman"/>
          <w:noProof/>
          <w:szCs w:val="24"/>
          <w:lang w:eastAsia="tr-TR"/>
        </w:rPr>
        <w:t xml:space="preserve"> </w:t>
      </w:r>
      <w:r w:rsidR="00820683" w:rsidRPr="000A40E6">
        <w:rPr>
          <w:rFonts w:eastAsia="Calibri" w:cs="Times New Roman"/>
          <w:noProof/>
          <w:szCs w:val="24"/>
          <w:lang w:eastAsia="tr-TR"/>
        </w:rPr>
        <w:drawing>
          <wp:inline distT="0" distB="0" distL="0" distR="0" wp14:anchorId="0CE1A928" wp14:editId="465ABE5A">
            <wp:extent cx="1897812" cy="1413194"/>
            <wp:effectExtent l="0" t="0" r="7620" b="0"/>
            <wp:docPr id="64" name="Resim 64" descr="C:\Users\user\Desktop\TEZ HASTALARI\IRMAK AKIN\IRMAK AKIN 19.09.2022 ARAMAT\DSC_0638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Z HASTALARI\IRMAK AKIN\IRMAK AKIN 19.09.2022 ARAMAT\DSC_0638 - Kopya.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14" b="-1"/>
                    <a:stretch/>
                  </pic:blipFill>
                  <pic:spPr bwMode="auto">
                    <a:xfrm>
                      <a:off x="0" y="0"/>
                      <a:ext cx="1940445" cy="1444940"/>
                    </a:xfrm>
                    <a:prstGeom prst="rect">
                      <a:avLst/>
                    </a:prstGeom>
                    <a:noFill/>
                    <a:ln>
                      <a:noFill/>
                    </a:ln>
                    <a:extLst>
                      <a:ext uri="{53640926-AAD7-44D8-BBD7-CCE9431645EC}">
                        <a14:shadowObscured xmlns:a14="http://schemas.microsoft.com/office/drawing/2010/main"/>
                      </a:ext>
                    </a:extLst>
                  </pic:spPr>
                </pic:pic>
              </a:graphicData>
            </a:graphic>
          </wp:inline>
        </w:drawing>
      </w:r>
      <w:bookmarkStart w:id="90" w:name="_GoBack"/>
      <w:bookmarkEnd w:id="90"/>
    </w:p>
    <w:p w14:paraId="63FC123B" w14:textId="77777777" w:rsidR="00FD2079" w:rsidRPr="000A40E6" w:rsidRDefault="00FD2079" w:rsidP="00FD2079">
      <w:pPr>
        <w:suppressAutoHyphens/>
        <w:spacing w:line="240" w:lineRule="auto"/>
        <w:ind w:firstLine="0"/>
        <w:jc w:val="center"/>
        <w:rPr>
          <w:rFonts w:eastAsia="Calibri" w:cs="Times New Roman"/>
          <w:sz w:val="6"/>
          <w:szCs w:val="24"/>
          <w:lang w:val="en-GB"/>
        </w:rPr>
      </w:pPr>
    </w:p>
    <w:p w14:paraId="3ADD2FF6" w14:textId="7239D8F3" w:rsidR="000B501F" w:rsidRPr="000A40E6" w:rsidRDefault="00ED1CC6" w:rsidP="00F756C3">
      <w:pPr>
        <w:suppressAutoHyphens/>
        <w:spacing w:line="240" w:lineRule="atLeast"/>
        <w:ind w:firstLine="0"/>
        <w:jc w:val="center"/>
        <w:rPr>
          <w:rFonts w:eastAsia="Calibri" w:cs="Times New Roman"/>
          <w:szCs w:val="24"/>
          <w:lang w:val="en-GB"/>
        </w:rPr>
      </w:pPr>
      <w:r w:rsidRPr="000A40E6">
        <w:rPr>
          <w:rFonts w:eastAsia="Calibri" w:cs="Times New Roman"/>
          <w:noProof/>
          <w:szCs w:val="24"/>
          <w:lang w:eastAsia="tr-TR"/>
        </w:rPr>
        <w:drawing>
          <wp:inline distT="0" distB="0" distL="0" distR="0" wp14:anchorId="29110D85" wp14:editId="20EC576C">
            <wp:extent cx="2781300" cy="1346865"/>
            <wp:effectExtent l="0" t="0" r="0" b="5715"/>
            <wp:docPr id="25" name="Resim 25" descr="C:\Users\user\Desktop\TEZ HASTALARI\IRMAK AKIN\IRMAK AKIN 19.09.2022 ARAMAT\DSC_0630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EZ HASTALARI\IRMAK AKIN\IRMAK AKIN 19.09.2022 ARAMAT\DSC_0630 - Kopy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0471" cy="1346463"/>
                    </a:xfrm>
                    <a:prstGeom prst="rect">
                      <a:avLst/>
                    </a:prstGeom>
                    <a:noFill/>
                    <a:ln>
                      <a:noFill/>
                    </a:ln>
                  </pic:spPr>
                </pic:pic>
              </a:graphicData>
            </a:graphic>
          </wp:inline>
        </w:drawing>
      </w:r>
      <w:r w:rsidR="00FD2079" w:rsidRPr="000A40E6">
        <w:rPr>
          <w:rFonts w:eastAsia="Calibri" w:cs="Times New Roman"/>
          <w:sz w:val="16"/>
          <w:szCs w:val="24"/>
          <w:lang w:val="en-GB"/>
        </w:rPr>
        <w:t xml:space="preserve"> </w:t>
      </w:r>
      <w:r w:rsidR="00032286" w:rsidRPr="000A40E6">
        <w:rPr>
          <w:rFonts w:eastAsia="Calibri" w:cs="Times New Roman"/>
          <w:noProof/>
          <w:szCs w:val="24"/>
          <w:lang w:eastAsia="tr-TR"/>
        </w:rPr>
        <w:drawing>
          <wp:inline distT="0" distB="0" distL="0" distR="0" wp14:anchorId="532778BD" wp14:editId="1B69863F">
            <wp:extent cx="2674001" cy="1351647"/>
            <wp:effectExtent l="0" t="0" r="0" b="1270"/>
            <wp:docPr id="37" name="Resim 37" descr="C:\Users\user\Desktop\TEZ HASTALARI\IRMAK AKIN\IRMAK AKIN 19.09.2022 ARAMAT\DSC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EZ HASTALARI\IRMAK AKIN\IRMAK AKIN 19.09.2022 ARAMAT\DSC_06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6948" cy="1373356"/>
                    </a:xfrm>
                    <a:prstGeom prst="rect">
                      <a:avLst/>
                    </a:prstGeom>
                    <a:noFill/>
                    <a:ln>
                      <a:noFill/>
                    </a:ln>
                  </pic:spPr>
                </pic:pic>
              </a:graphicData>
            </a:graphic>
          </wp:inline>
        </w:drawing>
      </w:r>
    </w:p>
    <w:p w14:paraId="650B1F6E" w14:textId="7AE6022E" w:rsidR="002A1CFF" w:rsidRPr="000A40E6" w:rsidRDefault="00CE6AA2" w:rsidP="00F756C3">
      <w:pPr>
        <w:pStyle w:val="ResimYazs"/>
        <w:suppressAutoHyphens/>
        <w:spacing w:before="120" w:after="120" w:line="360" w:lineRule="auto"/>
        <w:ind w:left="567" w:hanging="567"/>
        <w:rPr>
          <w:rFonts w:eastAsia="Calibri" w:cs="Times New Roman"/>
          <w:b w:val="0"/>
          <w:color w:val="auto"/>
          <w:sz w:val="24"/>
          <w:szCs w:val="24"/>
          <w:lang w:val="en-GB"/>
        </w:rPr>
      </w:pPr>
      <w:bookmarkStart w:id="91" w:name="_Toc136385558"/>
      <w:bookmarkStart w:id="92" w:name="_Toc136386385"/>
      <w:r w:rsidRPr="000A40E6">
        <w:rPr>
          <w:rFonts w:cs="Times New Roman"/>
          <w:color w:val="auto"/>
          <w:sz w:val="24"/>
          <w:szCs w:val="24"/>
        </w:rPr>
        <w:t xml:space="preserve">Resim </w:t>
      </w:r>
      <w:r w:rsidR="003F42DA" w:rsidRPr="000A40E6">
        <w:rPr>
          <w:rFonts w:cs="Times New Roman"/>
          <w:noProof/>
          <w:color w:val="auto"/>
          <w:sz w:val="24"/>
          <w:szCs w:val="24"/>
        </w:rPr>
        <w:t>10</w:t>
      </w:r>
      <w:r w:rsidRPr="000A40E6">
        <w:rPr>
          <w:rFonts w:cs="Times New Roman"/>
          <w:color w:val="auto"/>
          <w:sz w:val="24"/>
          <w:szCs w:val="24"/>
        </w:rPr>
        <w:t xml:space="preserve">. </w:t>
      </w:r>
      <w:r w:rsidR="00006D09" w:rsidRPr="000A40E6">
        <w:rPr>
          <w:rFonts w:cs="Times New Roman"/>
          <w:b w:val="0"/>
          <w:color w:val="auto"/>
          <w:sz w:val="24"/>
          <w:szCs w:val="24"/>
        </w:rPr>
        <w:t>Örnek vakanın 6. ay retansiyon sonrası ağız içi fotoğraf kayıtları.</w:t>
      </w:r>
      <w:bookmarkEnd w:id="91"/>
      <w:bookmarkEnd w:id="92"/>
    </w:p>
    <w:p w14:paraId="7D9BD4DE" w14:textId="5A846F0F" w:rsidR="009A4879" w:rsidRPr="000A40E6" w:rsidRDefault="009A4879" w:rsidP="00F756C3">
      <w:pPr>
        <w:suppressAutoHyphens/>
        <w:spacing w:after="120"/>
        <w:rPr>
          <w:rFonts w:eastAsia="Calibri" w:cs="Times New Roman"/>
          <w:szCs w:val="24"/>
          <w:lang w:val="en-GB"/>
        </w:rPr>
      </w:pPr>
    </w:p>
    <w:p w14:paraId="723ADE7E" w14:textId="77777777" w:rsidR="007E55E8" w:rsidRPr="000A40E6" w:rsidRDefault="007E55E8" w:rsidP="00F756C3">
      <w:pPr>
        <w:suppressAutoHyphens/>
        <w:spacing w:after="120"/>
        <w:ind w:firstLine="0"/>
        <w:rPr>
          <w:rFonts w:cs="Times New Roman"/>
          <w:b/>
          <w:szCs w:val="24"/>
        </w:rPr>
      </w:pPr>
      <w:bookmarkStart w:id="93" w:name="_Toc136443414"/>
      <w:r w:rsidRPr="000A40E6">
        <w:rPr>
          <w:rFonts w:cs="Times New Roman"/>
          <w:b/>
          <w:szCs w:val="24"/>
        </w:rPr>
        <w:t>3.4. Örneklerin Alınması</w:t>
      </w:r>
      <w:bookmarkEnd w:id="93"/>
    </w:p>
    <w:p w14:paraId="57766D73" w14:textId="77777777" w:rsidR="007E55E8" w:rsidRPr="000A40E6" w:rsidRDefault="007E55E8" w:rsidP="00F756C3">
      <w:pPr>
        <w:suppressAutoHyphens/>
        <w:spacing w:after="120"/>
        <w:rPr>
          <w:rFonts w:eastAsia="Calibri" w:cs="Times New Roman"/>
          <w:b/>
          <w:szCs w:val="24"/>
          <w:lang w:val="en-GB"/>
        </w:rPr>
      </w:pPr>
    </w:p>
    <w:p w14:paraId="7551C158" w14:textId="5A651D81" w:rsidR="007E55E8" w:rsidRPr="000A40E6" w:rsidRDefault="007E55E8" w:rsidP="00F756C3">
      <w:pPr>
        <w:suppressAutoHyphens/>
        <w:spacing w:after="120"/>
        <w:rPr>
          <w:rFonts w:eastAsia="Calibri" w:cs="Times New Roman"/>
          <w:szCs w:val="24"/>
          <w:lang w:val="en-GB"/>
        </w:rPr>
      </w:pPr>
      <w:proofErr w:type="gramStart"/>
      <w:r w:rsidRPr="000A40E6">
        <w:rPr>
          <w:rFonts w:eastAsia="Calibri" w:cs="Times New Roman"/>
          <w:szCs w:val="24"/>
          <w:lang w:val="en-GB"/>
        </w:rPr>
        <w:t>Standar</w:t>
      </w:r>
      <w:r w:rsidR="00C36662" w:rsidRPr="000A40E6">
        <w:rPr>
          <w:rFonts w:eastAsia="Calibri" w:cs="Times New Roman"/>
          <w:szCs w:val="24"/>
          <w:lang w:val="en-GB"/>
        </w:rPr>
        <w:t>dizasyonun sağlanabilmesi için ç</w:t>
      </w:r>
      <w:r w:rsidRPr="000A40E6">
        <w:rPr>
          <w:rFonts w:eastAsia="Calibri" w:cs="Times New Roman"/>
          <w:szCs w:val="24"/>
          <w:lang w:val="en-GB"/>
        </w:rPr>
        <w:t>alışmaya dahil edilen tüm hastaların sağ maksiller 1.</w:t>
      </w:r>
      <w:proofErr w:type="gramEnd"/>
      <w:r w:rsidRPr="000A40E6">
        <w:rPr>
          <w:rFonts w:eastAsia="Calibri" w:cs="Times New Roman"/>
          <w:szCs w:val="24"/>
          <w:lang w:val="en-GB"/>
        </w:rPr>
        <w:t xml:space="preserve"> </w:t>
      </w:r>
      <w:proofErr w:type="gramStart"/>
      <w:r w:rsidRPr="000A40E6">
        <w:rPr>
          <w:rFonts w:eastAsia="Calibri" w:cs="Times New Roman"/>
          <w:szCs w:val="24"/>
          <w:lang w:val="en-GB"/>
        </w:rPr>
        <w:t>molar</w:t>
      </w:r>
      <w:proofErr w:type="gramEnd"/>
      <w:r w:rsidRPr="000A40E6">
        <w:rPr>
          <w:rFonts w:eastAsia="Calibri" w:cs="Times New Roman"/>
          <w:szCs w:val="24"/>
          <w:lang w:val="en-GB"/>
        </w:rPr>
        <w:t xml:space="preserve"> dişlerinden</w:t>
      </w:r>
      <w:r w:rsidR="00C36662" w:rsidRPr="000A40E6">
        <w:rPr>
          <w:rFonts w:eastAsia="Calibri" w:cs="Times New Roman"/>
          <w:szCs w:val="24"/>
          <w:lang w:val="en-GB"/>
        </w:rPr>
        <w:t xml:space="preserve"> örnek alınmıştır. </w:t>
      </w:r>
      <w:proofErr w:type="gramStart"/>
      <w:r w:rsidR="00C36662" w:rsidRPr="000A40E6">
        <w:rPr>
          <w:rFonts w:eastAsia="Calibri" w:cs="Times New Roman"/>
          <w:szCs w:val="24"/>
          <w:lang w:val="en-GB"/>
        </w:rPr>
        <w:t>Örneklerin alınması</w:t>
      </w:r>
      <w:r w:rsidRPr="000A40E6">
        <w:rPr>
          <w:rFonts w:eastAsia="Calibri" w:cs="Times New Roman"/>
          <w:szCs w:val="24"/>
          <w:lang w:val="en-GB"/>
        </w:rPr>
        <w:t xml:space="preserve"> 4 farklı zaman diliminde </w:t>
      </w:r>
      <w:r w:rsidR="00C36662" w:rsidRPr="000A40E6">
        <w:rPr>
          <w:rFonts w:eastAsia="Calibri" w:cs="Times New Roman"/>
          <w:szCs w:val="24"/>
          <w:lang w:val="en-GB"/>
        </w:rPr>
        <w:t>gerçekleşmiştir.</w:t>
      </w:r>
      <w:proofErr w:type="gramEnd"/>
      <w:r w:rsidR="00C36662" w:rsidRPr="000A40E6">
        <w:rPr>
          <w:rFonts w:eastAsia="Calibri" w:cs="Times New Roman"/>
          <w:szCs w:val="24"/>
          <w:lang w:val="en-GB"/>
        </w:rPr>
        <w:t xml:space="preserve"> </w:t>
      </w:r>
      <w:r w:rsidRPr="000A40E6">
        <w:rPr>
          <w:rFonts w:eastAsia="Calibri" w:cs="Times New Roman"/>
          <w:szCs w:val="24"/>
          <w:lang w:val="en-GB"/>
        </w:rPr>
        <w:t>Bu zaman dilimleri;</w:t>
      </w:r>
    </w:p>
    <w:p w14:paraId="5C7354BD" w14:textId="7429B18E" w:rsidR="007E55E8" w:rsidRPr="000A40E6" w:rsidRDefault="007E55E8" w:rsidP="00F756C3">
      <w:pPr>
        <w:suppressAutoHyphens/>
        <w:spacing w:after="120"/>
        <w:rPr>
          <w:rFonts w:eastAsia="Calibri" w:cs="Times New Roman"/>
          <w:szCs w:val="24"/>
          <w:lang w:val="en-GB"/>
        </w:rPr>
      </w:pPr>
      <w:r w:rsidRPr="000A40E6">
        <w:rPr>
          <w:rFonts w:eastAsia="Calibri" w:cs="Times New Roman"/>
          <w:szCs w:val="24"/>
          <w:lang w:val="en-GB"/>
        </w:rPr>
        <w:t>T0 (Baseline) (Kontrol grubu olarak bu zaman dilimindeki örnekler alınmıştır): Aparey yerleştirilmeden hemen önce,</w:t>
      </w:r>
    </w:p>
    <w:p w14:paraId="4F86B598" w14:textId="77777777" w:rsidR="007E55E8" w:rsidRPr="000A40E6" w:rsidRDefault="007E55E8" w:rsidP="00F756C3">
      <w:pPr>
        <w:suppressAutoHyphens/>
        <w:spacing w:after="120"/>
        <w:rPr>
          <w:rFonts w:eastAsia="Calibri" w:cs="Times New Roman"/>
          <w:szCs w:val="24"/>
          <w:lang w:val="en-GB"/>
        </w:rPr>
      </w:pPr>
      <w:r w:rsidRPr="000A40E6">
        <w:rPr>
          <w:rFonts w:eastAsia="Calibri" w:cs="Times New Roman"/>
          <w:szCs w:val="24"/>
          <w:lang w:val="en-GB"/>
        </w:rPr>
        <w:t>T1: Aktif fazdan sonra (vidanın çevrilmesi bittikten sonra),</w:t>
      </w:r>
    </w:p>
    <w:p w14:paraId="7DF16760" w14:textId="414995B5" w:rsidR="007E55E8" w:rsidRPr="000A40E6" w:rsidRDefault="007E55E8" w:rsidP="00F756C3">
      <w:pPr>
        <w:suppressAutoHyphens/>
        <w:spacing w:after="120"/>
        <w:rPr>
          <w:rFonts w:eastAsia="Calibri" w:cs="Times New Roman"/>
          <w:szCs w:val="24"/>
          <w:lang w:val="en-GB"/>
        </w:rPr>
      </w:pPr>
      <w:r w:rsidRPr="000A40E6">
        <w:rPr>
          <w:rFonts w:eastAsia="Calibri" w:cs="Times New Roman"/>
          <w:szCs w:val="24"/>
          <w:lang w:val="en-GB"/>
        </w:rPr>
        <w:t xml:space="preserve">T2: </w:t>
      </w:r>
      <w:r w:rsidR="005C6DD0" w:rsidRPr="000A40E6">
        <w:rPr>
          <w:rFonts w:eastAsia="Calibri" w:cs="Times New Roman"/>
          <w:szCs w:val="24"/>
          <w:lang w:val="en-GB"/>
        </w:rPr>
        <w:t xml:space="preserve">Aktif fazdan sonraki </w:t>
      </w:r>
      <w:r w:rsidRPr="000A40E6">
        <w:rPr>
          <w:rFonts w:eastAsia="Calibri" w:cs="Times New Roman"/>
          <w:szCs w:val="24"/>
          <w:lang w:val="en-GB"/>
        </w:rPr>
        <w:t>3 aylık retansiyon dönemi sonu,</w:t>
      </w:r>
    </w:p>
    <w:p w14:paraId="3117C1F1" w14:textId="7E8D90AA" w:rsidR="0063772E" w:rsidRPr="000A40E6" w:rsidRDefault="007E55E8" w:rsidP="00F756C3">
      <w:pPr>
        <w:suppressAutoHyphens/>
        <w:spacing w:after="120"/>
        <w:rPr>
          <w:rFonts w:eastAsia="Calibri" w:cs="Times New Roman"/>
          <w:szCs w:val="24"/>
          <w:lang w:val="en-GB"/>
        </w:rPr>
      </w:pPr>
      <w:r w:rsidRPr="000A40E6">
        <w:rPr>
          <w:rFonts w:eastAsia="Calibri" w:cs="Times New Roman"/>
          <w:szCs w:val="24"/>
          <w:lang w:val="en-GB"/>
        </w:rPr>
        <w:t xml:space="preserve">T3: </w:t>
      </w:r>
      <w:r w:rsidR="0000277A" w:rsidRPr="000A40E6">
        <w:rPr>
          <w:rFonts w:eastAsia="Calibri" w:cs="Times New Roman"/>
          <w:szCs w:val="24"/>
          <w:lang w:val="en-GB"/>
        </w:rPr>
        <w:t xml:space="preserve">Aktif fazdan sonraki </w:t>
      </w:r>
      <w:r w:rsidRPr="000A40E6">
        <w:rPr>
          <w:rFonts w:eastAsia="Calibri" w:cs="Times New Roman"/>
          <w:szCs w:val="24"/>
          <w:lang w:val="en-GB"/>
        </w:rPr>
        <w:t>6 aylık retansiyon dönemi sonu.</w:t>
      </w:r>
    </w:p>
    <w:p w14:paraId="7777FBF6" w14:textId="54BEDC3E" w:rsidR="007E55E8" w:rsidRPr="000A40E6" w:rsidRDefault="008812DA" w:rsidP="00F756C3">
      <w:pPr>
        <w:suppressAutoHyphens/>
        <w:spacing w:after="120"/>
        <w:rPr>
          <w:rFonts w:eastAsia="Calibri" w:cs="Times New Roman"/>
          <w:szCs w:val="24"/>
          <w:lang w:val="en-GB"/>
        </w:rPr>
      </w:pPr>
      <w:proofErr w:type="gramStart"/>
      <w:r w:rsidRPr="000A40E6">
        <w:rPr>
          <w:rFonts w:eastAsia="Calibri" w:cs="Times New Roman"/>
          <w:szCs w:val="24"/>
          <w:lang w:val="en-GB"/>
        </w:rPr>
        <w:t>H</w:t>
      </w:r>
      <w:r w:rsidR="007E55E8" w:rsidRPr="000A40E6">
        <w:rPr>
          <w:rFonts w:eastAsia="Calibri" w:cs="Times New Roman"/>
          <w:szCs w:val="24"/>
          <w:lang w:val="en-GB"/>
        </w:rPr>
        <w:t>er bir</w:t>
      </w:r>
      <w:r w:rsidR="00EB24CB" w:rsidRPr="000A40E6">
        <w:rPr>
          <w:rFonts w:eastAsia="Calibri" w:cs="Times New Roman"/>
          <w:szCs w:val="24"/>
          <w:lang w:val="en-GB"/>
        </w:rPr>
        <w:t xml:space="preserve"> zaman diliminde sağ maksiller </w:t>
      </w:r>
      <w:r w:rsidR="007E55E8" w:rsidRPr="000A40E6">
        <w:rPr>
          <w:rFonts w:eastAsia="Calibri" w:cs="Times New Roman"/>
          <w:szCs w:val="24"/>
          <w:lang w:val="en-GB"/>
        </w:rPr>
        <w:t>1.</w:t>
      </w:r>
      <w:proofErr w:type="gramEnd"/>
      <w:r w:rsidR="007E55E8" w:rsidRPr="000A40E6">
        <w:rPr>
          <w:rFonts w:eastAsia="Calibri" w:cs="Times New Roman"/>
          <w:szCs w:val="24"/>
          <w:lang w:val="en-GB"/>
        </w:rPr>
        <w:t xml:space="preserve"> </w:t>
      </w:r>
      <w:proofErr w:type="gramStart"/>
      <w:r w:rsidR="007E55E8" w:rsidRPr="000A40E6">
        <w:rPr>
          <w:rFonts w:eastAsia="Calibri" w:cs="Times New Roman"/>
          <w:szCs w:val="24"/>
          <w:lang w:val="en-GB"/>
        </w:rPr>
        <w:t>molar</w:t>
      </w:r>
      <w:proofErr w:type="gramEnd"/>
      <w:r w:rsidR="007E55E8" w:rsidRPr="000A40E6">
        <w:rPr>
          <w:rFonts w:eastAsia="Calibri" w:cs="Times New Roman"/>
          <w:szCs w:val="24"/>
          <w:lang w:val="en-GB"/>
        </w:rPr>
        <w:t xml:space="preserve"> dişin bukkal ve palatinal yüzeyinden </w:t>
      </w:r>
      <w:r w:rsidR="001B0C1B" w:rsidRPr="000A40E6">
        <w:rPr>
          <w:rFonts w:eastAsia="Calibri" w:cs="Times New Roman"/>
          <w:szCs w:val="24"/>
          <w:lang w:val="en-GB"/>
        </w:rPr>
        <w:t xml:space="preserve">DOS </w:t>
      </w:r>
      <w:r w:rsidR="007E55E8" w:rsidRPr="000A40E6">
        <w:rPr>
          <w:rFonts w:eastAsia="Calibri" w:cs="Times New Roman"/>
          <w:szCs w:val="24"/>
          <w:lang w:val="en-GB"/>
        </w:rPr>
        <w:t>örneği alınıp; sondlama derinliğ</w:t>
      </w:r>
      <w:r w:rsidR="00A015B1" w:rsidRPr="000A40E6">
        <w:rPr>
          <w:rFonts w:eastAsia="Calibri" w:cs="Times New Roman"/>
          <w:szCs w:val="24"/>
          <w:lang w:val="en-GB"/>
        </w:rPr>
        <w:t>i (PD), gingival indeks (GI) (Lö</w:t>
      </w:r>
      <w:r w:rsidR="007E55E8" w:rsidRPr="000A40E6">
        <w:rPr>
          <w:rFonts w:eastAsia="Calibri" w:cs="Times New Roman"/>
          <w:szCs w:val="24"/>
          <w:lang w:val="en-GB"/>
        </w:rPr>
        <w:t>e ve Silness, 1963), p</w:t>
      </w:r>
      <w:r w:rsidR="0080401F" w:rsidRPr="000A40E6">
        <w:rPr>
          <w:rFonts w:eastAsia="Calibri" w:cs="Times New Roman"/>
          <w:szCs w:val="24"/>
          <w:lang w:val="en-GB"/>
        </w:rPr>
        <w:t>lak indeksi (PI) (Sillness ve Lö</w:t>
      </w:r>
      <w:r w:rsidR="007E55E8" w:rsidRPr="000A40E6">
        <w:rPr>
          <w:rFonts w:eastAsia="Calibri" w:cs="Times New Roman"/>
          <w:szCs w:val="24"/>
          <w:lang w:val="en-GB"/>
        </w:rPr>
        <w:t>e, 1964) ve sondlamada kanama yüzdesi (</w:t>
      </w:r>
      <w:r w:rsidR="00513FB1" w:rsidRPr="000A40E6">
        <w:rPr>
          <w:rFonts w:eastAsia="Calibri" w:cs="Times New Roman"/>
          <w:szCs w:val="24"/>
          <w:lang w:val="en-GB"/>
        </w:rPr>
        <w:t xml:space="preserve">%BOP) (Ainamo ve Bay, 1975) bir </w:t>
      </w:r>
      <w:r w:rsidR="007E55E8" w:rsidRPr="000A40E6">
        <w:rPr>
          <w:rFonts w:eastAsia="Calibri" w:cs="Times New Roman"/>
          <w:szCs w:val="24"/>
          <w:lang w:val="en-GB"/>
        </w:rPr>
        <w:t>W</w:t>
      </w:r>
      <w:r w:rsidR="00513FB1" w:rsidRPr="000A40E6">
        <w:rPr>
          <w:rFonts w:eastAsia="Calibri" w:cs="Times New Roman"/>
          <w:szCs w:val="24"/>
          <w:lang w:val="en-GB"/>
        </w:rPr>
        <w:t xml:space="preserve">illiams periodontal sondu (Hu Friedy, Chicago, Illinois, ABD) </w:t>
      </w:r>
      <w:r w:rsidR="007E55E8" w:rsidRPr="000A40E6">
        <w:rPr>
          <w:rFonts w:eastAsia="Calibri" w:cs="Times New Roman"/>
          <w:szCs w:val="24"/>
          <w:lang w:val="en-GB"/>
        </w:rPr>
        <w:t>kullanılarak kaydedilmiştir.</w:t>
      </w:r>
    </w:p>
    <w:p w14:paraId="5996E5F4" w14:textId="293A1687" w:rsidR="00AC4D1E" w:rsidRPr="000A40E6" w:rsidRDefault="007E55E8" w:rsidP="00F756C3">
      <w:pPr>
        <w:suppressAutoHyphens/>
        <w:spacing w:after="120"/>
        <w:rPr>
          <w:rFonts w:eastAsia="Calibri" w:cs="Times New Roman"/>
          <w:szCs w:val="24"/>
          <w:lang w:val="en-GB"/>
        </w:rPr>
      </w:pPr>
      <w:proofErr w:type="gramStart"/>
      <w:r w:rsidRPr="000A40E6">
        <w:rPr>
          <w:rFonts w:eastAsia="Calibri" w:cs="Times New Roman"/>
          <w:szCs w:val="24"/>
          <w:lang w:val="en-GB"/>
        </w:rPr>
        <w:t xml:space="preserve">Periodontal parametrelerin kaydından önce </w:t>
      </w:r>
      <w:r w:rsidR="009B5A2D" w:rsidRPr="000A40E6">
        <w:rPr>
          <w:rFonts w:eastAsia="Calibri" w:cs="Times New Roman"/>
          <w:szCs w:val="24"/>
          <w:lang w:val="en-GB"/>
        </w:rPr>
        <w:t xml:space="preserve">DOS </w:t>
      </w:r>
      <w:r w:rsidRPr="000A40E6">
        <w:rPr>
          <w:rFonts w:eastAsia="Calibri" w:cs="Times New Roman"/>
          <w:szCs w:val="24"/>
          <w:lang w:val="en-GB"/>
        </w:rPr>
        <w:t>örnekleri alınmıştır.</w:t>
      </w:r>
      <w:proofErr w:type="gramEnd"/>
      <w:r w:rsidRPr="000A40E6">
        <w:rPr>
          <w:rFonts w:eastAsia="Calibri" w:cs="Times New Roman"/>
          <w:szCs w:val="24"/>
          <w:lang w:val="en-GB"/>
        </w:rPr>
        <w:t xml:space="preserve"> </w:t>
      </w:r>
      <w:proofErr w:type="gramStart"/>
      <w:r w:rsidRPr="000A40E6">
        <w:rPr>
          <w:rFonts w:eastAsia="Calibri" w:cs="Times New Roman"/>
          <w:szCs w:val="24"/>
          <w:lang w:val="en-GB"/>
        </w:rPr>
        <w:t>Tüm periodontal parametlerin kaydedilmesi aynı araştırmacı</w:t>
      </w:r>
      <w:r w:rsidR="0034438B" w:rsidRPr="000A40E6">
        <w:rPr>
          <w:rFonts w:eastAsia="Calibri" w:cs="Times New Roman"/>
          <w:szCs w:val="24"/>
          <w:lang w:val="en-GB"/>
        </w:rPr>
        <w:t xml:space="preserve"> (Ç.G.)</w:t>
      </w:r>
      <w:r w:rsidRPr="000A40E6">
        <w:rPr>
          <w:rFonts w:eastAsia="Calibri" w:cs="Times New Roman"/>
          <w:szCs w:val="24"/>
          <w:lang w:val="en-GB"/>
        </w:rPr>
        <w:t xml:space="preserve"> tarafından yapılmıştır.</w:t>
      </w:r>
      <w:proofErr w:type="gramEnd"/>
    </w:p>
    <w:p w14:paraId="1AEB2ACD" w14:textId="77777777" w:rsidR="009A4879" w:rsidRPr="000A40E6" w:rsidRDefault="009A4879" w:rsidP="00F756C3">
      <w:pPr>
        <w:suppressAutoHyphens/>
        <w:spacing w:after="120"/>
        <w:rPr>
          <w:rFonts w:eastAsia="Calibri" w:cs="Times New Roman"/>
          <w:szCs w:val="24"/>
          <w:lang w:val="en-GB"/>
        </w:rPr>
      </w:pPr>
    </w:p>
    <w:p w14:paraId="343F1216" w14:textId="77777777" w:rsidR="007E55E8" w:rsidRPr="000A40E6" w:rsidRDefault="007E55E8" w:rsidP="00F756C3">
      <w:pPr>
        <w:suppressAutoHyphens/>
        <w:spacing w:after="120"/>
        <w:ind w:firstLine="0"/>
        <w:rPr>
          <w:rFonts w:cs="Times New Roman"/>
          <w:b/>
          <w:szCs w:val="24"/>
        </w:rPr>
      </w:pPr>
      <w:bookmarkStart w:id="94" w:name="_Toc136443415"/>
      <w:r w:rsidRPr="000A40E6">
        <w:rPr>
          <w:rFonts w:cs="Times New Roman"/>
          <w:b/>
          <w:szCs w:val="24"/>
        </w:rPr>
        <w:t>3.4.1. Diş Eti Oluğu Sıvısı Örnekleri</w:t>
      </w:r>
      <w:bookmarkEnd w:id="94"/>
    </w:p>
    <w:p w14:paraId="72A593A8" w14:textId="77777777" w:rsidR="007E55E8" w:rsidRPr="000A40E6" w:rsidRDefault="007E55E8" w:rsidP="00F756C3">
      <w:pPr>
        <w:suppressAutoHyphens/>
        <w:spacing w:after="120"/>
        <w:rPr>
          <w:rFonts w:eastAsia="Calibri" w:cs="Times New Roman"/>
          <w:b/>
          <w:szCs w:val="24"/>
          <w:lang w:val="en-GB"/>
        </w:rPr>
      </w:pPr>
    </w:p>
    <w:p w14:paraId="24DEDE98" w14:textId="6D2BCBE1" w:rsidR="007A515E" w:rsidRPr="000A40E6" w:rsidRDefault="00256805" w:rsidP="00F756C3">
      <w:pPr>
        <w:suppressAutoHyphens/>
        <w:spacing w:after="120"/>
        <w:rPr>
          <w:rFonts w:eastAsia="Calibri" w:cs="Times New Roman"/>
          <w:szCs w:val="24"/>
          <w:lang w:val="en-GB"/>
        </w:rPr>
      </w:pPr>
      <w:proofErr w:type="gramStart"/>
      <w:r w:rsidRPr="000A40E6">
        <w:rPr>
          <w:rFonts w:eastAsia="Calibri" w:cs="Times New Roman"/>
          <w:szCs w:val="24"/>
          <w:lang w:val="en-GB"/>
        </w:rPr>
        <w:t xml:space="preserve">DOS </w:t>
      </w:r>
      <w:r w:rsidR="007E55E8" w:rsidRPr="000A40E6">
        <w:rPr>
          <w:rFonts w:eastAsia="Calibri" w:cs="Times New Roman"/>
          <w:szCs w:val="24"/>
          <w:lang w:val="en-GB"/>
        </w:rPr>
        <w:t>örneği alınmadan önce, bölge pamuk rulolarla ve tükürük emici ile izole edilip, komşu dişler ve marjinal diş eti bölgesi hava ile nazikçe kurutulmuştur.</w:t>
      </w:r>
      <w:proofErr w:type="gramEnd"/>
      <w:r w:rsidR="007E55E8" w:rsidRPr="000A40E6">
        <w:rPr>
          <w:rFonts w:eastAsia="Calibri" w:cs="Times New Roman"/>
          <w:szCs w:val="24"/>
          <w:lang w:val="en-GB"/>
        </w:rPr>
        <w:t xml:space="preserve"> </w:t>
      </w:r>
      <w:proofErr w:type="gramStart"/>
      <w:r w:rsidR="007E55E8" w:rsidRPr="000A40E6">
        <w:rPr>
          <w:rFonts w:eastAsia="Calibri" w:cs="Times New Roman"/>
          <w:szCs w:val="24"/>
          <w:lang w:val="en-GB"/>
        </w:rPr>
        <w:t>Daha sonra kâğıt stripler (Periopaper, Oraflow, NY, ABD)</w:t>
      </w:r>
      <w:r w:rsidR="004338FF" w:rsidRPr="000A40E6">
        <w:rPr>
          <w:rFonts w:eastAsia="Calibri" w:cs="Times New Roman"/>
          <w:szCs w:val="24"/>
          <w:lang w:val="en-GB"/>
        </w:rPr>
        <w:t xml:space="preserve"> </w:t>
      </w:r>
      <w:r w:rsidR="007E55E8" w:rsidRPr="000A40E6">
        <w:rPr>
          <w:rFonts w:eastAsia="Calibri" w:cs="Times New Roman"/>
          <w:szCs w:val="24"/>
          <w:lang w:val="en-GB"/>
        </w:rPr>
        <w:t xml:space="preserve">presel yardımı ile el değmeden, </w:t>
      </w:r>
      <w:r w:rsidR="0004534E" w:rsidRPr="000A40E6">
        <w:rPr>
          <w:rFonts w:eastAsia="Calibri" w:cs="Times New Roman"/>
          <w:szCs w:val="24"/>
          <w:lang w:val="en-GB"/>
        </w:rPr>
        <w:t>sağ maksiller 1.</w:t>
      </w:r>
      <w:proofErr w:type="gramEnd"/>
      <w:r w:rsidR="0004534E" w:rsidRPr="000A40E6">
        <w:rPr>
          <w:rFonts w:eastAsia="Calibri" w:cs="Times New Roman"/>
          <w:szCs w:val="24"/>
          <w:lang w:val="en-GB"/>
        </w:rPr>
        <w:t xml:space="preserve"> </w:t>
      </w:r>
      <w:proofErr w:type="gramStart"/>
      <w:r w:rsidR="000066E4" w:rsidRPr="000A40E6">
        <w:rPr>
          <w:rFonts w:eastAsia="Calibri" w:cs="Times New Roman"/>
          <w:szCs w:val="24"/>
          <w:lang w:val="en-GB"/>
        </w:rPr>
        <w:t>molar</w:t>
      </w:r>
      <w:proofErr w:type="gramEnd"/>
      <w:r w:rsidR="000066E4" w:rsidRPr="000A40E6">
        <w:rPr>
          <w:rFonts w:eastAsia="Calibri" w:cs="Times New Roman"/>
          <w:szCs w:val="24"/>
          <w:lang w:val="en-GB"/>
        </w:rPr>
        <w:t xml:space="preserve"> dişin mez</w:t>
      </w:r>
      <w:r w:rsidR="007E55E8" w:rsidRPr="000A40E6">
        <w:rPr>
          <w:rFonts w:eastAsia="Calibri" w:cs="Times New Roman"/>
          <w:szCs w:val="24"/>
          <w:lang w:val="en-GB"/>
        </w:rPr>
        <w:t>iobukkal diş eti sınırının altında (yaklaşık 1 mm seviyesinde) diş eti sulkusuna hafif direnç hissedinceye k</w:t>
      </w:r>
      <w:r w:rsidR="00C427F3" w:rsidRPr="000A40E6">
        <w:rPr>
          <w:rFonts w:eastAsia="Calibri" w:cs="Times New Roman"/>
          <w:szCs w:val="24"/>
          <w:lang w:val="en-GB"/>
        </w:rPr>
        <w:t>adar nazikçe yerleştirilmiştir (Resim 11).</w:t>
      </w:r>
    </w:p>
    <w:p w14:paraId="101DE1AD" w14:textId="17F3C22C" w:rsidR="007A515E" w:rsidRPr="000A40E6" w:rsidRDefault="007A515E" w:rsidP="00F756C3">
      <w:pPr>
        <w:suppressAutoHyphens/>
        <w:spacing w:line="240" w:lineRule="atLeast"/>
        <w:ind w:firstLine="0"/>
        <w:jc w:val="center"/>
        <w:rPr>
          <w:rFonts w:eastAsia="Calibri" w:cs="Times New Roman"/>
          <w:szCs w:val="24"/>
          <w:lang w:val="en-GB"/>
        </w:rPr>
      </w:pPr>
      <w:r w:rsidRPr="000A40E6">
        <w:rPr>
          <w:rFonts w:eastAsia="Calibri" w:cs="Times New Roman"/>
          <w:noProof/>
          <w:szCs w:val="24"/>
          <w:lang w:eastAsia="tr-TR"/>
        </w:rPr>
        <w:drawing>
          <wp:inline distT="0" distB="0" distL="0" distR="0" wp14:anchorId="04EF22B3" wp14:editId="6575F542">
            <wp:extent cx="2880000" cy="2245969"/>
            <wp:effectExtent l="0" t="0" r="0" b="2540"/>
            <wp:docPr id="29" name="Resim 8" descr="Açıklama: F:\TEZ FOTO ÇİMEN\DSC_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Açıklama: F:\TEZ FOTO ÇİMEN\DSC_178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679" t="20234" r="29315" b="11950"/>
                    <a:stretch/>
                  </pic:blipFill>
                  <pic:spPr bwMode="auto">
                    <a:xfrm>
                      <a:off x="0" y="0"/>
                      <a:ext cx="2880000" cy="2245969"/>
                    </a:xfrm>
                    <a:prstGeom prst="rect">
                      <a:avLst/>
                    </a:prstGeom>
                    <a:noFill/>
                    <a:ln>
                      <a:noFill/>
                    </a:ln>
                    <a:extLst>
                      <a:ext uri="{53640926-AAD7-44D8-BBD7-CCE9431645EC}">
                        <a14:shadowObscured xmlns:a14="http://schemas.microsoft.com/office/drawing/2010/main"/>
                      </a:ext>
                    </a:extLst>
                  </pic:spPr>
                </pic:pic>
              </a:graphicData>
            </a:graphic>
          </wp:inline>
        </w:drawing>
      </w:r>
    </w:p>
    <w:p w14:paraId="446634C1" w14:textId="0F5CE098" w:rsidR="007A515E" w:rsidRPr="000A40E6" w:rsidRDefault="00CE6AA2" w:rsidP="00F756C3">
      <w:pPr>
        <w:pStyle w:val="ResimYazs"/>
        <w:suppressAutoHyphens/>
        <w:spacing w:before="120" w:after="120" w:line="360" w:lineRule="auto"/>
        <w:ind w:left="567" w:hanging="567"/>
        <w:rPr>
          <w:rFonts w:eastAsia="Calibri" w:cs="Times New Roman"/>
          <w:color w:val="auto"/>
          <w:sz w:val="24"/>
          <w:szCs w:val="24"/>
          <w:lang w:val="en-GB"/>
        </w:rPr>
      </w:pPr>
      <w:bookmarkStart w:id="95" w:name="_Toc136385559"/>
      <w:bookmarkStart w:id="96" w:name="_Toc136386386"/>
      <w:r w:rsidRPr="000A40E6">
        <w:rPr>
          <w:rFonts w:cs="Times New Roman"/>
          <w:color w:val="auto"/>
          <w:sz w:val="24"/>
          <w:szCs w:val="24"/>
        </w:rPr>
        <w:t xml:space="preserve">Resim </w:t>
      </w:r>
      <w:r w:rsidR="003F42DA" w:rsidRPr="000A40E6">
        <w:rPr>
          <w:rFonts w:cs="Times New Roman"/>
          <w:noProof/>
          <w:color w:val="auto"/>
          <w:sz w:val="24"/>
          <w:szCs w:val="24"/>
        </w:rPr>
        <w:t>11</w:t>
      </w:r>
      <w:r w:rsidRPr="000A40E6">
        <w:rPr>
          <w:rFonts w:cs="Times New Roman"/>
          <w:color w:val="auto"/>
          <w:sz w:val="24"/>
          <w:szCs w:val="24"/>
        </w:rPr>
        <w:t xml:space="preserve">. </w:t>
      </w:r>
      <w:r w:rsidR="00C5323E" w:rsidRPr="000A40E6">
        <w:rPr>
          <w:rFonts w:eastAsia="Calibri" w:cs="Times New Roman"/>
          <w:b w:val="0"/>
          <w:color w:val="auto"/>
          <w:sz w:val="24"/>
          <w:szCs w:val="24"/>
          <w:lang w:val="en-GB"/>
        </w:rPr>
        <w:t>Standart periopaper ve e</w:t>
      </w:r>
      <w:r w:rsidR="007A515E" w:rsidRPr="000A40E6">
        <w:rPr>
          <w:rFonts w:eastAsia="Calibri" w:cs="Times New Roman"/>
          <w:b w:val="0"/>
          <w:color w:val="auto"/>
          <w:sz w:val="24"/>
          <w:szCs w:val="24"/>
          <w:lang w:val="en-GB"/>
        </w:rPr>
        <w:t>ppendorf tüpü.</w:t>
      </w:r>
      <w:bookmarkEnd w:id="95"/>
      <w:bookmarkEnd w:id="96"/>
    </w:p>
    <w:p w14:paraId="2002A16A" w14:textId="77777777" w:rsidR="007A515E" w:rsidRPr="000A40E6" w:rsidRDefault="007A515E" w:rsidP="00F756C3">
      <w:pPr>
        <w:suppressAutoHyphens/>
        <w:spacing w:after="120"/>
        <w:rPr>
          <w:rFonts w:eastAsia="Calibri" w:cs="Times New Roman"/>
          <w:szCs w:val="24"/>
          <w:lang w:val="en-GB"/>
        </w:rPr>
      </w:pPr>
    </w:p>
    <w:p w14:paraId="75FCC5A4" w14:textId="7D6CC18F" w:rsidR="008C2916" w:rsidRPr="000A40E6" w:rsidRDefault="007E55E8" w:rsidP="00F756C3">
      <w:pPr>
        <w:suppressAutoHyphens/>
        <w:spacing w:after="120"/>
        <w:rPr>
          <w:rFonts w:eastAsia="Calibri" w:cs="Times New Roman"/>
          <w:szCs w:val="24"/>
          <w:lang w:val="en-GB"/>
        </w:rPr>
      </w:pPr>
      <w:proofErr w:type="gramStart"/>
      <w:r w:rsidRPr="000A40E6">
        <w:rPr>
          <w:rFonts w:eastAsia="Calibri" w:cs="Times New Roman"/>
          <w:szCs w:val="24"/>
          <w:lang w:val="en-GB"/>
        </w:rPr>
        <w:t>Kan ve tükürük ile kontamine olan kâğıt stripler çalışmaya dahil edilmemiştir.</w:t>
      </w:r>
      <w:proofErr w:type="gramEnd"/>
      <w:r w:rsidRPr="000A40E6">
        <w:rPr>
          <w:rFonts w:eastAsia="Calibri" w:cs="Times New Roman"/>
          <w:szCs w:val="24"/>
          <w:lang w:val="en-GB"/>
        </w:rPr>
        <w:t xml:space="preserve"> Standardizasyonun sağlanabilmesi için kâğıt </w:t>
      </w:r>
      <w:proofErr w:type="gramStart"/>
      <w:r w:rsidRPr="000A40E6">
        <w:rPr>
          <w:rFonts w:eastAsia="Calibri" w:cs="Times New Roman"/>
          <w:szCs w:val="24"/>
          <w:lang w:val="en-GB"/>
        </w:rPr>
        <w:t>str</w:t>
      </w:r>
      <w:r w:rsidR="00FD6F4D" w:rsidRPr="000A40E6">
        <w:rPr>
          <w:rFonts w:eastAsia="Calibri" w:cs="Times New Roman"/>
          <w:szCs w:val="24"/>
          <w:lang w:val="en-GB"/>
        </w:rPr>
        <w:t>ipler</w:t>
      </w:r>
      <w:proofErr w:type="gramEnd"/>
      <w:r w:rsidR="00FD6F4D" w:rsidRPr="000A40E6">
        <w:rPr>
          <w:rFonts w:eastAsia="Calibri" w:cs="Times New Roman"/>
          <w:szCs w:val="24"/>
          <w:lang w:val="en-GB"/>
        </w:rPr>
        <w:t xml:space="preserve"> diş eti cebinde 30 saniye</w:t>
      </w:r>
      <w:r w:rsidR="00502BEA" w:rsidRPr="000A40E6">
        <w:rPr>
          <w:rFonts w:eastAsia="Calibri" w:cs="Times New Roman"/>
          <w:szCs w:val="24"/>
          <w:lang w:val="en-GB"/>
        </w:rPr>
        <w:t xml:space="preserve"> bekletilmiştir</w:t>
      </w:r>
      <w:r w:rsidR="003F1C7F" w:rsidRPr="000A40E6">
        <w:rPr>
          <w:rFonts w:eastAsia="Calibri" w:cs="Times New Roman"/>
          <w:szCs w:val="24"/>
          <w:lang w:val="en-GB"/>
        </w:rPr>
        <w:t xml:space="preserve"> </w:t>
      </w:r>
      <w:r w:rsidR="00FD6F4D" w:rsidRPr="000A40E6">
        <w:rPr>
          <w:rFonts w:eastAsia="Calibri" w:cs="Times New Roman"/>
          <w:szCs w:val="24"/>
          <w:lang w:val="en-GB"/>
        </w:rPr>
        <w:t>(Topal ve diğerleri, 2019; Özel ve diğerleri, 2018</w:t>
      </w:r>
      <w:r w:rsidR="00502BEA" w:rsidRPr="000A40E6">
        <w:rPr>
          <w:rFonts w:eastAsia="Calibri" w:cs="Times New Roman"/>
          <w:szCs w:val="24"/>
          <w:lang w:val="en-GB"/>
        </w:rPr>
        <w:t>; Perinetti ve diğerleri, 2015).</w:t>
      </w:r>
    </w:p>
    <w:p w14:paraId="794ED37E" w14:textId="77777777" w:rsidR="00F756C3" w:rsidRPr="000A40E6" w:rsidRDefault="00F756C3" w:rsidP="00F756C3">
      <w:pPr>
        <w:suppressAutoHyphens/>
        <w:spacing w:after="120"/>
        <w:rPr>
          <w:rFonts w:eastAsia="Calibri" w:cs="Times New Roman"/>
          <w:szCs w:val="24"/>
          <w:lang w:val="en-GB"/>
        </w:rPr>
      </w:pPr>
    </w:p>
    <w:p w14:paraId="51F3C334" w14:textId="43CA94AB" w:rsidR="005B61F7" w:rsidRPr="000A40E6" w:rsidRDefault="00F756C3" w:rsidP="00F756C3">
      <w:pPr>
        <w:suppressAutoHyphens/>
        <w:spacing w:line="240" w:lineRule="atLeast"/>
        <w:ind w:firstLine="0"/>
        <w:jc w:val="center"/>
        <w:rPr>
          <w:rFonts w:eastAsia="Calibri" w:cs="Times New Roman"/>
          <w:szCs w:val="24"/>
          <w:lang w:val="en-GB"/>
        </w:rPr>
      </w:pPr>
      <w:r w:rsidRPr="000A40E6">
        <w:rPr>
          <w:rFonts w:eastAsia="Calibri" w:cs="Times New Roman"/>
          <w:noProof/>
          <w:color w:val="000000"/>
          <w:szCs w:val="24"/>
          <w:lang w:eastAsia="tr-TR"/>
        </w:rPr>
        <mc:AlternateContent>
          <mc:Choice Requires="wps">
            <w:drawing>
              <wp:anchor distT="0" distB="0" distL="114300" distR="114300" simplePos="0" relativeHeight="251664384" behindDoc="0" locked="0" layoutInCell="1" allowOverlap="1" wp14:anchorId="31019FE7" wp14:editId="6102AB10">
                <wp:simplePos x="0" y="0"/>
                <wp:positionH relativeFrom="column">
                  <wp:posOffset>218538</wp:posOffset>
                </wp:positionH>
                <wp:positionV relativeFrom="paragraph">
                  <wp:posOffset>1867388</wp:posOffset>
                </wp:positionV>
                <wp:extent cx="224155" cy="252095"/>
                <wp:effectExtent l="0" t="0" r="23495" b="14605"/>
                <wp:wrapNone/>
                <wp:docPr id="32" name="Metin Kutusu 32"/>
                <wp:cNvGraphicFramePr/>
                <a:graphic xmlns:a="http://schemas.openxmlformats.org/drawingml/2006/main">
                  <a:graphicData uri="http://schemas.microsoft.com/office/word/2010/wordprocessingShape">
                    <wps:wsp>
                      <wps:cNvSpPr txBox="1"/>
                      <wps:spPr>
                        <a:xfrm>
                          <a:off x="0" y="0"/>
                          <a:ext cx="224155" cy="252095"/>
                        </a:xfrm>
                        <a:prstGeom prst="rect">
                          <a:avLst/>
                        </a:prstGeom>
                        <a:solidFill>
                          <a:sysClr val="window" lastClr="FFFFFF"/>
                        </a:solidFill>
                        <a:ln w="6350">
                          <a:solidFill>
                            <a:prstClr val="black"/>
                          </a:solidFill>
                        </a:ln>
                        <a:effectLst/>
                      </wps:spPr>
                      <wps:txbx>
                        <w:txbxContent>
                          <w:p w14:paraId="4DB97A80" w14:textId="77777777" w:rsidR="00353FBE" w:rsidRPr="00DE52F2" w:rsidRDefault="00353FBE" w:rsidP="005B61F7">
                            <w:pPr>
                              <w:ind w:firstLine="0"/>
                              <w:rPr>
                                <w:b/>
                              </w:rPr>
                            </w:pPr>
                            <w:proofErr w:type="gramStart"/>
                            <w:r w:rsidRPr="00DE52F2">
                              <w:rPr>
                                <w:b/>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1019FE7" id="_x0000_t202" coordsize="21600,21600" o:spt="202" path="m,l,21600r21600,l21600,xe">
                <v:stroke joinstyle="miter"/>
                <v:path gradientshapeok="t" o:connecttype="rect"/>
              </v:shapetype>
              <v:shape id="Metin Kutusu 32" o:spid="_x0000_s1026" type="#_x0000_t202" style="position:absolute;left:0;text-align:left;margin-left:17.2pt;margin-top:147.05pt;width:17.6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" fillcolor="window" strokeweight=".5pt">
                <v:textbox>
                  <w:txbxContent>
                    <w:p w14:paraId="4DB97A80" w14:textId="77777777" w:rsidR="00353FBE" w:rsidRPr="00DE52F2" w:rsidRDefault="00353FBE" w:rsidP="005B61F7">
                      <w:pPr>
                        <w:ind w:firstLine="0"/>
                        <w:rPr>
                          <w:b/>
                        </w:rPr>
                      </w:pPr>
                      <w:r w:rsidRPr="00DE52F2">
                        <w:rPr>
                          <w:b/>
                        </w:rPr>
                        <w:t>a</w:t>
                      </w:r>
                    </w:p>
                  </w:txbxContent>
                </v:textbox>
              </v:shape>
            </w:pict>
          </mc:Fallback>
        </mc:AlternateContent>
      </w:r>
      <w:r w:rsidRPr="000A40E6">
        <w:rPr>
          <w:rFonts w:eastAsia="Calibri" w:cs="Times New Roman"/>
          <w:noProof/>
          <w:color w:val="000000"/>
          <w:szCs w:val="24"/>
          <w:lang w:eastAsia="tr-TR"/>
        </w:rPr>
        <mc:AlternateContent>
          <mc:Choice Requires="wps">
            <w:drawing>
              <wp:anchor distT="0" distB="0" distL="114300" distR="114300" simplePos="0" relativeHeight="251662336" behindDoc="0" locked="0" layoutInCell="1" allowOverlap="1" wp14:anchorId="737D81E1" wp14:editId="4DB629E1">
                <wp:simplePos x="0" y="0"/>
                <wp:positionH relativeFrom="column">
                  <wp:posOffset>2565840</wp:posOffset>
                </wp:positionH>
                <wp:positionV relativeFrom="paragraph">
                  <wp:posOffset>1878965</wp:posOffset>
                </wp:positionV>
                <wp:extent cx="226695" cy="247650"/>
                <wp:effectExtent l="0" t="0" r="20955" b="19050"/>
                <wp:wrapNone/>
                <wp:docPr id="24" name="Metin Kutusu 24"/>
                <wp:cNvGraphicFramePr/>
                <a:graphic xmlns:a="http://schemas.openxmlformats.org/drawingml/2006/main">
                  <a:graphicData uri="http://schemas.microsoft.com/office/word/2010/wordprocessingShape">
                    <wps:wsp>
                      <wps:cNvSpPr txBox="1"/>
                      <wps:spPr>
                        <a:xfrm>
                          <a:off x="0" y="0"/>
                          <a:ext cx="22669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C7986" w14:textId="08AF9D6C" w:rsidR="00353FBE" w:rsidRPr="00AE778B" w:rsidRDefault="00353FBE" w:rsidP="00AE778B">
                            <w:pPr>
                              <w:ind w:firstLine="0"/>
                              <w:rPr>
                                <w:b/>
                              </w:rPr>
                            </w:pPr>
                            <w:proofErr w:type="gramStart"/>
                            <w:r w:rsidRPr="00AE778B">
                              <w:rPr>
                                <w:b/>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7D81E1" id="Metin Kutusu 24" o:spid="_x0000_s1027" type="#_x0000_t202" style="position:absolute;left:0;text-align:left;margin-left:202.05pt;margin-top:147.95pt;width:17.8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" fillcolor="white [3201]" strokeweight=".5pt">
                <v:textbox>
                  <w:txbxContent>
                    <w:p w14:paraId="65DC7986" w14:textId="08AF9D6C" w:rsidR="00353FBE" w:rsidRPr="00AE778B" w:rsidRDefault="00353FBE" w:rsidP="00AE778B">
                      <w:pPr>
                        <w:ind w:firstLine="0"/>
                        <w:rPr>
                          <w:b/>
                        </w:rPr>
                      </w:pPr>
                      <w:r w:rsidRPr="00AE778B">
                        <w:rPr>
                          <w:b/>
                        </w:rPr>
                        <w:t>b</w:t>
                      </w:r>
                    </w:p>
                  </w:txbxContent>
                </v:textbox>
              </v:shape>
            </w:pict>
          </mc:Fallback>
        </mc:AlternateContent>
      </w:r>
      <w:r w:rsidR="00E323C0" w:rsidRPr="000A40E6">
        <w:rPr>
          <w:rFonts w:eastAsia="Calibri" w:cs="Times New Roman"/>
          <w:noProof/>
          <w:szCs w:val="24"/>
          <w:lang w:eastAsia="tr-TR"/>
        </w:rPr>
        <w:drawing>
          <wp:inline distT="0" distB="0" distL="0" distR="0" wp14:anchorId="398CD21C" wp14:editId="2BCD171F">
            <wp:extent cx="2266950" cy="2142077"/>
            <wp:effectExtent l="0" t="0" r="0" b="0"/>
            <wp:docPr id="33" name="Resim 19" descr="Açıklama: C:\Users\user\Desktop\NİSANUR BOZKURT 24.05.2022 TEZ\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Açıklama: C:\Users\user\Desktop\NİSANUR BOZKURT 24.05.2022 TEZ\DSC_0335.JPG"/>
                    <pic:cNvPicPr>
                      <a:picLocks noChangeAspect="1" noChangeArrowheads="1"/>
                    </pic:cNvPicPr>
                  </pic:nvPicPr>
                  <pic:blipFill>
                    <a:blip r:embed="rId34" cstate="print">
                      <a:extLst>
                        <a:ext uri="{28A0092B-C50C-407E-A947-70E740481C1C}">
                          <a14:useLocalDpi xmlns:a14="http://schemas.microsoft.com/office/drawing/2010/main" val="0"/>
                        </a:ext>
                      </a:extLst>
                    </a:blip>
                    <a:srcRect l="40707" t="14862" r="15784" b="23766"/>
                    <a:stretch>
                      <a:fillRect/>
                    </a:stretch>
                  </pic:blipFill>
                  <pic:spPr bwMode="auto">
                    <a:xfrm>
                      <a:off x="0" y="0"/>
                      <a:ext cx="2273256" cy="2148036"/>
                    </a:xfrm>
                    <a:prstGeom prst="rect">
                      <a:avLst/>
                    </a:prstGeom>
                    <a:noFill/>
                    <a:ln>
                      <a:noFill/>
                    </a:ln>
                  </pic:spPr>
                </pic:pic>
              </a:graphicData>
            </a:graphic>
          </wp:inline>
        </w:drawing>
      </w:r>
      <w:r w:rsidRPr="000A40E6">
        <w:rPr>
          <w:rFonts w:eastAsia="Calibri" w:cs="Times New Roman"/>
          <w:noProof/>
          <w:szCs w:val="24"/>
          <w:lang w:eastAsia="tr-TR"/>
        </w:rPr>
        <w:t xml:space="preserve">  </w:t>
      </w:r>
      <w:r w:rsidR="00E323C0" w:rsidRPr="000A40E6">
        <w:rPr>
          <w:rFonts w:eastAsia="Calibri" w:cs="Times New Roman"/>
          <w:noProof/>
          <w:szCs w:val="24"/>
          <w:lang w:eastAsia="tr-TR"/>
        </w:rPr>
        <w:drawing>
          <wp:inline distT="0" distB="0" distL="0" distR="0" wp14:anchorId="6A02F2F2" wp14:editId="4C8671F3">
            <wp:extent cx="2975998" cy="2143125"/>
            <wp:effectExtent l="0" t="0" r="0" b="0"/>
            <wp:docPr id="34" name="Resim 34" descr="C:\Users\user\Desktop\TEZ HASTALARI\NİSANUR BOZKURT 13.12.2022 TEZ SEANS\DSC_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Z HASTALARI\NİSANUR BOZKURT 13.12.2022 TEZ SEANS\DSC_904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318" t="30864" r="34583" b="28110"/>
                    <a:stretch/>
                  </pic:blipFill>
                  <pic:spPr bwMode="auto">
                    <a:xfrm>
                      <a:off x="0" y="0"/>
                      <a:ext cx="2975998"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3CB5C3DB" w14:textId="3E6967A5" w:rsidR="00F90C52" w:rsidRPr="000A40E6" w:rsidRDefault="00D816E8" w:rsidP="00F756C3">
      <w:pPr>
        <w:pStyle w:val="ResimYazs"/>
        <w:suppressAutoHyphens/>
        <w:spacing w:before="120" w:after="120" w:line="360" w:lineRule="auto"/>
        <w:ind w:left="567" w:hanging="567"/>
        <w:jc w:val="both"/>
        <w:rPr>
          <w:rFonts w:eastAsia="Calibri" w:cs="Times New Roman"/>
          <w:b w:val="0"/>
          <w:color w:val="auto"/>
          <w:sz w:val="24"/>
          <w:szCs w:val="24"/>
          <w:lang w:val="en-GB"/>
        </w:rPr>
      </w:pPr>
      <w:bookmarkStart w:id="97" w:name="_Toc136385560"/>
      <w:bookmarkStart w:id="98" w:name="_Toc136386387"/>
      <w:r w:rsidRPr="000A40E6">
        <w:rPr>
          <w:rFonts w:cs="Times New Roman"/>
          <w:color w:val="auto"/>
          <w:sz w:val="24"/>
          <w:szCs w:val="24"/>
        </w:rPr>
        <w:t xml:space="preserve">Resim </w:t>
      </w:r>
      <w:r w:rsidR="003F42DA" w:rsidRPr="000A40E6">
        <w:rPr>
          <w:rFonts w:cs="Times New Roman"/>
          <w:noProof/>
          <w:color w:val="auto"/>
          <w:sz w:val="24"/>
          <w:szCs w:val="24"/>
        </w:rPr>
        <w:t>12</w:t>
      </w:r>
      <w:r w:rsidR="00F756C3" w:rsidRPr="000A40E6">
        <w:rPr>
          <w:rFonts w:cs="Times New Roman"/>
          <w:noProof/>
          <w:color w:val="auto"/>
          <w:sz w:val="24"/>
          <w:szCs w:val="24"/>
        </w:rPr>
        <w:t xml:space="preserve">. </w:t>
      </w:r>
      <w:r w:rsidRPr="000A40E6">
        <w:rPr>
          <w:rFonts w:cs="Times New Roman"/>
          <w:color w:val="auto"/>
          <w:sz w:val="24"/>
          <w:szCs w:val="24"/>
        </w:rPr>
        <w:t xml:space="preserve">a. </w:t>
      </w:r>
      <w:r w:rsidR="00F90C52" w:rsidRPr="000A40E6">
        <w:rPr>
          <w:rFonts w:eastAsia="Calibri" w:cs="Times New Roman"/>
          <w:b w:val="0"/>
          <w:color w:val="auto"/>
          <w:sz w:val="24"/>
          <w:szCs w:val="24"/>
          <w:lang w:val="en-GB"/>
        </w:rPr>
        <w:t>Aparey yerleştirilmeden hemen önce (T0);</w:t>
      </w:r>
      <w:r w:rsidR="00F90C52" w:rsidRPr="000A40E6">
        <w:rPr>
          <w:rFonts w:eastAsia="Calibri" w:cs="Times New Roman"/>
          <w:color w:val="auto"/>
          <w:sz w:val="24"/>
          <w:szCs w:val="24"/>
          <w:lang w:val="en-GB"/>
        </w:rPr>
        <w:t xml:space="preserve"> b.</w:t>
      </w:r>
      <w:r w:rsidR="00F90C52" w:rsidRPr="000A40E6">
        <w:rPr>
          <w:rFonts w:eastAsia="Calibri" w:cs="Times New Roman"/>
          <w:b w:val="0"/>
          <w:color w:val="auto"/>
          <w:sz w:val="24"/>
          <w:szCs w:val="24"/>
          <w:lang w:val="en-GB"/>
        </w:rPr>
        <w:t xml:space="preserve"> Aktif fazdan sonra (T1) sağ üst 1. molar dişin meziobukkal bölgesinden DOS örnek alımı.</w:t>
      </w:r>
      <w:bookmarkEnd w:id="97"/>
      <w:bookmarkEnd w:id="98"/>
    </w:p>
    <w:p w14:paraId="065EB7F3" w14:textId="77777777" w:rsidR="005B61F7" w:rsidRPr="000A40E6" w:rsidRDefault="005B61F7" w:rsidP="00F756C3">
      <w:pPr>
        <w:suppressAutoHyphens/>
        <w:spacing w:after="120"/>
        <w:rPr>
          <w:rFonts w:eastAsia="Calibri" w:cs="Times New Roman"/>
          <w:szCs w:val="24"/>
          <w:lang w:val="en-GB"/>
        </w:rPr>
      </w:pPr>
    </w:p>
    <w:p w14:paraId="0E3B5560" w14:textId="22E48B50" w:rsidR="00C33D79" w:rsidRPr="000A40E6" w:rsidRDefault="00502BEA" w:rsidP="00F756C3">
      <w:pPr>
        <w:suppressAutoHyphens/>
        <w:spacing w:after="120"/>
        <w:rPr>
          <w:rFonts w:eastAsia="Calibri" w:cs="Times New Roman"/>
          <w:szCs w:val="24"/>
        </w:rPr>
      </w:pPr>
      <w:r w:rsidRPr="000A40E6">
        <w:rPr>
          <w:rFonts w:eastAsia="Calibri" w:cs="Times New Roman"/>
          <w:szCs w:val="24"/>
          <w:lang w:val="en-GB"/>
        </w:rPr>
        <w:t>H</w:t>
      </w:r>
      <w:r w:rsidR="007E55E8" w:rsidRPr="000A40E6">
        <w:rPr>
          <w:rFonts w:eastAsia="Calibri" w:cs="Times New Roman"/>
          <w:szCs w:val="24"/>
          <w:lang w:val="en-GB"/>
        </w:rPr>
        <w:t xml:space="preserve">er bir periopaperın DOS hacmi μl cinsinden periotron 8010 cihazı (Periotron 8010, </w:t>
      </w:r>
      <w:r w:rsidR="007E55E8" w:rsidRPr="000A40E6">
        <w:rPr>
          <w:rFonts w:eastAsia="Calibri" w:cs="Times New Roman"/>
          <w:szCs w:val="24"/>
        </w:rPr>
        <w:t>Oraflow, Amityville, NY, ABD)</w:t>
      </w:r>
      <w:r w:rsidR="00E279D0" w:rsidRPr="000A40E6">
        <w:rPr>
          <w:rFonts w:eastAsia="Calibri" w:cs="Times New Roman"/>
          <w:szCs w:val="24"/>
        </w:rPr>
        <w:t xml:space="preserve"> </w:t>
      </w:r>
      <w:r w:rsidR="007E55E8" w:rsidRPr="000A40E6">
        <w:rPr>
          <w:rFonts w:eastAsia="Calibri" w:cs="Times New Roman"/>
          <w:szCs w:val="24"/>
        </w:rPr>
        <w:t>yardımı ile ölçülmüştür</w:t>
      </w:r>
      <w:r w:rsidR="001527A2" w:rsidRPr="000A40E6">
        <w:rPr>
          <w:rFonts w:eastAsia="Calibri" w:cs="Times New Roman"/>
          <w:szCs w:val="24"/>
        </w:rPr>
        <w:t xml:space="preserve"> (Resim 13)</w:t>
      </w:r>
      <w:r w:rsidR="007E55E8" w:rsidRPr="000A40E6">
        <w:rPr>
          <w:rFonts w:eastAsia="Calibri" w:cs="Times New Roman"/>
          <w:szCs w:val="24"/>
        </w:rPr>
        <w:t>. Aynı işlem sağ maksiller</w:t>
      </w:r>
      <w:r w:rsidR="00A25DA6" w:rsidRPr="000A40E6">
        <w:rPr>
          <w:rFonts w:eastAsia="Calibri" w:cs="Times New Roman"/>
          <w:szCs w:val="24"/>
        </w:rPr>
        <w:t xml:space="preserve"> 1. molar dişin distobukkal, mez</w:t>
      </w:r>
      <w:r w:rsidR="007E55E8" w:rsidRPr="000A40E6">
        <w:rPr>
          <w:rFonts w:eastAsia="Calibri" w:cs="Times New Roman"/>
          <w:szCs w:val="24"/>
        </w:rPr>
        <w:t>iopalatinal ve distopalatinal diş eti bölgelerinde</w:t>
      </w:r>
      <w:r w:rsidR="006B3356" w:rsidRPr="000A40E6">
        <w:rPr>
          <w:rFonts w:eastAsia="Calibri" w:cs="Times New Roman"/>
          <w:szCs w:val="24"/>
        </w:rPr>
        <w:t xml:space="preserve"> de</w:t>
      </w:r>
      <w:r w:rsidR="007E55E8" w:rsidRPr="000A40E6">
        <w:rPr>
          <w:rFonts w:eastAsia="Calibri" w:cs="Times New Roman"/>
          <w:szCs w:val="24"/>
        </w:rPr>
        <w:t xml:space="preserve"> gerçekleştirilmişti</w:t>
      </w:r>
      <w:bookmarkStart w:id="99" w:name="OLE_LINK2"/>
      <w:bookmarkStart w:id="100" w:name="OLE_LINK1"/>
      <w:r w:rsidR="007E55E8" w:rsidRPr="000A40E6">
        <w:rPr>
          <w:rFonts w:eastAsia="Calibri" w:cs="Times New Roman"/>
          <w:szCs w:val="24"/>
        </w:rPr>
        <w:t>r.</w:t>
      </w:r>
      <w:r w:rsidR="0009760D" w:rsidRPr="000A40E6">
        <w:rPr>
          <w:rFonts w:eastAsia="Calibri" w:cs="Times New Roman"/>
          <w:szCs w:val="24"/>
        </w:rPr>
        <w:t xml:space="preserve"> Aynı bölgeden alınan iki farklı örneğin periotron değerlerinin aritmetik ortalaması hesaplanarak</w:t>
      </w:r>
      <w:r w:rsidR="00C16CF5" w:rsidRPr="000A40E6">
        <w:rPr>
          <w:rFonts w:eastAsia="Calibri" w:cs="Times New Roman"/>
          <w:szCs w:val="24"/>
        </w:rPr>
        <w:t xml:space="preserve"> </w:t>
      </w:r>
      <w:r w:rsidR="0009760D" w:rsidRPr="000A40E6">
        <w:rPr>
          <w:rFonts w:eastAsia="Calibri" w:cs="Times New Roman"/>
          <w:szCs w:val="24"/>
        </w:rPr>
        <w:t xml:space="preserve">tek bir değer kaydedilmiştir. </w:t>
      </w:r>
      <w:r w:rsidR="007E55E8" w:rsidRPr="000A40E6">
        <w:rPr>
          <w:rFonts w:eastAsia="Calibri" w:cs="Times New Roman"/>
          <w:szCs w:val="24"/>
        </w:rPr>
        <w:t>Tüm DOS örneklerinin alınması</w:t>
      </w:r>
      <w:bookmarkEnd w:id="99"/>
      <w:bookmarkEnd w:id="100"/>
      <w:r w:rsidR="007E55E8" w:rsidRPr="000A40E6">
        <w:rPr>
          <w:rFonts w:eastAsia="Calibri" w:cs="Times New Roman"/>
          <w:szCs w:val="24"/>
        </w:rPr>
        <w:t xml:space="preserve"> sıcaklık kontrollü bir alanda, 09.00-11.00 saatleri arasında ve aynı araştırmacı</w:t>
      </w:r>
      <w:r w:rsidR="000A12CA" w:rsidRPr="000A40E6">
        <w:rPr>
          <w:rFonts w:eastAsia="Calibri" w:cs="Times New Roman"/>
          <w:szCs w:val="24"/>
        </w:rPr>
        <w:t xml:space="preserve"> (Ç.G.)</w:t>
      </w:r>
      <w:r w:rsidR="007E55E8" w:rsidRPr="000A40E6">
        <w:rPr>
          <w:rFonts w:eastAsia="Calibri" w:cs="Times New Roman"/>
          <w:szCs w:val="24"/>
        </w:rPr>
        <w:t xml:space="preserve"> tarafından gerçekleştirilmiştir. Bukkal ve palatinaldeki aynı bölgelerden alınan k</w:t>
      </w:r>
      <w:r w:rsidR="0083235A" w:rsidRPr="000A40E6">
        <w:rPr>
          <w:rFonts w:eastAsia="Calibri" w:cs="Times New Roman"/>
          <w:szCs w:val="24"/>
          <w:lang w:val="en-GB"/>
        </w:rPr>
        <w:t>â</w:t>
      </w:r>
      <w:r w:rsidR="007E55E8" w:rsidRPr="000A40E6">
        <w:rPr>
          <w:rFonts w:eastAsia="Calibri" w:cs="Times New Roman"/>
          <w:szCs w:val="24"/>
        </w:rPr>
        <w:t>ğıt stripler, her hast</w:t>
      </w:r>
      <w:r w:rsidR="003C70D7" w:rsidRPr="000A40E6">
        <w:rPr>
          <w:rFonts w:eastAsia="Calibri" w:cs="Times New Roman"/>
          <w:szCs w:val="24"/>
        </w:rPr>
        <w:t>a için kodlanan birer tane boş e</w:t>
      </w:r>
      <w:r w:rsidR="007E55E8" w:rsidRPr="000A40E6">
        <w:rPr>
          <w:rFonts w:eastAsia="Calibri" w:cs="Times New Roman"/>
          <w:szCs w:val="24"/>
        </w:rPr>
        <w:t>ppendorf tüplerine (Lamtek, İstanbul Teknik Kimya, İstanbul, T</w:t>
      </w:r>
      <w:r w:rsidR="00174E1F" w:rsidRPr="000A40E6">
        <w:rPr>
          <w:rFonts w:eastAsia="Calibri" w:cs="Times New Roman"/>
          <w:szCs w:val="24"/>
        </w:rPr>
        <w:t>ürkiye)</w:t>
      </w:r>
      <w:r w:rsidR="0036159E" w:rsidRPr="000A40E6">
        <w:rPr>
          <w:rFonts w:eastAsia="Calibri" w:cs="Times New Roman"/>
          <w:szCs w:val="24"/>
        </w:rPr>
        <w:t xml:space="preserve"> </w:t>
      </w:r>
      <w:r w:rsidR="00174E1F" w:rsidRPr="000A40E6">
        <w:rPr>
          <w:rFonts w:eastAsia="Calibri" w:cs="Times New Roman"/>
          <w:szCs w:val="24"/>
        </w:rPr>
        <w:t>aktarılmıştır</w:t>
      </w:r>
      <w:r w:rsidR="0036159E" w:rsidRPr="000A40E6">
        <w:rPr>
          <w:rFonts w:eastAsia="Calibri" w:cs="Times New Roman"/>
          <w:szCs w:val="24"/>
        </w:rPr>
        <w:t xml:space="preserve"> (Resim 11)</w:t>
      </w:r>
      <w:r w:rsidR="00174E1F" w:rsidRPr="000A40E6">
        <w:rPr>
          <w:rFonts w:eastAsia="Calibri" w:cs="Times New Roman"/>
          <w:szCs w:val="24"/>
        </w:rPr>
        <w:t>. Örnekler</w:t>
      </w:r>
      <w:r w:rsidR="007E55E8" w:rsidRPr="000A40E6">
        <w:rPr>
          <w:rFonts w:eastAsia="Calibri" w:cs="Times New Roman"/>
          <w:szCs w:val="24"/>
        </w:rPr>
        <w:t xml:space="preserve"> analiz edileceği zamana kadar -80°C’de saklanmıştır.</w:t>
      </w:r>
    </w:p>
    <w:p w14:paraId="43D9F31A" w14:textId="4FC2F31F" w:rsidR="00992362" w:rsidRPr="000A40E6" w:rsidRDefault="00992362" w:rsidP="00F756C3">
      <w:pPr>
        <w:suppressAutoHyphens/>
        <w:spacing w:after="120"/>
        <w:rPr>
          <w:rFonts w:eastAsia="Calibri" w:cs="Times New Roman"/>
          <w:szCs w:val="24"/>
        </w:rPr>
      </w:pPr>
    </w:p>
    <w:p w14:paraId="3B3A3051" w14:textId="473512A1" w:rsidR="00554B76" w:rsidRPr="000A40E6" w:rsidRDefault="00554B76" w:rsidP="00F756C3">
      <w:pPr>
        <w:suppressAutoHyphens/>
        <w:spacing w:line="240" w:lineRule="atLeast"/>
        <w:ind w:firstLine="0"/>
        <w:jc w:val="center"/>
        <w:rPr>
          <w:rFonts w:eastAsia="Calibri" w:cs="Times New Roman"/>
          <w:szCs w:val="24"/>
          <w:lang w:val="en-GB"/>
        </w:rPr>
      </w:pPr>
      <w:r w:rsidRPr="000A40E6">
        <w:rPr>
          <w:rFonts w:eastAsia="Calibri" w:cs="Times New Roman"/>
          <w:noProof/>
          <w:szCs w:val="24"/>
          <w:lang w:eastAsia="tr-TR"/>
        </w:rPr>
        <w:drawing>
          <wp:inline distT="0" distB="0" distL="0" distR="0" wp14:anchorId="0DBAA09B" wp14:editId="7B6E1ECE">
            <wp:extent cx="2880000" cy="2757446"/>
            <wp:effectExtent l="0" t="0" r="0" b="5080"/>
            <wp:docPr id="26" name="Resim 7" descr="Açıklama: C:\Users\user\Desktop\TEZ HASTALARI\perio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C:\Users\user\Desktop\TEZ HASTALARI\periotron.jpg"/>
                    <pic:cNvPicPr>
                      <a:picLocks noChangeAspect="1" noChangeArrowheads="1"/>
                    </pic:cNvPicPr>
                  </pic:nvPicPr>
                  <pic:blipFill>
                    <a:blip r:embed="rId36">
                      <a:extLst>
                        <a:ext uri="{28A0092B-C50C-407E-A947-70E740481C1C}">
                          <a14:useLocalDpi xmlns:a14="http://schemas.microsoft.com/office/drawing/2010/main" val="0"/>
                        </a:ext>
                      </a:extLst>
                    </a:blip>
                    <a:srcRect l="2922" t="7870" b="8746"/>
                    <a:stretch>
                      <a:fillRect/>
                    </a:stretch>
                  </pic:blipFill>
                  <pic:spPr bwMode="auto">
                    <a:xfrm>
                      <a:off x="0" y="0"/>
                      <a:ext cx="2880000" cy="2757446"/>
                    </a:xfrm>
                    <a:prstGeom prst="rect">
                      <a:avLst/>
                    </a:prstGeom>
                    <a:noFill/>
                    <a:ln>
                      <a:noFill/>
                    </a:ln>
                  </pic:spPr>
                </pic:pic>
              </a:graphicData>
            </a:graphic>
          </wp:inline>
        </w:drawing>
      </w:r>
    </w:p>
    <w:p w14:paraId="3E87F897" w14:textId="6C666C00" w:rsidR="00992362" w:rsidRPr="000A40E6" w:rsidRDefault="0006477B" w:rsidP="00F756C3">
      <w:pPr>
        <w:pStyle w:val="ResimYazs"/>
        <w:suppressAutoHyphens/>
        <w:spacing w:before="120" w:after="120" w:line="360" w:lineRule="auto"/>
        <w:ind w:left="567" w:hanging="567"/>
        <w:rPr>
          <w:rFonts w:eastAsia="Calibri" w:cs="Times New Roman"/>
          <w:b w:val="0"/>
          <w:color w:val="auto"/>
          <w:sz w:val="24"/>
          <w:szCs w:val="24"/>
          <w:lang w:val="en-GB"/>
        </w:rPr>
      </w:pPr>
      <w:bookmarkStart w:id="101" w:name="_Toc136385561"/>
      <w:bookmarkStart w:id="102" w:name="_Toc136386388"/>
      <w:r w:rsidRPr="000A40E6">
        <w:rPr>
          <w:rFonts w:cs="Times New Roman"/>
          <w:color w:val="auto"/>
          <w:sz w:val="24"/>
          <w:szCs w:val="24"/>
        </w:rPr>
        <w:t xml:space="preserve">Resim </w:t>
      </w:r>
      <w:r w:rsidR="003F42DA" w:rsidRPr="000A40E6">
        <w:rPr>
          <w:rFonts w:cs="Times New Roman"/>
          <w:noProof/>
          <w:color w:val="auto"/>
          <w:sz w:val="24"/>
          <w:szCs w:val="24"/>
        </w:rPr>
        <w:t>13</w:t>
      </w:r>
      <w:r w:rsidRPr="000A40E6">
        <w:rPr>
          <w:rFonts w:cs="Times New Roman"/>
          <w:color w:val="auto"/>
          <w:sz w:val="24"/>
          <w:szCs w:val="24"/>
        </w:rPr>
        <w:t xml:space="preserve">. </w:t>
      </w:r>
      <w:r w:rsidR="007A515E" w:rsidRPr="000A40E6">
        <w:rPr>
          <w:rFonts w:eastAsia="Calibri" w:cs="Times New Roman"/>
          <w:b w:val="0"/>
          <w:color w:val="auto"/>
          <w:sz w:val="24"/>
          <w:szCs w:val="24"/>
          <w:lang w:val="en-GB"/>
        </w:rPr>
        <w:t>Çalışmada kullanılan</w:t>
      </w:r>
      <w:r w:rsidR="00992362" w:rsidRPr="000A40E6">
        <w:rPr>
          <w:rFonts w:eastAsia="Calibri" w:cs="Times New Roman"/>
          <w:b w:val="0"/>
          <w:color w:val="auto"/>
          <w:sz w:val="24"/>
          <w:szCs w:val="24"/>
          <w:lang w:val="en-GB"/>
        </w:rPr>
        <w:t xml:space="preserve"> Periotron 8010 </w:t>
      </w:r>
      <w:r w:rsidR="00982E8D" w:rsidRPr="000A40E6">
        <w:rPr>
          <w:rFonts w:eastAsia="Calibri" w:cs="Times New Roman"/>
          <w:b w:val="0"/>
          <w:color w:val="auto"/>
          <w:sz w:val="24"/>
          <w:szCs w:val="24"/>
          <w:lang w:val="en-GB"/>
        </w:rPr>
        <w:t>c</w:t>
      </w:r>
      <w:r w:rsidR="00992362" w:rsidRPr="000A40E6">
        <w:rPr>
          <w:rFonts w:eastAsia="Calibri" w:cs="Times New Roman"/>
          <w:b w:val="0"/>
          <w:color w:val="auto"/>
          <w:sz w:val="24"/>
          <w:szCs w:val="24"/>
          <w:lang w:val="en-GB"/>
        </w:rPr>
        <w:t>ihazı.</w:t>
      </w:r>
      <w:bookmarkEnd w:id="101"/>
      <w:bookmarkEnd w:id="102"/>
    </w:p>
    <w:p w14:paraId="7E4CB296" w14:textId="77777777" w:rsidR="00423788" w:rsidRPr="000A40E6" w:rsidRDefault="00423788" w:rsidP="00F756C3">
      <w:pPr>
        <w:suppressAutoHyphens/>
        <w:spacing w:after="120"/>
        <w:rPr>
          <w:rFonts w:cs="Times New Roman"/>
          <w:szCs w:val="24"/>
          <w:lang w:val="en-GB"/>
        </w:rPr>
      </w:pPr>
    </w:p>
    <w:p w14:paraId="0B849D09" w14:textId="5A187484" w:rsidR="007E55E8" w:rsidRPr="000A40E6" w:rsidRDefault="007E55E8" w:rsidP="00F756C3">
      <w:pPr>
        <w:suppressAutoHyphens/>
        <w:spacing w:after="120"/>
        <w:ind w:firstLine="0"/>
        <w:rPr>
          <w:rFonts w:cs="Times New Roman"/>
          <w:b/>
          <w:szCs w:val="24"/>
        </w:rPr>
      </w:pPr>
      <w:bookmarkStart w:id="103" w:name="_Toc136443416"/>
      <w:r w:rsidRPr="000A40E6">
        <w:rPr>
          <w:rFonts w:cs="Times New Roman"/>
          <w:b/>
          <w:szCs w:val="24"/>
        </w:rPr>
        <w:t>3.4.2. Plak İndeksinin Ölçülmesi</w:t>
      </w:r>
      <w:bookmarkEnd w:id="103"/>
    </w:p>
    <w:p w14:paraId="79892B06" w14:textId="77777777" w:rsidR="007E55E8" w:rsidRPr="000A40E6" w:rsidRDefault="007E55E8" w:rsidP="00F756C3">
      <w:pPr>
        <w:suppressAutoHyphens/>
        <w:spacing w:after="120"/>
        <w:rPr>
          <w:rFonts w:eastAsia="Calibri" w:cs="Times New Roman"/>
          <w:b/>
          <w:szCs w:val="24"/>
          <w:lang w:val="en-GB"/>
        </w:rPr>
      </w:pPr>
    </w:p>
    <w:p w14:paraId="0DB76F75" w14:textId="773AD779" w:rsidR="00C2609B" w:rsidRPr="000A40E6" w:rsidRDefault="007E55E8" w:rsidP="00F756C3">
      <w:pPr>
        <w:suppressAutoHyphens/>
        <w:spacing w:after="120"/>
        <w:rPr>
          <w:rFonts w:eastAsia="Calibri" w:cs="Times New Roman"/>
          <w:szCs w:val="24"/>
          <w:lang w:val="en-GB"/>
        </w:rPr>
      </w:pPr>
      <w:r w:rsidRPr="000A40E6">
        <w:rPr>
          <w:rFonts w:eastAsia="Calibri" w:cs="Times New Roman"/>
          <w:szCs w:val="24"/>
          <w:lang w:val="en-GB"/>
        </w:rPr>
        <w:t>Hastalardan T0,</w:t>
      </w:r>
      <w:r w:rsidR="006A7207" w:rsidRPr="000A40E6">
        <w:rPr>
          <w:rFonts w:eastAsia="Calibri" w:cs="Times New Roman"/>
          <w:szCs w:val="24"/>
          <w:lang w:val="en-GB"/>
        </w:rPr>
        <w:t xml:space="preserve"> </w:t>
      </w:r>
      <w:r w:rsidRPr="000A40E6">
        <w:rPr>
          <w:rFonts w:eastAsia="Calibri" w:cs="Times New Roman"/>
          <w:szCs w:val="24"/>
          <w:lang w:val="en-GB"/>
        </w:rPr>
        <w:t>T1,</w:t>
      </w:r>
      <w:r w:rsidR="006A7207" w:rsidRPr="000A40E6">
        <w:rPr>
          <w:rFonts w:eastAsia="Calibri" w:cs="Times New Roman"/>
          <w:szCs w:val="24"/>
          <w:lang w:val="en-GB"/>
        </w:rPr>
        <w:t xml:space="preserve"> </w:t>
      </w:r>
      <w:r w:rsidRPr="000A40E6">
        <w:rPr>
          <w:rFonts w:eastAsia="Calibri" w:cs="Times New Roman"/>
          <w:szCs w:val="24"/>
          <w:lang w:val="en-GB"/>
        </w:rPr>
        <w:t xml:space="preserve">T2 ve T3 zamanlarındaki DOS toplama işleminden hemen sonra, maksiller 1. </w:t>
      </w:r>
      <w:proofErr w:type="gramStart"/>
      <w:r w:rsidRPr="000A40E6">
        <w:rPr>
          <w:rFonts w:eastAsia="Calibri" w:cs="Times New Roman"/>
          <w:szCs w:val="24"/>
          <w:lang w:val="en-GB"/>
        </w:rPr>
        <w:t>molar</w:t>
      </w:r>
      <w:proofErr w:type="gramEnd"/>
      <w:r w:rsidRPr="000A40E6">
        <w:rPr>
          <w:rFonts w:eastAsia="Calibri" w:cs="Times New Roman"/>
          <w:szCs w:val="24"/>
          <w:lang w:val="en-GB"/>
        </w:rPr>
        <w:t xml:space="preserve"> dişin </w:t>
      </w:r>
      <w:r w:rsidR="00F6747E" w:rsidRPr="000A40E6">
        <w:rPr>
          <w:rFonts w:eastAsia="Calibri" w:cs="Times New Roman"/>
          <w:szCs w:val="24"/>
        </w:rPr>
        <w:t>Si</w:t>
      </w:r>
      <w:r w:rsidR="00695689" w:rsidRPr="000A40E6">
        <w:rPr>
          <w:rFonts w:eastAsia="Calibri" w:cs="Times New Roman"/>
          <w:szCs w:val="24"/>
        </w:rPr>
        <w:t>lness ve Lö</w:t>
      </w:r>
      <w:r w:rsidRPr="000A40E6">
        <w:rPr>
          <w:rFonts w:eastAsia="Calibri" w:cs="Times New Roman"/>
          <w:szCs w:val="24"/>
        </w:rPr>
        <w:t xml:space="preserve">e (1964) plak indeks skorları kaydedilmiştir. </w:t>
      </w:r>
      <w:proofErr w:type="gramStart"/>
      <w:r w:rsidRPr="000A40E6">
        <w:rPr>
          <w:rFonts w:eastAsia="Calibri" w:cs="Times New Roman"/>
          <w:szCs w:val="24"/>
          <w:lang w:val="en-GB"/>
        </w:rPr>
        <w:t>Bu indekse göre ilgili dişin fasiyal, mezial, distal ve lingual yüzeylerdeki diş eti bölgesinin her birine 0-</w:t>
      </w:r>
      <w:r w:rsidR="004E577D" w:rsidRPr="000A40E6">
        <w:rPr>
          <w:rFonts w:eastAsia="Calibri" w:cs="Times New Roman"/>
          <w:szCs w:val="24"/>
          <w:lang w:val="en-GB"/>
        </w:rPr>
        <w:t>3 arasında bir puan verilmiştir.</w:t>
      </w:r>
      <w:proofErr w:type="gramEnd"/>
      <w:r w:rsidR="004E577D" w:rsidRPr="000A40E6">
        <w:rPr>
          <w:rFonts w:eastAsia="Calibri" w:cs="Times New Roman"/>
          <w:szCs w:val="24"/>
          <w:lang w:val="en-GB"/>
        </w:rPr>
        <w:t xml:space="preserve"> E</w:t>
      </w:r>
      <w:r w:rsidRPr="000A40E6">
        <w:rPr>
          <w:rFonts w:eastAsia="Calibri" w:cs="Times New Roman"/>
          <w:szCs w:val="24"/>
          <w:lang w:val="en-GB"/>
        </w:rPr>
        <w:t xml:space="preserve">lde edilen değer bu </w:t>
      </w:r>
      <w:proofErr w:type="gramStart"/>
      <w:r w:rsidRPr="000A40E6">
        <w:rPr>
          <w:rFonts w:eastAsia="Calibri" w:cs="Times New Roman"/>
          <w:szCs w:val="24"/>
          <w:lang w:val="en-GB"/>
        </w:rPr>
        <w:t>alan</w:t>
      </w:r>
      <w:proofErr w:type="gramEnd"/>
      <w:r w:rsidRPr="000A40E6">
        <w:rPr>
          <w:rFonts w:eastAsia="Calibri" w:cs="Times New Roman"/>
          <w:szCs w:val="24"/>
          <w:lang w:val="en-GB"/>
        </w:rPr>
        <w:t xml:space="preserve"> için plak indeksi değeridir. Dişin </w:t>
      </w:r>
      <w:r w:rsidR="00046359" w:rsidRPr="000A40E6">
        <w:rPr>
          <w:rFonts w:eastAsia="Calibri" w:cs="Times New Roman"/>
          <w:szCs w:val="24"/>
          <w:lang w:val="en-GB"/>
        </w:rPr>
        <w:t>4</w:t>
      </w:r>
      <w:r w:rsidRPr="000A40E6">
        <w:rPr>
          <w:rFonts w:eastAsia="Calibri" w:cs="Times New Roman"/>
          <w:szCs w:val="24"/>
          <w:lang w:val="en-GB"/>
        </w:rPr>
        <w:t xml:space="preserve"> alanından alınan puanlar toplanmıştır ve daha sonra diş için plak indeksi (PI)'yı vermek üzere </w:t>
      </w:r>
      <w:r w:rsidR="00167658" w:rsidRPr="000A40E6">
        <w:rPr>
          <w:rFonts w:eastAsia="Calibri" w:cs="Times New Roman"/>
          <w:szCs w:val="24"/>
          <w:lang w:val="en-GB"/>
        </w:rPr>
        <w:t>4’e</w:t>
      </w:r>
      <w:r w:rsidR="00F82A65" w:rsidRPr="000A40E6">
        <w:rPr>
          <w:rFonts w:eastAsia="Calibri" w:cs="Times New Roman"/>
          <w:szCs w:val="24"/>
          <w:lang w:val="en-GB"/>
        </w:rPr>
        <w:t xml:space="preserve"> bölünmüştür. </w:t>
      </w:r>
      <w:proofErr w:type="gramStart"/>
      <w:r w:rsidR="003C70D7" w:rsidRPr="000A40E6">
        <w:rPr>
          <w:rFonts w:cs="Times New Roman"/>
          <w:szCs w:val="24"/>
          <w:lang w:val="en-GB"/>
        </w:rPr>
        <w:t>Silness-Lö</w:t>
      </w:r>
      <w:r w:rsidR="006923B7" w:rsidRPr="000A40E6">
        <w:rPr>
          <w:rFonts w:cs="Times New Roman"/>
          <w:szCs w:val="24"/>
          <w:lang w:val="en-GB"/>
        </w:rPr>
        <w:t>e plak i</w:t>
      </w:r>
      <w:r w:rsidR="00F82A65" w:rsidRPr="000A40E6">
        <w:rPr>
          <w:rFonts w:cs="Times New Roman"/>
          <w:szCs w:val="24"/>
          <w:lang w:val="en-GB"/>
        </w:rPr>
        <w:t>ndeksi için skorlar ve kriterleri Tablo 1’de verilmiştir.</w:t>
      </w:r>
      <w:proofErr w:type="gramEnd"/>
    </w:p>
    <w:p w14:paraId="70844C95" w14:textId="02B4798B" w:rsidR="00981CFE" w:rsidRPr="000A40E6" w:rsidRDefault="00981CFE" w:rsidP="00F756C3">
      <w:pPr>
        <w:suppressAutoHyphens/>
        <w:spacing w:after="120"/>
        <w:rPr>
          <w:rFonts w:eastAsia="Calibri" w:cs="Times New Roman"/>
          <w:szCs w:val="24"/>
          <w:lang w:val="en-GB"/>
        </w:rPr>
      </w:pPr>
    </w:p>
    <w:p w14:paraId="57BD0685" w14:textId="3C2A4A98" w:rsidR="00E56DD4" w:rsidRPr="000A40E6" w:rsidRDefault="00F43AD0" w:rsidP="00F756C3">
      <w:pPr>
        <w:pStyle w:val="ResimYazs"/>
        <w:suppressAutoHyphens/>
        <w:spacing w:before="120" w:after="120" w:line="360" w:lineRule="auto"/>
        <w:ind w:left="567" w:hanging="567"/>
        <w:jc w:val="both"/>
        <w:rPr>
          <w:rFonts w:cs="Times New Roman"/>
          <w:b w:val="0"/>
          <w:color w:val="auto"/>
          <w:sz w:val="24"/>
          <w:szCs w:val="24"/>
          <w:lang w:val="en-GB"/>
        </w:rPr>
      </w:pPr>
      <w:bookmarkStart w:id="104" w:name="_Toc136383393"/>
      <w:r w:rsidRPr="000A40E6">
        <w:rPr>
          <w:rFonts w:cs="Times New Roman"/>
          <w:color w:val="auto"/>
          <w:sz w:val="24"/>
          <w:szCs w:val="24"/>
        </w:rPr>
        <w:t xml:space="preserve">Tablo </w:t>
      </w:r>
      <w:r w:rsidR="003F42DA" w:rsidRPr="000A40E6">
        <w:rPr>
          <w:rFonts w:cs="Times New Roman"/>
          <w:noProof/>
          <w:color w:val="auto"/>
          <w:sz w:val="24"/>
          <w:szCs w:val="24"/>
        </w:rPr>
        <w:t>1</w:t>
      </w:r>
      <w:r w:rsidRPr="000A40E6">
        <w:rPr>
          <w:rFonts w:cs="Times New Roman"/>
          <w:color w:val="auto"/>
          <w:sz w:val="24"/>
          <w:szCs w:val="24"/>
        </w:rPr>
        <w:t xml:space="preserve">. </w:t>
      </w:r>
      <w:r w:rsidR="00BC2527" w:rsidRPr="000A40E6">
        <w:rPr>
          <w:rFonts w:cs="Times New Roman"/>
          <w:b w:val="0"/>
          <w:color w:val="auto"/>
          <w:sz w:val="24"/>
          <w:szCs w:val="24"/>
          <w:lang w:val="en-GB"/>
        </w:rPr>
        <w:t>Silness-Lö</w:t>
      </w:r>
      <w:r w:rsidR="00573D62" w:rsidRPr="000A40E6">
        <w:rPr>
          <w:rFonts w:cs="Times New Roman"/>
          <w:b w:val="0"/>
          <w:color w:val="auto"/>
          <w:sz w:val="24"/>
          <w:szCs w:val="24"/>
          <w:lang w:val="en-GB"/>
        </w:rPr>
        <w:t>e plak i</w:t>
      </w:r>
      <w:r w:rsidR="00326D91" w:rsidRPr="000A40E6">
        <w:rPr>
          <w:rFonts w:cs="Times New Roman"/>
          <w:b w:val="0"/>
          <w:color w:val="auto"/>
          <w:sz w:val="24"/>
          <w:szCs w:val="24"/>
          <w:lang w:val="en-GB"/>
        </w:rPr>
        <w:t>ndeksi</w:t>
      </w:r>
      <w:r w:rsidR="003A7598" w:rsidRPr="000A40E6">
        <w:rPr>
          <w:rFonts w:cs="Times New Roman"/>
          <w:b w:val="0"/>
          <w:color w:val="auto"/>
          <w:sz w:val="24"/>
          <w:szCs w:val="24"/>
          <w:lang w:val="en-GB"/>
        </w:rPr>
        <w:t>.</w:t>
      </w:r>
      <w:bookmarkEnd w:id="104"/>
    </w:p>
    <w:tbl>
      <w:tblPr>
        <w:tblStyle w:val="TabloKlavuzu1"/>
        <w:tblW w:w="8505" w:type="dxa"/>
        <w:jc w:val="center"/>
        <w:tblLook w:val="04A0" w:firstRow="1" w:lastRow="0" w:firstColumn="1" w:lastColumn="0" w:noHBand="0" w:noVBand="1"/>
      </w:tblPr>
      <w:tblGrid>
        <w:gridCol w:w="1332"/>
        <w:gridCol w:w="7173"/>
      </w:tblGrid>
      <w:tr w:rsidR="00E56DD4" w:rsidRPr="000A40E6" w14:paraId="7AFA9B49" w14:textId="77777777" w:rsidTr="00F756C3">
        <w:trPr>
          <w:trHeight w:val="20"/>
          <w:jc w:val="center"/>
        </w:trPr>
        <w:tc>
          <w:tcPr>
            <w:tcW w:w="1384" w:type="dxa"/>
            <w:tcBorders>
              <w:top w:val="single" w:sz="4" w:space="0" w:color="auto"/>
              <w:left w:val="single" w:sz="4" w:space="0" w:color="auto"/>
              <w:bottom w:val="single" w:sz="4" w:space="0" w:color="auto"/>
              <w:right w:val="single" w:sz="4" w:space="0" w:color="auto"/>
            </w:tcBorders>
            <w:hideMark/>
          </w:tcPr>
          <w:p w14:paraId="076DFA32" w14:textId="6DD1107E" w:rsidR="00E56DD4" w:rsidRPr="000A40E6" w:rsidRDefault="008817D6" w:rsidP="00F756C3">
            <w:pPr>
              <w:suppressAutoHyphens/>
              <w:spacing w:line="240" w:lineRule="atLeast"/>
              <w:ind w:firstLine="0"/>
              <w:jc w:val="center"/>
              <w:rPr>
                <w:b/>
                <w:sz w:val="20"/>
                <w:szCs w:val="20"/>
                <w:lang w:val="en-GB"/>
              </w:rPr>
            </w:pPr>
            <w:r w:rsidRPr="000A40E6">
              <w:rPr>
                <w:b/>
                <w:sz w:val="20"/>
                <w:szCs w:val="20"/>
                <w:lang w:val="en-GB"/>
              </w:rPr>
              <w:t>S</w:t>
            </w:r>
            <w:r w:rsidR="00326D91" w:rsidRPr="000A40E6">
              <w:rPr>
                <w:b/>
                <w:sz w:val="20"/>
                <w:szCs w:val="20"/>
                <w:lang w:val="en-GB"/>
              </w:rPr>
              <w:t>korlar</w:t>
            </w:r>
          </w:p>
        </w:tc>
        <w:tc>
          <w:tcPr>
            <w:tcW w:w="7820" w:type="dxa"/>
            <w:tcBorders>
              <w:top w:val="single" w:sz="4" w:space="0" w:color="auto"/>
              <w:left w:val="single" w:sz="4" w:space="0" w:color="auto"/>
              <w:bottom w:val="single" w:sz="4" w:space="0" w:color="auto"/>
              <w:right w:val="single" w:sz="4" w:space="0" w:color="auto"/>
            </w:tcBorders>
            <w:hideMark/>
          </w:tcPr>
          <w:p w14:paraId="2123F1A9" w14:textId="096F15C6" w:rsidR="00E56DD4" w:rsidRPr="000A40E6" w:rsidRDefault="00E56DD4" w:rsidP="00F756C3">
            <w:pPr>
              <w:suppressAutoHyphens/>
              <w:spacing w:line="240" w:lineRule="atLeast"/>
              <w:ind w:firstLine="0"/>
              <w:jc w:val="center"/>
              <w:rPr>
                <w:b/>
                <w:sz w:val="20"/>
                <w:szCs w:val="20"/>
                <w:lang w:val="en-GB"/>
              </w:rPr>
            </w:pPr>
            <w:r w:rsidRPr="000A40E6">
              <w:rPr>
                <w:b/>
                <w:sz w:val="20"/>
                <w:szCs w:val="20"/>
                <w:lang w:val="en-GB"/>
              </w:rPr>
              <w:t>Kriterler</w:t>
            </w:r>
          </w:p>
        </w:tc>
      </w:tr>
      <w:tr w:rsidR="00E56DD4" w:rsidRPr="000A40E6" w14:paraId="1BEB3AFA" w14:textId="77777777" w:rsidTr="00F756C3">
        <w:trPr>
          <w:trHeight w:val="20"/>
          <w:jc w:val="center"/>
        </w:trPr>
        <w:tc>
          <w:tcPr>
            <w:tcW w:w="1384" w:type="dxa"/>
            <w:tcBorders>
              <w:top w:val="single" w:sz="4" w:space="0" w:color="auto"/>
              <w:left w:val="single" w:sz="4" w:space="0" w:color="auto"/>
              <w:bottom w:val="nil"/>
              <w:right w:val="single" w:sz="4" w:space="0" w:color="auto"/>
            </w:tcBorders>
            <w:hideMark/>
          </w:tcPr>
          <w:p w14:paraId="7B2436E1" w14:textId="3A206F36" w:rsidR="00E56DD4" w:rsidRPr="000A40E6" w:rsidRDefault="00E56DD4" w:rsidP="00F756C3">
            <w:pPr>
              <w:suppressAutoHyphens/>
              <w:spacing w:line="240" w:lineRule="atLeast"/>
              <w:ind w:firstLine="0"/>
              <w:jc w:val="center"/>
              <w:rPr>
                <w:noProof/>
                <w:sz w:val="20"/>
                <w:szCs w:val="20"/>
                <w:lang w:eastAsia="tr-TR"/>
              </w:rPr>
            </w:pPr>
            <w:r w:rsidRPr="000A40E6">
              <w:rPr>
                <w:b/>
                <w:noProof/>
                <w:sz w:val="20"/>
                <w:szCs w:val="20"/>
                <w:lang w:eastAsia="tr-TR"/>
              </w:rPr>
              <w:t>0</w:t>
            </w:r>
          </w:p>
        </w:tc>
        <w:tc>
          <w:tcPr>
            <w:tcW w:w="7820" w:type="dxa"/>
            <w:tcBorders>
              <w:top w:val="single" w:sz="4" w:space="0" w:color="auto"/>
              <w:left w:val="single" w:sz="4" w:space="0" w:color="auto"/>
              <w:bottom w:val="nil"/>
              <w:right w:val="single" w:sz="4" w:space="0" w:color="auto"/>
            </w:tcBorders>
            <w:vAlign w:val="center"/>
            <w:hideMark/>
          </w:tcPr>
          <w:p w14:paraId="375A3D37" w14:textId="38CB7AAB" w:rsidR="00E56DD4" w:rsidRPr="000A40E6" w:rsidRDefault="00E56DD4" w:rsidP="00F756C3">
            <w:pPr>
              <w:suppressAutoHyphens/>
              <w:spacing w:line="240" w:lineRule="atLeast"/>
              <w:ind w:firstLine="0"/>
              <w:jc w:val="left"/>
              <w:rPr>
                <w:noProof/>
                <w:sz w:val="20"/>
                <w:szCs w:val="20"/>
                <w:lang w:eastAsia="tr-TR"/>
              </w:rPr>
            </w:pPr>
            <w:r w:rsidRPr="000A40E6">
              <w:rPr>
                <w:sz w:val="20"/>
                <w:szCs w:val="20"/>
              </w:rPr>
              <w:t>Diş eti bölgesinde bakteri plağı yok</w:t>
            </w:r>
          </w:p>
        </w:tc>
      </w:tr>
      <w:tr w:rsidR="00B22B4F" w:rsidRPr="000A40E6" w14:paraId="0F415094" w14:textId="77777777" w:rsidTr="00F756C3">
        <w:trPr>
          <w:trHeight w:val="20"/>
          <w:jc w:val="center"/>
        </w:trPr>
        <w:tc>
          <w:tcPr>
            <w:tcW w:w="1384" w:type="dxa"/>
            <w:tcBorders>
              <w:top w:val="single" w:sz="4" w:space="0" w:color="auto"/>
              <w:left w:val="single" w:sz="4" w:space="0" w:color="auto"/>
              <w:bottom w:val="single" w:sz="4" w:space="0" w:color="auto"/>
              <w:right w:val="single" w:sz="4" w:space="0" w:color="auto"/>
            </w:tcBorders>
            <w:hideMark/>
          </w:tcPr>
          <w:p w14:paraId="40B7195D" w14:textId="712DB687" w:rsidR="00B22B4F" w:rsidRPr="000A40E6" w:rsidRDefault="00B22B4F" w:rsidP="00F756C3">
            <w:pPr>
              <w:suppressAutoHyphens/>
              <w:spacing w:line="240" w:lineRule="atLeast"/>
              <w:ind w:firstLine="0"/>
              <w:jc w:val="center"/>
              <w:rPr>
                <w:b/>
                <w:noProof/>
                <w:sz w:val="20"/>
                <w:szCs w:val="20"/>
                <w:lang w:eastAsia="tr-TR"/>
              </w:rPr>
            </w:pPr>
            <w:r w:rsidRPr="000A40E6">
              <w:rPr>
                <w:b/>
                <w:noProof/>
                <w:sz w:val="20"/>
                <w:szCs w:val="20"/>
                <w:lang w:eastAsia="tr-TR"/>
              </w:rPr>
              <w:t>1</w:t>
            </w:r>
          </w:p>
        </w:tc>
        <w:tc>
          <w:tcPr>
            <w:tcW w:w="7820" w:type="dxa"/>
            <w:tcBorders>
              <w:top w:val="single" w:sz="4" w:space="0" w:color="auto"/>
              <w:left w:val="single" w:sz="4" w:space="0" w:color="auto"/>
              <w:bottom w:val="single" w:sz="4" w:space="0" w:color="auto"/>
              <w:right w:val="single" w:sz="4" w:space="0" w:color="auto"/>
            </w:tcBorders>
            <w:vAlign w:val="center"/>
            <w:hideMark/>
          </w:tcPr>
          <w:p w14:paraId="4B54CCCA" w14:textId="2B142388" w:rsidR="00B22B4F" w:rsidRPr="000A40E6" w:rsidRDefault="00B22B4F" w:rsidP="00F756C3">
            <w:pPr>
              <w:suppressAutoHyphens/>
              <w:spacing w:line="240" w:lineRule="atLeast"/>
              <w:ind w:firstLine="0"/>
              <w:jc w:val="left"/>
              <w:rPr>
                <w:noProof/>
                <w:sz w:val="20"/>
                <w:szCs w:val="20"/>
                <w:lang w:eastAsia="tr-TR"/>
              </w:rPr>
            </w:pPr>
            <w:r w:rsidRPr="000A40E6">
              <w:rPr>
                <w:sz w:val="20"/>
                <w:szCs w:val="20"/>
              </w:rPr>
              <w:t>Çıplak gözle fark edilemeyen, ancak sond ucunun gingival sulkusta gezdirilmesiyle açığa çıkarılan plak varlığı</w:t>
            </w:r>
          </w:p>
        </w:tc>
      </w:tr>
      <w:tr w:rsidR="00B22B4F" w:rsidRPr="000A40E6" w14:paraId="50141DEA" w14:textId="77777777" w:rsidTr="00F756C3">
        <w:trPr>
          <w:trHeight w:val="20"/>
          <w:jc w:val="center"/>
        </w:trPr>
        <w:tc>
          <w:tcPr>
            <w:tcW w:w="1384" w:type="dxa"/>
            <w:tcBorders>
              <w:left w:val="single" w:sz="4" w:space="0" w:color="auto"/>
              <w:bottom w:val="nil"/>
              <w:right w:val="single" w:sz="4" w:space="0" w:color="auto"/>
            </w:tcBorders>
          </w:tcPr>
          <w:p w14:paraId="54435B08" w14:textId="19D742C9" w:rsidR="00B22B4F" w:rsidRPr="000A40E6" w:rsidRDefault="006C41C3" w:rsidP="00F756C3">
            <w:pPr>
              <w:suppressAutoHyphens/>
              <w:spacing w:line="240" w:lineRule="atLeast"/>
              <w:ind w:firstLine="0"/>
              <w:jc w:val="center"/>
              <w:rPr>
                <w:b/>
                <w:noProof/>
                <w:sz w:val="20"/>
                <w:szCs w:val="20"/>
                <w:lang w:eastAsia="tr-TR"/>
              </w:rPr>
            </w:pPr>
            <w:r w:rsidRPr="000A40E6">
              <w:rPr>
                <w:b/>
                <w:noProof/>
                <w:sz w:val="20"/>
                <w:szCs w:val="20"/>
                <w:lang w:eastAsia="tr-TR"/>
              </w:rPr>
              <w:t>2</w:t>
            </w:r>
          </w:p>
        </w:tc>
        <w:tc>
          <w:tcPr>
            <w:tcW w:w="7820" w:type="dxa"/>
            <w:tcBorders>
              <w:top w:val="single" w:sz="4" w:space="0" w:color="auto"/>
              <w:left w:val="single" w:sz="4" w:space="0" w:color="auto"/>
              <w:bottom w:val="single" w:sz="4" w:space="0" w:color="auto"/>
              <w:right w:val="single" w:sz="4" w:space="0" w:color="auto"/>
            </w:tcBorders>
            <w:vAlign w:val="center"/>
          </w:tcPr>
          <w:p w14:paraId="37082F87" w14:textId="2D84571D" w:rsidR="00B22B4F" w:rsidRPr="000A40E6" w:rsidRDefault="00356C7E" w:rsidP="00F756C3">
            <w:pPr>
              <w:suppressAutoHyphens/>
              <w:spacing w:line="240" w:lineRule="atLeast"/>
              <w:ind w:firstLine="0"/>
              <w:jc w:val="left"/>
              <w:rPr>
                <w:sz w:val="20"/>
                <w:szCs w:val="20"/>
              </w:rPr>
            </w:pPr>
            <w:r w:rsidRPr="000A40E6">
              <w:rPr>
                <w:sz w:val="20"/>
                <w:szCs w:val="20"/>
              </w:rPr>
              <w:t>Gözle görülür tarzda dişeti kenarında ve diş yüzeyinde orta dereceli plak varlığı</w:t>
            </w:r>
          </w:p>
        </w:tc>
      </w:tr>
      <w:tr w:rsidR="00E56DD4" w:rsidRPr="000A40E6" w14:paraId="23B44937" w14:textId="4711B33E" w:rsidTr="00F756C3">
        <w:tblPrEx>
          <w:tblCellMar>
            <w:left w:w="70" w:type="dxa"/>
            <w:right w:w="70" w:type="dxa"/>
          </w:tblCellMar>
          <w:tblLook w:val="0000" w:firstRow="0" w:lastRow="0" w:firstColumn="0" w:lastColumn="0" w:noHBand="0" w:noVBand="0"/>
        </w:tblPrEx>
        <w:trPr>
          <w:trHeight w:val="20"/>
          <w:jc w:val="center"/>
        </w:trPr>
        <w:tc>
          <w:tcPr>
            <w:tcW w:w="1384" w:type="dxa"/>
            <w:tcBorders>
              <w:top w:val="single" w:sz="4" w:space="0" w:color="auto"/>
              <w:bottom w:val="single" w:sz="4" w:space="0" w:color="auto"/>
            </w:tcBorders>
          </w:tcPr>
          <w:p w14:paraId="7012FE57" w14:textId="6D0EAA83" w:rsidR="00E56DD4" w:rsidRPr="000A40E6" w:rsidRDefault="006C41C3" w:rsidP="00F756C3">
            <w:pPr>
              <w:suppressAutoHyphens/>
              <w:spacing w:line="240" w:lineRule="atLeast"/>
              <w:ind w:firstLine="0"/>
              <w:jc w:val="center"/>
              <w:rPr>
                <w:b/>
                <w:sz w:val="20"/>
                <w:szCs w:val="20"/>
                <w:lang w:val="en-GB"/>
              </w:rPr>
            </w:pPr>
            <w:r w:rsidRPr="000A40E6">
              <w:rPr>
                <w:b/>
                <w:sz w:val="20"/>
                <w:szCs w:val="20"/>
                <w:lang w:val="en-GB"/>
              </w:rPr>
              <w:t>3</w:t>
            </w:r>
          </w:p>
        </w:tc>
        <w:tc>
          <w:tcPr>
            <w:tcW w:w="7820" w:type="dxa"/>
            <w:tcBorders>
              <w:top w:val="single" w:sz="4" w:space="0" w:color="auto"/>
              <w:bottom w:val="single" w:sz="4" w:space="0" w:color="auto"/>
            </w:tcBorders>
            <w:shd w:val="clear" w:color="auto" w:fill="auto"/>
            <w:vAlign w:val="center"/>
          </w:tcPr>
          <w:p w14:paraId="0D1638C7" w14:textId="4FA44C44" w:rsidR="00E56DD4" w:rsidRPr="000A40E6" w:rsidRDefault="006C41C3" w:rsidP="00F756C3">
            <w:pPr>
              <w:suppressAutoHyphens/>
              <w:spacing w:line="240" w:lineRule="atLeast"/>
              <w:ind w:firstLine="0"/>
              <w:jc w:val="left"/>
              <w:rPr>
                <w:sz w:val="20"/>
                <w:szCs w:val="20"/>
                <w:lang w:val="en-GB"/>
              </w:rPr>
            </w:pPr>
            <w:r w:rsidRPr="000A40E6">
              <w:rPr>
                <w:sz w:val="20"/>
                <w:szCs w:val="20"/>
              </w:rPr>
              <w:t>Diş etinde ve diş yüzeyinde yoğun yumuşak birikintilerin mevcudiyeti</w:t>
            </w:r>
          </w:p>
        </w:tc>
      </w:tr>
    </w:tbl>
    <w:p w14:paraId="57F28A00" w14:textId="77777777" w:rsidR="0037573F" w:rsidRPr="000A40E6" w:rsidRDefault="0037573F" w:rsidP="00F756C3">
      <w:pPr>
        <w:suppressAutoHyphens/>
        <w:spacing w:after="120"/>
        <w:rPr>
          <w:rFonts w:eastAsia="Calibri" w:cs="Times New Roman"/>
          <w:b/>
          <w:szCs w:val="24"/>
          <w:lang w:val="en-GB"/>
        </w:rPr>
      </w:pPr>
    </w:p>
    <w:p w14:paraId="17B079AF" w14:textId="77777777" w:rsidR="00F756C3" w:rsidRPr="000A40E6" w:rsidRDefault="00F756C3">
      <w:pPr>
        <w:spacing w:after="200" w:line="276" w:lineRule="auto"/>
        <w:ind w:firstLine="0"/>
        <w:jc w:val="left"/>
        <w:rPr>
          <w:rFonts w:cs="Times New Roman"/>
          <w:b/>
          <w:szCs w:val="24"/>
        </w:rPr>
      </w:pPr>
      <w:bookmarkStart w:id="105" w:name="_Toc136443417"/>
      <w:r w:rsidRPr="000A40E6">
        <w:rPr>
          <w:rFonts w:cs="Times New Roman"/>
          <w:b/>
          <w:szCs w:val="24"/>
        </w:rPr>
        <w:br w:type="page"/>
      </w:r>
    </w:p>
    <w:p w14:paraId="353A0870" w14:textId="2ECA0863" w:rsidR="007E55E8" w:rsidRPr="000A40E6" w:rsidRDefault="007E55E8" w:rsidP="00F756C3">
      <w:pPr>
        <w:suppressAutoHyphens/>
        <w:spacing w:after="120"/>
        <w:ind w:firstLine="0"/>
        <w:rPr>
          <w:rFonts w:cs="Times New Roman"/>
          <w:b/>
          <w:szCs w:val="24"/>
        </w:rPr>
      </w:pPr>
      <w:r w:rsidRPr="000A40E6">
        <w:rPr>
          <w:rFonts w:cs="Times New Roman"/>
          <w:b/>
          <w:szCs w:val="24"/>
        </w:rPr>
        <w:t>3.4.3. Gingival İndeksin Ölçülmesi</w:t>
      </w:r>
      <w:bookmarkEnd w:id="105"/>
    </w:p>
    <w:p w14:paraId="0E628BE1" w14:textId="77777777" w:rsidR="007E55E8" w:rsidRPr="000A40E6" w:rsidRDefault="007E55E8" w:rsidP="00F756C3">
      <w:pPr>
        <w:suppressAutoHyphens/>
        <w:spacing w:after="120"/>
        <w:rPr>
          <w:rFonts w:eastAsia="Calibri" w:cs="Times New Roman"/>
          <w:b/>
          <w:szCs w:val="24"/>
          <w:lang w:val="en-GB"/>
        </w:rPr>
      </w:pPr>
    </w:p>
    <w:p w14:paraId="759E4BEB" w14:textId="095F569C" w:rsidR="0037573F" w:rsidRPr="000A40E6" w:rsidRDefault="007E55E8" w:rsidP="00F756C3">
      <w:pPr>
        <w:suppressAutoHyphens/>
        <w:spacing w:after="120"/>
        <w:rPr>
          <w:rFonts w:eastAsia="Calibri" w:cs="Times New Roman"/>
          <w:szCs w:val="24"/>
          <w:lang w:val="en-GB"/>
        </w:rPr>
      </w:pPr>
      <w:proofErr w:type="gramStart"/>
      <w:r w:rsidRPr="000A40E6">
        <w:rPr>
          <w:rFonts w:eastAsia="Calibri" w:cs="Times New Roman"/>
          <w:szCs w:val="24"/>
          <w:lang w:val="en-GB"/>
        </w:rPr>
        <w:t>Hastalardan T0,</w:t>
      </w:r>
      <w:r w:rsidR="00AB0308" w:rsidRPr="000A40E6">
        <w:rPr>
          <w:rFonts w:eastAsia="Calibri" w:cs="Times New Roman"/>
          <w:szCs w:val="24"/>
          <w:lang w:val="en-GB"/>
        </w:rPr>
        <w:t xml:space="preserve"> </w:t>
      </w:r>
      <w:r w:rsidRPr="000A40E6">
        <w:rPr>
          <w:rFonts w:eastAsia="Calibri" w:cs="Times New Roman"/>
          <w:szCs w:val="24"/>
          <w:lang w:val="en-GB"/>
        </w:rPr>
        <w:t>T1,</w:t>
      </w:r>
      <w:r w:rsidR="00AB0308" w:rsidRPr="000A40E6">
        <w:rPr>
          <w:rFonts w:eastAsia="Calibri" w:cs="Times New Roman"/>
          <w:szCs w:val="24"/>
          <w:lang w:val="en-GB"/>
        </w:rPr>
        <w:t xml:space="preserve"> T2</w:t>
      </w:r>
      <w:r w:rsidRPr="000A40E6">
        <w:rPr>
          <w:rFonts w:eastAsia="Calibri" w:cs="Times New Roman"/>
          <w:szCs w:val="24"/>
          <w:lang w:val="en-GB"/>
        </w:rPr>
        <w:t xml:space="preserve"> ve T3 zamanlarındaki DOS toplama işleminden hemen sonra maksiller 1.</w:t>
      </w:r>
      <w:proofErr w:type="gramEnd"/>
      <w:r w:rsidRPr="000A40E6">
        <w:rPr>
          <w:rFonts w:eastAsia="Calibri" w:cs="Times New Roman"/>
          <w:szCs w:val="24"/>
          <w:lang w:val="en-GB"/>
        </w:rPr>
        <w:t xml:space="preserve"> </w:t>
      </w:r>
      <w:proofErr w:type="gramStart"/>
      <w:r w:rsidRPr="000A40E6">
        <w:rPr>
          <w:rFonts w:eastAsia="Calibri" w:cs="Times New Roman"/>
          <w:szCs w:val="24"/>
          <w:lang w:val="en-GB"/>
        </w:rPr>
        <w:t>molar</w:t>
      </w:r>
      <w:proofErr w:type="gramEnd"/>
      <w:r w:rsidR="007E2B9E" w:rsidRPr="000A40E6">
        <w:rPr>
          <w:rFonts w:eastAsia="Calibri" w:cs="Times New Roman"/>
          <w:szCs w:val="24"/>
          <w:lang w:val="en-GB"/>
        </w:rPr>
        <w:t xml:space="preserve"> dişin Lö</w:t>
      </w:r>
      <w:r w:rsidRPr="000A40E6">
        <w:rPr>
          <w:rFonts w:eastAsia="Calibri" w:cs="Times New Roman"/>
          <w:szCs w:val="24"/>
          <w:lang w:val="en-GB"/>
        </w:rPr>
        <w:t xml:space="preserve">e ve Silness (1963) gingival indeksi ile diş etindeki kalitatif değişiklikler kaydedilmiştir. Marjinal ve interproksimal dokular 0'dan 3'e </w:t>
      </w:r>
      <w:proofErr w:type="gramStart"/>
      <w:r w:rsidRPr="000A40E6">
        <w:rPr>
          <w:rFonts w:eastAsia="Calibri" w:cs="Times New Roman"/>
          <w:szCs w:val="24"/>
          <w:lang w:val="en-GB"/>
        </w:rPr>
        <w:t>kadar</w:t>
      </w:r>
      <w:proofErr w:type="gramEnd"/>
      <w:r w:rsidRPr="000A40E6">
        <w:rPr>
          <w:rFonts w:eastAsia="Calibri" w:cs="Times New Roman"/>
          <w:szCs w:val="24"/>
          <w:lang w:val="en-GB"/>
        </w:rPr>
        <w:t xml:space="preserve"> ayrı ayrı pua</w:t>
      </w:r>
      <w:r w:rsidR="0082476A" w:rsidRPr="000A40E6">
        <w:rPr>
          <w:rFonts w:eastAsia="Calibri" w:cs="Times New Roman"/>
          <w:szCs w:val="24"/>
          <w:lang w:val="en-GB"/>
        </w:rPr>
        <w:t>nlanmıştır.</w:t>
      </w:r>
      <w:r w:rsidR="006923B7" w:rsidRPr="000A40E6">
        <w:rPr>
          <w:rFonts w:eastAsia="Calibri" w:cs="Times New Roman"/>
          <w:szCs w:val="24"/>
          <w:lang w:val="en-GB"/>
        </w:rPr>
        <w:t xml:space="preserve"> </w:t>
      </w:r>
      <w:proofErr w:type="gramStart"/>
      <w:r w:rsidR="00805C39" w:rsidRPr="000A40E6">
        <w:rPr>
          <w:rFonts w:cs="Times New Roman"/>
          <w:szCs w:val="24"/>
          <w:lang w:val="en-GB"/>
        </w:rPr>
        <w:t>Lö</w:t>
      </w:r>
      <w:r w:rsidR="000646A9" w:rsidRPr="000A40E6">
        <w:rPr>
          <w:rFonts w:cs="Times New Roman"/>
          <w:szCs w:val="24"/>
          <w:lang w:val="en-GB"/>
        </w:rPr>
        <w:t>e-Silness gingival i</w:t>
      </w:r>
      <w:r w:rsidR="006923B7" w:rsidRPr="000A40E6">
        <w:rPr>
          <w:rFonts w:cs="Times New Roman"/>
          <w:szCs w:val="24"/>
          <w:lang w:val="en-GB"/>
        </w:rPr>
        <w:t>ndeksi</w:t>
      </w:r>
      <w:r w:rsidR="000646A9" w:rsidRPr="000A40E6">
        <w:rPr>
          <w:rFonts w:cs="Times New Roman"/>
          <w:szCs w:val="24"/>
          <w:lang w:val="en-GB"/>
        </w:rPr>
        <w:t xml:space="preserve"> için skorlar ve kriterleri Tablo 2’de verilmiştir.</w:t>
      </w:r>
      <w:proofErr w:type="gramEnd"/>
    </w:p>
    <w:p w14:paraId="47D68D31" w14:textId="77777777" w:rsidR="008308C6" w:rsidRPr="000A40E6" w:rsidRDefault="008308C6" w:rsidP="00F756C3">
      <w:pPr>
        <w:suppressAutoHyphens/>
        <w:spacing w:after="120"/>
        <w:rPr>
          <w:rFonts w:eastAsia="Calibri" w:cs="Times New Roman"/>
          <w:szCs w:val="24"/>
          <w:lang w:val="en-GB"/>
        </w:rPr>
      </w:pPr>
    </w:p>
    <w:p w14:paraId="29625223" w14:textId="5740489F" w:rsidR="00B67E44" w:rsidRPr="000A40E6" w:rsidRDefault="00F43AD0" w:rsidP="00F756C3">
      <w:pPr>
        <w:pStyle w:val="ResimYazs"/>
        <w:suppressAutoHyphens/>
        <w:spacing w:before="120" w:after="120" w:line="360" w:lineRule="auto"/>
        <w:ind w:left="567" w:hanging="567"/>
        <w:jc w:val="both"/>
        <w:rPr>
          <w:rFonts w:cs="Times New Roman"/>
          <w:b w:val="0"/>
          <w:color w:val="auto"/>
          <w:sz w:val="24"/>
          <w:szCs w:val="24"/>
          <w:lang w:val="en-GB"/>
        </w:rPr>
      </w:pPr>
      <w:bookmarkStart w:id="106" w:name="_Toc136383394"/>
      <w:r w:rsidRPr="000A40E6">
        <w:rPr>
          <w:rFonts w:cs="Times New Roman"/>
          <w:color w:val="auto"/>
          <w:sz w:val="24"/>
          <w:szCs w:val="24"/>
        </w:rPr>
        <w:t xml:space="preserve">Tablo </w:t>
      </w:r>
      <w:r w:rsidR="003F42DA" w:rsidRPr="000A40E6">
        <w:rPr>
          <w:rFonts w:cs="Times New Roman"/>
          <w:noProof/>
          <w:color w:val="auto"/>
          <w:sz w:val="24"/>
          <w:szCs w:val="24"/>
        </w:rPr>
        <w:t>2</w:t>
      </w:r>
      <w:r w:rsidRPr="000A40E6">
        <w:rPr>
          <w:rFonts w:cs="Times New Roman"/>
          <w:color w:val="auto"/>
          <w:sz w:val="24"/>
          <w:szCs w:val="24"/>
        </w:rPr>
        <w:t xml:space="preserve">. </w:t>
      </w:r>
      <w:r w:rsidRPr="000A40E6">
        <w:rPr>
          <w:rFonts w:cs="Times New Roman"/>
          <w:b w:val="0"/>
          <w:color w:val="auto"/>
          <w:sz w:val="24"/>
          <w:szCs w:val="24"/>
          <w:lang w:val="en-GB"/>
        </w:rPr>
        <w:t>Lö</w:t>
      </w:r>
      <w:r w:rsidR="00326D91" w:rsidRPr="000A40E6">
        <w:rPr>
          <w:rFonts w:cs="Times New Roman"/>
          <w:b w:val="0"/>
          <w:color w:val="auto"/>
          <w:sz w:val="24"/>
          <w:szCs w:val="24"/>
          <w:lang w:val="en-GB"/>
        </w:rPr>
        <w:t xml:space="preserve">e-Silness Gingival </w:t>
      </w:r>
      <w:r w:rsidR="00F756C3" w:rsidRPr="000A40E6">
        <w:rPr>
          <w:rFonts w:cs="Times New Roman"/>
          <w:b w:val="0"/>
          <w:color w:val="auto"/>
          <w:sz w:val="24"/>
          <w:szCs w:val="24"/>
          <w:lang w:val="en-GB"/>
        </w:rPr>
        <w:t>indeksi</w:t>
      </w:r>
      <w:r w:rsidR="003A7598" w:rsidRPr="000A40E6">
        <w:rPr>
          <w:rFonts w:cs="Times New Roman"/>
          <w:b w:val="0"/>
          <w:color w:val="auto"/>
          <w:sz w:val="24"/>
          <w:szCs w:val="24"/>
          <w:lang w:val="en-GB"/>
        </w:rPr>
        <w:t>.</w:t>
      </w:r>
      <w:bookmarkEnd w:id="106"/>
    </w:p>
    <w:tbl>
      <w:tblPr>
        <w:tblStyle w:val="TabloKlavuzu1"/>
        <w:tblW w:w="8505" w:type="dxa"/>
        <w:jc w:val="center"/>
        <w:tblLook w:val="04A0" w:firstRow="1" w:lastRow="0" w:firstColumn="1" w:lastColumn="0" w:noHBand="0" w:noVBand="1"/>
      </w:tblPr>
      <w:tblGrid>
        <w:gridCol w:w="1334"/>
        <w:gridCol w:w="7171"/>
      </w:tblGrid>
      <w:tr w:rsidR="00B67E44" w:rsidRPr="000A40E6" w14:paraId="1F29F311" w14:textId="77777777" w:rsidTr="00F756C3">
        <w:trPr>
          <w:trHeight w:val="20"/>
          <w:jc w:val="center"/>
        </w:trPr>
        <w:tc>
          <w:tcPr>
            <w:tcW w:w="1334" w:type="dxa"/>
            <w:tcBorders>
              <w:top w:val="single" w:sz="4" w:space="0" w:color="auto"/>
              <w:left w:val="single" w:sz="4" w:space="0" w:color="auto"/>
              <w:bottom w:val="single" w:sz="4" w:space="0" w:color="auto"/>
              <w:right w:val="single" w:sz="4" w:space="0" w:color="auto"/>
            </w:tcBorders>
            <w:hideMark/>
          </w:tcPr>
          <w:p w14:paraId="60F04B0D" w14:textId="22C55DC3" w:rsidR="00B67E44" w:rsidRPr="000A40E6" w:rsidRDefault="00326D91" w:rsidP="00F756C3">
            <w:pPr>
              <w:suppressAutoHyphens/>
              <w:spacing w:line="240" w:lineRule="atLeast"/>
              <w:ind w:firstLine="0"/>
              <w:jc w:val="center"/>
              <w:rPr>
                <w:b/>
                <w:sz w:val="20"/>
                <w:szCs w:val="20"/>
                <w:lang w:val="en-GB"/>
              </w:rPr>
            </w:pPr>
            <w:r w:rsidRPr="000A40E6">
              <w:rPr>
                <w:b/>
                <w:sz w:val="20"/>
                <w:szCs w:val="20"/>
                <w:lang w:val="en-GB"/>
              </w:rPr>
              <w:t>Skorlar</w:t>
            </w:r>
          </w:p>
        </w:tc>
        <w:tc>
          <w:tcPr>
            <w:tcW w:w="7171" w:type="dxa"/>
            <w:tcBorders>
              <w:top w:val="single" w:sz="4" w:space="0" w:color="auto"/>
              <w:left w:val="single" w:sz="4" w:space="0" w:color="auto"/>
              <w:bottom w:val="single" w:sz="4" w:space="0" w:color="auto"/>
              <w:right w:val="single" w:sz="4" w:space="0" w:color="auto"/>
            </w:tcBorders>
            <w:hideMark/>
          </w:tcPr>
          <w:p w14:paraId="7D7C287B" w14:textId="77777777" w:rsidR="00B67E44" w:rsidRPr="000A40E6" w:rsidRDefault="00B67E44" w:rsidP="00F756C3">
            <w:pPr>
              <w:suppressAutoHyphens/>
              <w:spacing w:line="240" w:lineRule="atLeast"/>
              <w:ind w:firstLine="0"/>
              <w:jc w:val="center"/>
              <w:rPr>
                <w:b/>
                <w:sz w:val="20"/>
                <w:szCs w:val="20"/>
                <w:lang w:val="en-GB"/>
              </w:rPr>
            </w:pPr>
            <w:r w:rsidRPr="000A40E6">
              <w:rPr>
                <w:b/>
                <w:sz w:val="20"/>
                <w:szCs w:val="20"/>
                <w:lang w:val="en-GB"/>
              </w:rPr>
              <w:t>Kriterler</w:t>
            </w:r>
          </w:p>
        </w:tc>
      </w:tr>
      <w:tr w:rsidR="00B67E44" w:rsidRPr="000A40E6" w14:paraId="33C56BB2" w14:textId="77777777" w:rsidTr="00F756C3">
        <w:trPr>
          <w:trHeight w:val="20"/>
          <w:jc w:val="center"/>
        </w:trPr>
        <w:tc>
          <w:tcPr>
            <w:tcW w:w="1334" w:type="dxa"/>
            <w:tcBorders>
              <w:top w:val="single" w:sz="4" w:space="0" w:color="auto"/>
              <w:left w:val="single" w:sz="4" w:space="0" w:color="auto"/>
              <w:bottom w:val="nil"/>
              <w:right w:val="single" w:sz="4" w:space="0" w:color="auto"/>
            </w:tcBorders>
            <w:hideMark/>
          </w:tcPr>
          <w:p w14:paraId="275E9ABC" w14:textId="77777777" w:rsidR="00B67E44" w:rsidRPr="000A40E6" w:rsidRDefault="00B67E44" w:rsidP="00F756C3">
            <w:pPr>
              <w:suppressAutoHyphens/>
              <w:spacing w:line="240" w:lineRule="atLeast"/>
              <w:ind w:firstLine="0"/>
              <w:jc w:val="center"/>
              <w:rPr>
                <w:noProof/>
                <w:sz w:val="20"/>
                <w:szCs w:val="20"/>
                <w:lang w:eastAsia="tr-TR"/>
              </w:rPr>
            </w:pPr>
            <w:r w:rsidRPr="000A40E6">
              <w:rPr>
                <w:b/>
                <w:noProof/>
                <w:sz w:val="20"/>
                <w:szCs w:val="20"/>
                <w:lang w:eastAsia="tr-TR"/>
              </w:rPr>
              <w:t>0</w:t>
            </w:r>
          </w:p>
        </w:tc>
        <w:tc>
          <w:tcPr>
            <w:tcW w:w="7171" w:type="dxa"/>
            <w:tcBorders>
              <w:top w:val="single" w:sz="4" w:space="0" w:color="auto"/>
              <w:left w:val="single" w:sz="4" w:space="0" w:color="auto"/>
              <w:bottom w:val="nil"/>
              <w:right w:val="single" w:sz="4" w:space="0" w:color="auto"/>
            </w:tcBorders>
            <w:hideMark/>
          </w:tcPr>
          <w:p w14:paraId="7362E3AD" w14:textId="2351913B" w:rsidR="00B67E44" w:rsidRPr="000A40E6" w:rsidRDefault="0082476A" w:rsidP="00F756C3">
            <w:pPr>
              <w:suppressAutoHyphens/>
              <w:spacing w:line="240" w:lineRule="atLeast"/>
              <w:ind w:firstLine="0"/>
              <w:jc w:val="left"/>
              <w:rPr>
                <w:noProof/>
                <w:sz w:val="20"/>
                <w:szCs w:val="20"/>
                <w:lang w:eastAsia="tr-TR"/>
              </w:rPr>
            </w:pPr>
            <w:r w:rsidRPr="000A40E6">
              <w:rPr>
                <w:sz w:val="20"/>
                <w:szCs w:val="20"/>
              </w:rPr>
              <w:t>Normal diş eti</w:t>
            </w:r>
          </w:p>
        </w:tc>
      </w:tr>
      <w:tr w:rsidR="00533B53" w:rsidRPr="000A40E6" w14:paraId="44D0302D" w14:textId="77777777" w:rsidTr="00F756C3">
        <w:trPr>
          <w:trHeight w:val="20"/>
          <w:jc w:val="center"/>
        </w:trPr>
        <w:tc>
          <w:tcPr>
            <w:tcW w:w="1334" w:type="dxa"/>
            <w:tcBorders>
              <w:top w:val="single" w:sz="4" w:space="0" w:color="auto"/>
              <w:left w:val="single" w:sz="4" w:space="0" w:color="auto"/>
              <w:bottom w:val="single" w:sz="4" w:space="0" w:color="auto"/>
              <w:right w:val="single" w:sz="4" w:space="0" w:color="auto"/>
            </w:tcBorders>
            <w:hideMark/>
          </w:tcPr>
          <w:p w14:paraId="373E5827" w14:textId="77777777" w:rsidR="00533B53" w:rsidRPr="000A40E6" w:rsidRDefault="00533B53" w:rsidP="00F756C3">
            <w:pPr>
              <w:suppressAutoHyphens/>
              <w:spacing w:line="240" w:lineRule="atLeast"/>
              <w:ind w:firstLine="0"/>
              <w:jc w:val="center"/>
              <w:rPr>
                <w:b/>
                <w:noProof/>
                <w:sz w:val="20"/>
                <w:szCs w:val="20"/>
                <w:lang w:eastAsia="tr-TR"/>
              </w:rPr>
            </w:pPr>
            <w:r w:rsidRPr="000A40E6">
              <w:rPr>
                <w:b/>
                <w:noProof/>
                <w:sz w:val="20"/>
                <w:szCs w:val="20"/>
                <w:lang w:eastAsia="tr-TR"/>
              </w:rPr>
              <w:t>1</w:t>
            </w:r>
          </w:p>
        </w:tc>
        <w:tc>
          <w:tcPr>
            <w:tcW w:w="7171" w:type="dxa"/>
            <w:tcBorders>
              <w:top w:val="single" w:sz="4" w:space="0" w:color="auto"/>
              <w:left w:val="single" w:sz="4" w:space="0" w:color="auto"/>
              <w:bottom w:val="single" w:sz="4" w:space="0" w:color="auto"/>
              <w:right w:val="single" w:sz="4" w:space="0" w:color="auto"/>
            </w:tcBorders>
            <w:hideMark/>
          </w:tcPr>
          <w:p w14:paraId="6DC8A0DD" w14:textId="3680F135" w:rsidR="00533B53" w:rsidRPr="000A40E6" w:rsidRDefault="00533B53" w:rsidP="00F756C3">
            <w:pPr>
              <w:tabs>
                <w:tab w:val="left" w:pos="2055"/>
              </w:tabs>
              <w:suppressAutoHyphens/>
              <w:spacing w:line="240" w:lineRule="atLeast"/>
              <w:ind w:firstLine="0"/>
              <w:jc w:val="left"/>
              <w:rPr>
                <w:sz w:val="20"/>
                <w:szCs w:val="20"/>
              </w:rPr>
            </w:pPr>
            <w:r w:rsidRPr="000A40E6">
              <w:rPr>
                <w:sz w:val="20"/>
                <w:szCs w:val="20"/>
              </w:rPr>
              <w:t>Hafif inflamasyon – hafif renk değişikliği ve hafif ödem ama sondlamada kanama yok</w:t>
            </w:r>
          </w:p>
        </w:tc>
      </w:tr>
      <w:tr w:rsidR="00533B53" w:rsidRPr="000A40E6" w14:paraId="31F69510" w14:textId="77777777" w:rsidTr="00F756C3">
        <w:trPr>
          <w:trHeight w:val="20"/>
          <w:jc w:val="center"/>
        </w:trPr>
        <w:tc>
          <w:tcPr>
            <w:tcW w:w="1334" w:type="dxa"/>
            <w:tcBorders>
              <w:top w:val="single" w:sz="4" w:space="0" w:color="auto"/>
              <w:left w:val="single" w:sz="4" w:space="0" w:color="auto"/>
              <w:bottom w:val="single" w:sz="4" w:space="0" w:color="auto"/>
              <w:right w:val="single" w:sz="4" w:space="0" w:color="auto"/>
            </w:tcBorders>
          </w:tcPr>
          <w:p w14:paraId="4BE642B3" w14:textId="63A0297B" w:rsidR="00533B53" w:rsidRPr="000A40E6" w:rsidRDefault="007E5D77" w:rsidP="00F756C3">
            <w:pPr>
              <w:suppressAutoHyphens/>
              <w:spacing w:line="240" w:lineRule="atLeast"/>
              <w:ind w:firstLine="0"/>
              <w:jc w:val="center"/>
              <w:rPr>
                <w:b/>
                <w:noProof/>
                <w:sz w:val="20"/>
                <w:szCs w:val="20"/>
                <w:lang w:eastAsia="tr-TR"/>
              </w:rPr>
            </w:pPr>
            <w:r w:rsidRPr="000A40E6">
              <w:rPr>
                <w:b/>
                <w:noProof/>
                <w:sz w:val="20"/>
                <w:szCs w:val="20"/>
                <w:lang w:eastAsia="tr-TR"/>
              </w:rPr>
              <w:t>2</w:t>
            </w:r>
          </w:p>
        </w:tc>
        <w:tc>
          <w:tcPr>
            <w:tcW w:w="7171" w:type="dxa"/>
            <w:tcBorders>
              <w:top w:val="single" w:sz="4" w:space="0" w:color="auto"/>
              <w:left w:val="single" w:sz="4" w:space="0" w:color="auto"/>
              <w:bottom w:val="single" w:sz="4" w:space="0" w:color="auto"/>
              <w:right w:val="single" w:sz="4" w:space="0" w:color="auto"/>
            </w:tcBorders>
          </w:tcPr>
          <w:p w14:paraId="5B99AFB5" w14:textId="258B148D" w:rsidR="00533B53" w:rsidRPr="000A40E6" w:rsidRDefault="007E5D77" w:rsidP="00F756C3">
            <w:pPr>
              <w:tabs>
                <w:tab w:val="left" w:pos="2055"/>
              </w:tabs>
              <w:suppressAutoHyphens/>
              <w:spacing w:line="240" w:lineRule="atLeast"/>
              <w:ind w:firstLine="0"/>
              <w:jc w:val="left"/>
              <w:rPr>
                <w:sz w:val="20"/>
                <w:szCs w:val="20"/>
              </w:rPr>
            </w:pPr>
            <w:r w:rsidRPr="000A40E6">
              <w:rPr>
                <w:sz w:val="20"/>
                <w:szCs w:val="20"/>
              </w:rPr>
              <w:t>Orta derecede inflamasyon – kızarıklık, ödem ve parlama, sondlamada kanama</w:t>
            </w:r>
          </w:p>
        </w:tc>
      </w:tr>
      <w:tr w:rsidR="00B67E44" w:rsidRPr="000A40E6" w14:paraId="46274551" w14:textId="77777777" w:rsidTr="00F756C3">
        <w:trPr>
          <w:trHeight w:val="20"/>
          <w:jc w:val="center"/>
        </w:trPr>
        <w:tc>
          <w:tcPr>
            <w:tcW w:w="1334" w:type="dxa"/>
            <w:tcBorders>
              <w:top w:val="nil"/>
              <w:left w:val="single" w:sz="4" w:space="0" w:color="auto"/>
              <w:bottom w:val="single" w:sz="4" w:space="0" w:color="auto"/>
              <w:right w:val="single" w:sz="4" w:space="0" w:color="auto"/>
            </w:tcBorders>
          </w:tcPr>
          <w:p w14:paraId="01D50BCA" w14:textId="67E54EB4" w:rsidR="00B67E44" w:rsidRPr="000A40E6" w:rsidRDefault="004C721C" w:rsidP="00F756C3">
            <w:pPr>
              <w:suppressAutoHyphens/>
              <w:spacing w:line="240" w:lineRule="atLeast"/>
              <w:ind w:firstLine="0"/>
              <w:jc w:val="center"/>
              <w:rPr>
                <w:b/>
                <w:noProof/>
                <w:sz w:val="20"/>
                <w:szCs w:val="20"/>
                <w:lang w:eastAsia="tr-TR"/>
              </w:rPr>
            </w:pPr>
            <w:r w:rsidRPr="000A40E6">
              <w:rPr>
                <w:b/>
                <w:noProof/>
                <w:sz w:val="20"/>
                <w:szCs w:val="20"/>
                <w:lang w:eastAsia="tr-TR"/>
              </w:rPr>
              <w:t>3</w:t>
            </w:r>
          </w:p>
        </w:tc>
        <w:tc>
          <w:tcPr>
            <w:tcW w:w="7171" w:type="dxa"/>
            <w:tcBorders>
              <w:top w:val="nil"/>
              <w:left w:val="single" w:sz="4" w:space="0" w:color="auto"/>
              <w:bottom w:val="single" w:sz="4" w:space="0" w:color="auto"/>
              <w:right w:val="single" w:sz="4" w:space="0" w:color="auto"/>
            </w:tcBorders>
          </w:tcPr>
          <w:p w14:paraId="6531E4E6" w14:textId="71A8A427" w:rsidR="00B67E44" w:rsidRPr="000A40E6" w:rsidRDefault="004C721C" w:rsidP="00F756C3">
            <w:pPr>
              <w:suppressAutoHyphens/>
              <w:spacing w:line="240" w:lineRule="atLeast"/>
              <w:ind w:firstLine="0"/>
              <w:jc w:val="left"/>
              <w:rPr>
                <w:sz w:val="20"/>
                <w:szCs w:val="20"/>
              </w:rPr>
            </w:pPr>
            <w:r w:rsidRPr="000A40E6">
              <w:rPr>
                <w:sz w:val="20"/>
                <w:szCs w:val="20"/>
              </w:rPr>
              <w:t>Şiddetli inflamasyon – belirgin kızarıklık ve ödem, spontan kanamaya meyilli ülserasyon</w:t>
            </w:r>
          </w:p>
        </w:tc>
      </w:tr>
    </w:tbl>
    <w:p w14:paraId="46C87611" w14:textId="77777777" w:rsidR="00F756C3" w:rsidRPr="000A40E6" w:rsidRDefault="00F756C3" w:rsidP="00F756C3">
      <w:pPr>
        <w:tabs>
          <w:tab w:val="left" w:pos="2055"/>
        </w:tabs>
        <w:suppressAutoHyphens/>
        <w:spacing w:after="120"/>
        <w:rPr>
          <w:rFonts w:eastAsia="Calibri" w:cs="Times New Roman"/>
          <w:szCs w:val="24"/>
        </w:rPr>
      </w:pPr>
    </w:p>
    <w:p w14:paraId="74A618A0" w14:textId="298A6029" w:rsidR="006B5739" w:rsidRPr="000A40E6" w:rsidRDefault="007E55E8" w:rsidP="00F756C3">
      <w:pPr>
        <w:tabs>
          <w:tab w:val="left" w:pos="2055"/>
        </w:tabs>
        <w:suppressAutoHyphens/>
        <w:spacing w:after="120"/>
        <w:rPr>
          <w:rFonts w:eastAsia="Calibri" w:cs="Times New Roman"/>
          <w:szCs w:val="24"/>
        </w:rPr>
      </w:pPr>
      <w:r w:rsidRPr="000A40E6">
        <w:rPr>
          <w:rFonts w:eastAsia="Calibri" w:cs="Times New Roman"/>
          <w:szCs w:val="24"/>
        </w:rPr>
        <w:t>İlgili dişin fasiyal, mezial, distal ve lingual diş eti bölgelerinde diş etinin iltihap durumu 0-3 arası skorlar ile değerlendirilmiştir. Cep içerisinde sondun gezdirilmesiyle oluşabilecek di</w:t>
      </w:r>
      <w:r w:rsidR="00B42C27" w:rsidRPr="000A40E6">
        <w:rPr>
          <w:rFonts w:eastAsia="Calibri" w:cs="Times New Roman"/>
          <w:szCs w:val="24"/>
        </w:rPr>
        <w:t xml:space="preserve">ş eti kanaması kaydedilmiştir. </w:t>
      </w:r>
      <w:r w:rsidRPr="000A40E6">
        <w:rPr>
          <w:rFonts w:eastAsia="Calibri" w:cs="Times New Roman"/>
          <w:szCs w:val="24"/>
        </w:rPr>
        <w:t>Kanama, diş eti sulkusunun yumuşak dokusunun duvarı boyunca nazikçe i</w:t>
      </w:r>
      <w:r w:rsidR="00B42C27" w:rsidRPr="000A40E6">
        <w:rPr>
          <w:rFonts w:eastAsia="Calibri" w:cs="Times New Roman"/>
          <w:szCs w:val="24"/>
        </w:rPr>
        <w:t>ncelenerek değerlendirilmiştir.</w:t>
      </w:r>
      <w:r w:rsidR="00850A72" w:rsidRPr="000A40E6">
        <w:rPr>
          <w:rFonts w:eastAsia="Calibri" w:cs="Times New Roman"/>
          <w:szCs w:val="24"/>
        </w:rPr>
        <w:t xml:space="preserve"> </w:t>
      </w:r>
      <w:r w:rsidRPr="000A40E6">
        <w:rPr>
          <w:rFonts w:eastAsia="Calibri" w:cs="Times New Roman"/>
          <w:szCs w:val="24"/>
        </w:rPr>
        <w:t>Diş</w:t>
      </w:r>
      <w:r w:rsidR="00B42C27" w:rsidRPr="000A40E6">
        <w:rPr>
          <w:rFonts w:eastAsia="Calibri" w:cs="Times New Roman"/>
          <w:szCs w:val="24"/>
        </w:rPr>
        <w:t>in 4 alanının skorları toplanıp 4’e</w:t>
      </w:r>
      <w:r w:rsidR="006C6E1B" w:rsidRPr="000A40E6">
        <w:rPr>
          <w:rFonts w:eastAsia="Calibri" w:cs="Times New Roman"/>
          <w:szCs w:val="24"/>
        </w:rPr>
        <w:t xml:space="preserve"> bölünerek </w:t>
      </w:r>
      <w:r w:rsidRPr="000A40E6">
        <w:rPr>
          <w:rFonts w:eastAsia="Calibri" w:cs="Times New Roman"/>
          <w:szCs w:val="24"/>
        </w:rPr>
        <w:t>diş için gingival indeks belirlenmiştir.</w:t>
      </w:r>
    </w:p>
    <w:p w14:paraId="1FC3420F" w14:textId="61885F20" w:rsidR="007E55E8" w:rsidRPr="000A40E6" w:rsidRDefault="007E55E8" w:rsidP="00F756C3">
      <w:pPr>
        <w:tabs>
          <w:tab w:val="left" w:pos="2055"/>
        </w:tabs>
        <w:suppressAutoHyphens/>
        <w:spacing w:after="120"/>
        <w:rPr>
          <w:rFonts w:eastAsia="Calibri" w:cs="Times New Roman"/>
          <w:szCs w:val="24"/>
        </w:rPr>
      </w:pPr>
      <w:r w:rsidRPr="000A40E6">
        <w:rPr>
          <w:rFonts w:eastAsia="Calibri" w:cs="Times New Roman"/>
          <w:b/>
          <w:szCs w:val="24"/>
        </w:rPr>
        <w:t>0.1-</w:t>
      </w:r>
      <w:proofErr w:type="gramStart"/>
      <w:r w:rsidRPr="000A40E6">
        <w:rPr>
          <w:rFonts w:eastAsia="Calibri" w:cs="Times New Roman"/>
          <w:b/>
          <w:szCs w:val="24"/>
        </w:rPr>
        <w:t>1.0</w:t>
      </w:r>
      <w:proofErr w:type="gramEnd"/>
      <w:r w:rsidR="000E2004" w:rsidRPr="000A40E6">
        <w:rPr>
          <w:rFonts w:eastAsia="Calibri" w:cs="Times New Roman"/>
          <w:szCs w:val="24"/>
        </w:rPr>
        <w:t>: H</w:t>
      </w:r>
      <w:r w:rsidR="009A1B88" w:rsidRPr="000A40E6">
        <w:rPr>
          <w:rFonts w:eastAsia="Calibri" w:cs="Times New Roman"/>
          <w:szCs w:val="24"/>
        </w:rPr>
        <w:t>afif inflamasyon,</w:t>
      </w:r>
    </w:p>
    <w:p w14:paraId="20CA0D85" w14:textId="4841AC0E" w:rsidR="007E55E8" w:rsidRPr="000A40E6" w:rsidRDefault="007E55E8" w:rsidP="00F756C3">
      <w:pPr>
        <w:tabs>
          <w:tab w:val="left" w:pos="2055"/>
        </w:tabs>
        <w:suppressAutoHyphens/>
        <w:spacing w:after="120"/>
        <w:rPr>
          <w:rFonts w:eastAsia="Calibri" w:cs="Times New Roman"/>
          <w:szCs w:val="24"/>
        </w:rPr>
      </w:pPr>
      <w:r w:rsidRPr="000A40E6">
        <w:rPr>
          <w:rFonts w:eastAsia="Calibri" w:cs="Times New Roman"/>
          <w:b/>
          <w:szCs w:val="24"/>
        </w:rPr>
        <w:t>1.1-</w:t>
      </w:r>
      <w:proofErr w:type="gramStart"/>
      <w:r w:rsidRPr="000A40E6">
        <w:rPr>
          <w:rFonts w:eastAsia="Calibri" w:cs="Times New Roman"/>
          <w:b/>
          <w:szCs w:val="24"/>
        </w:rPr>
        <w:t>2.0</w:t>
      </w:r>
      <w:proofErr w:type="gramEnd"/>
      <w:r w:rsidR="000E2004" w:rsidRPr="000A40E6">
        <w:rPr>
          <w:rFonts w:eastAsia="Calibri" w:cs="Times New Roman"/>
          <w:szCs w:val="24"/>
        </w:rPr>
        <w:t>: O</w:t>
      </w:r>
      <w:r w:rsidR="009A1B88" w:rsidRPr="000A40E6">
        <w:rPr>
          <w:rFonts w:eastAsia="Calibri" w:cs="Times New Roman"/>
          <w:szCs w:val="24"/>
        </w:rPr>
        <w:t>rta derecede inflamasyon,</w:t>
      </w:r>
    </w:p>
    <w:p w14:paraId="2D011D7B" w14:textId="3CEE978D" w:rsidR="00333379" w:rsidRPr="000A40E6" w:rsidRDefault="007E55E8" w:rsidP="00F756C3">
      <w:pPr>
        <w:tabs>
          <w:tab w:val="left" w:pos="2055"/>
        </w:tabs>
        <w:suppressAutoHyphens/>
        <w:spacing w:after="120"/>
        <w:rPr>
          <w:rFonts w:eastAsia="Calibri" w:cs="Times New Roman"/>
          <w:szCs w:val="24"/>
        </w:rPr>
      </w:pPr>
      <w:r w:rsidRPr="000A40E6">
        <w:rPr>
          <w:rFonts w:eastAsia="Calibri" w:cs="Times New Roman"/>
          <w:b/>
          <w:szCs w:val="24"/>
        </w:rPr>
        <w:t>2.1-</w:t>
      </w:r>
      <w:proofErr w:type="gramStart"/>
      <w:r w:rsidRPr="000A40E6">
        <w:rPr>
          <w:rFonts w:eastAsia="Calibri" w:cs="Times New Roman"/>
          <w:b/>
          <w:szCs w:val="24"/>
        </w:rPr>
        <w:t>3.0</w:t>
      </w:r>
      <w:proofErr w:type="gramEnd"/>
      <w:r w:rsidR="000E2004" w:rsidRPr="000A40E6">
        <w:rPr>
          <w:rFonts w:eastAsia="Calibri" w:cs="Times New Roman"/>
          <w:szCs w:val="24"/>
        </w:rPr>
        <w:t>: Ş</w:t>
      </w:r>
      <w:r w:rsidRPr="000A40E6">
        <w:rPr>
          <w:rFonts w:eastAsia="Calibri" w:cs="Times New Roman"/>
          <w:szCs w:val="24"/>
        </w:rPr>
        <w:t xml:space="preserve">iddetli inflamasyonu ifade </w:t>
      </w:r>
      <w:r w:rsidR="009A1B88" w:rsidRPr="000A40E6">
        <w:rPr>
          <w:rFonts w:eastAsia="Calibri" w:cs="Times New Roman"/>
          <w:szCs w:val="24"/>
        </w:rPr>
        <w:t>etmektedir</w:t>
      </w:r>
      <w:r w:rsidR="00F13C00" w:rsidRPr="000A40E6">
        <w:rPr>
          <w:rFonts w:eastAsia="Calibri" w:cs="Times New Roman"/>
          <w:szCs w:val="24"/>
        </w:rPr>
        <w:t xml:space="preserve"> (Lö</w:t>
      </w:r>
      <w:r w:rsidR="009A4879" w:rsidRPr="000A40E6">
        <w:rPr>
          <w:rFonts w:eastAsia="Calibri" w:cs="Times New Roman"/>
          <w:szCs w:val="24"/>
        </w:rPr>
        <w:t>e ve Silness, 1963).</w:t>
      </w:r>
    </w:p>
    <w:p w14:paraId="2838CB0D" w14:textId="77777777" w:rsidR="00981CFE" w:rsidRPr="000A40E6" w:rsidRDefault="00981CFE" w:rsidP="00F756C3">
      <w:pPr>
        <w:tabs>
          <w:tab w:val="left" w:pos="2055"/>
        </w:tabs>
        <w:suppressAutoHyphens/>
        <w:spacing w:after="120"/>
        <w:rPr>
          <w:rFonts w:eastAsia="Calibri" w:cs="Times New Roman"/>
          <w:szCs w:val="24"/>
        </w:rPr>
      </w:pPr>
    </w:p>
    <w:p w14:paraId="6FC37A64" w14:textId="77777777" w:rsidR="007E55E8" w:rsidRPr="000A40E6" w:rsidRDefault="007E55E8" w:rsidP="00F756C3">
      <w:pPr>
        <w:suppressAutoHyphens/>
        <w:spacing w:after="120"/>
        <w:ind w:firstLine="0"/>
        <w:rPr>
          <w:rFonts w:cs="Times New Roman"/>
          <w:b/>
          <w:szCs w:val="24"/>
        </w:rPr>
      </w:pPr>
      <w:bookmarkStart w:id="107" w:name="_Toc136443418"/>
      <w:r w:rsidRPr="000A40E6">
        <w:rPr>
          <w:rFonts w:cs="Times New Roman"/>
          <w:b/>
          <w:szCs w:val="24"/>
        </w:rPr>
        <w:t>3.4.4. Sondlama Derinliğinin Ölçülmesi</w:t>
      </w:r>
      <w:bookmarkEnd w:id="107"/>
    </w:p>
    <w:p w14:paraId="393B4C6F" w14:textId="77777777" w:rsidR="007E55E8" w:rsidRPr="000A40E6" w:rsidRDefault="007E55E8" w:rsidP="00F756C3">
      <w:pPr>
        <w:suppressAutoHyphens/>
        <w:spacing w:after="120"/>
        <w:rPr>
          <w:rFonts w:eastAsia="Calibri" w:cs="Times New Roman"/>
          <w:b/>
          <w:szCs w:val="24"/>
          <w:lang w:val="en-GB"/>
        </w:rPr>
      </w:pPr>
    </w:p>
    <w:p w14:paraId="104AC88F" w14:textId="27DE7444" w:rsidR="00BD0E9F" w:rsidRPr="000A40E6" w:rsidRDefault="007E55E8" w:rsidP="00F756C3">
      <w:pPr>
        <w:suppressAutoHyphens/>
        <w:spacing w:after="120"/>
        <w:rPr>
          <w:rFonts w:eastAsia="Calibri" w:cs="Times New Roman"/>
          <w:szCs w:val="24"/>
          <w:lang w:val="en-GB"/>
        </w:rPr>
      </w:pPr>
      <w:proofErr w:type="gramStart"/>
      <w:r w:rsidRPr="000A40E6">
        <w:rPr>
          <w:rFonts w:eastAsia="Calibri" w:cs="Times New Roman"/>
          <w:szCs w:val="24"/>
          <w:lang w:val="en-GB"/>
        </w:rPr>
        <w:t>Hastalardan T0,</w:t>
      </w:r>
      <w:r w:rsidR="00302527" w:rsidRPr="000A40E6">
        <w:rPr>
          <w:rFonts w:eastAsia="Calibri" w:cs="Times New Roman"/>
          <w:szCs w:val="24"/>
          <w:lang w:val="en-GB"/>
        </w:rPr>
        <w:t xml:space="preserve"> </w:t>
      </w:r>
      <w:r w:rsidRPr="000A40E6">
        <w:rPr>
          <w:rFonts w:eastAsia="Calibri" w:cs="Times New Roman"/>
          <w:szCs w:val="24"/>
          <w:lang w:val="en-GB"/>
        </w:rPr>
        <w:t>T1,</w:t>
      </w:r>
      <w:r w:rsidR="00302527" w:rsidRPr="000A40E6">
        <w:rPr>
          <w:rFonts w:eastAsia="Calibri" w:cs="Times New Roman"/>
          <w:szCs w:val="24"/>
          <w:lang w:val="en-GB"/>
        </w:rPr>
        <w:t xml:space="preserve"> T2</w:t>
      </w:r>
      <w:r w:rsidRPr="000A40E6">
        <w:rPr>
          <w:rFonts w:eastAsia="Calibri" w:cs="Times New Roman"/>
          <w:szCs w:val="24"/>
          <w:lang w:val="en-GB"/>
        </w:rPr>
        <w:t xml:space="preserve"> ve T3 zamanlarındaki DOS toplama işleminden hemen sonra maksiller 1.</w:t>
      </w:r>
      <w:proofErr w:type="gramEnd"/>
      <w:r w:rsidRPr="000A40E6">
        <w:rPr>
          <w:rFonts w:eastAsia="Calibri" w:cs="Times New Roman"/>
          <w:szCs w:val="24"/>
          <w:lang w:val="en-GB"/>
        </w:rPr>
        <w:t xml:space="preserve"> molar dişin fasiyal, mezial, distal ve lingual cep derinlikleri, üzerinde milimetri</w:t>
      </w:r>
      <w:r w:rsidR="00B53783" w:rsidRPr="000A40E6">
        <w:rPr>
          <w:rFonts w:eastAsia="Calibri" w:cs="Times New Roman"/>
          <w:szCs w:val="24"/>
          <w:lang w:val="en-GB"/>
        </w:rPr>
        <w:t xml:space="preserve">k çizgileri olan </w:t>
      </w:r>
      <w:r w:rsidR="0075771B" w:rsidRPr="000A40E6">
        <w:rPr>
          <w:rFonts w:eastAsia="Calibri" w:cs="Times New Roman"/>
          <w:szCs w:val="24"/>
          <w:lang w:val="en-GB"/>
        </w:rPr>
        <w:t>Williams</w:t>
      </w:r>
      <w:r w:rsidR="00B53783" w:rsidRPr="000A40E6">
        <w:rPr>
          <w:rFonts w:eastAsia="Calibri" w:cs="Times New Roman"/>
          <w:szCs w:val="24"/>
          <w:lang w:val="en-GB"/>
        </w:rPr>
        <w:t xml:space="preserve"> periodontal</w:t>
      </w:r>
      <w:r w:rsidR="0075771B" w:rsidRPr="000A40E6">
        <w:rPr>
          <w:rFonts w:eastAsia="Calibri" w:cs="Times New Roman"/>
          <w:szCs w:val="24"/>
          <w:lang w:val="en-GB"/>
        </w:rPr>
        <w:t xml:space="preserve"> </w:t>
      </w:r>
      <w:r w:rsidRPr="000A40E6">
        <w:rPr>
          <w:rFonts w:eastAsia="Calibri" w:cs="Times New Roman"/>
          <w:szCs w:val="24"/>
          <w:lang w:val="en-GB"/>
        </w:rPr>
        <w:t>sondu (Hu Friedy, Chicago, Illinois, ABD) ile, sulkusta dişin uzun eksenine paralel olacak şekilde konumlandırılarak herhangi bir basınç uygulanmadan ölçülmüştür</w:t>
      </w:r>
      <w:r w:rsidR="00662885" w:rsidRPr="000A40E6">
        <w:rPr>
          <w:rFonts w:eastAsia="Calibri" w:cs="Times New Roman"/>
          <w:szCs w:val="24"/>
          <w:lang w:val="en-GB"/>
        </w:rPr>
        <w:t xml:space="preserve"> (Topal ve diğerleri, 2019)</w:t>
      </w:r>
      <w:r w:rsidRPr="000A40E6">
        <w:rPr>
          <w:rFonts w:eastAsia="Calibri" w:cs="Times New Roman"/>
          <w:szCs w:val="24"/>
          <w:lang w:val="en-GB"/>
        </w:rPr>
        <w:t>.</w:t>
      </w:r>
    </w:p>
    <w:p w14:paraId="4F29BBC0" w14:textId="4075D531" w:rsidR="004F402A" w:rsidRPr="000A40E6" w:rsidRDefault="002B06E6" w:rsidP="00F756C3">
      <w:pPr>
        <w:suppressAutoHyphens/>
        <w:spacing w:after="120"/>
        <w:rPr>
          <w:rFonts w:eastAsia="Calibri" w:cs="Times New Roman"/>
          <w:szCs w:val="24"/>
          <w:lang w:val="en-GB"/>
        </w:rPr>
      </w:pPr>
      <w:r w:rsidRPr="000A40E6">
        <w:rPr>
          <w:rFonts w:cs="Times New Roman"/>
          <w:szCs w:val="24"/>
        </w:rPr>
        <w:t>Sond</w:t>
      </w:r>
      <w:r w:rsidR="000B1825" w:rsidRPr="000A40E6">
        <w:rPr>
          <w:rFonts w:cs="Times New Roman"/>
          <w:szCs w:val="24"/>
        </w:rPr>
        <w:t>lanabilir cep derinliği (PD), serbest diş</w:t>
      </w:r>
      <w:r w:rsidR="00BD0E9F" w:rsidRPr="000A40E6">
        <w:rPr>
          <w:rFonts w:cs="Times New Roman"/>
          <w:szCs w:val="24"/>
        </w:rPr>
        <w:t xml:space="preserve"> </w:t>
      </w:r>
      <w:r w:rsidR="000B1825" w:rsidRPr="000A40E6">
        <w:rPr>
          <w:rFonts w:cs="Times New Roman"/>
          <w:szCs w:val="24"/>
        </w:rPr>
        <w:t xml:space="preserve">eti kenarından cep tabanına kadar olan mesafedir. Hastalığın o anlık durumu hakkında bilgi verir (Newman ve diğerleri, </w:t>
      </w:r>
      <w:r w:rsidR="00BD0E9F" w:rsidRPr="000A40E6">
        <w:rPr>
          <w:rFonts w:cs="Times New Roman"/>
          <w:szCs w:val="24"/>
        </w:rPr>
        <w:t>2015).</w:t>
      </w:r>
      <w:r w:rsidR="000B1825" w:rsidRPr="000A40E6">
        <w:rPr>
          <w:rFonts w:cs="Times New Roman"/>
          <w:szCs w:val="24"/>
        </w:rPr>
        <w:t xml:space="preserve"> </w:t>
      </w:r>
      <w:r w:rsidRPr="000A40E6">
        <w:rPr>
          <w:rFonts w:eastAsia="Calibri" w:cs="Times New Roman"/>
          <w:noProof/>
          <w:szCs w:val="24"/>
          <w:lang w:eastAsia="tr-TR"/>
        </w:rPr>
        <w:t>Sond</w:t>
      </w:r>
      <w:r w:rsidR="004F402A" w:rsidRPr="000A40E6">
        <w:rPr>
          <w:rFonts w:eastAsia="Calibri" w:cs="Times New Roman"/>
          <w:noProof/>
          <w:szCs w:val="24"/>
          <w:lang w:eastAsia="tr-TR"/>
        </w:rPr>
        <w:t>lanabilir cep derinliği evreleri Tablo 3’de verilmiştir.</w:t>
      </w:r>
    </w:p>
    <w:p w14:paraId="7E1321F8" w14:textId="77777777" w:rsidR="002D6EB2" w:rsidRPr="000A40E6" w:rsidRDefault="002D6EB2" w:rsidP="00F756C3">
      <w:pPr>
        <w:suppressAutoHyphens/>
        <w:spacing w:after="120"/>
        <w:rPr>
          <w:rFonts w:cs="Times New Roman"/>
          <w:szCs w:val="24"/>
        </w:rPr>
      </w:pPr>
    </w:p>
    <w:p w14:paraId="41968104" w14:textId="13262CEA" w:rsidR="007E55E8" w:rsidRPr="000A40E6" w:rsidRDefault="00F43AD0" w:rsidP="00F756C3">
      <w:pPr>
        <w:pStyle w:val="ResimYazs"/>
        <w:suppressAutoHyphens/>
        <w:spacing w:before="120" w:after="120" w:line="360" w:lineRule="auto"/>
        <w:ind w:left="567" w:hanging="567"/>
        <w:jc w:val="both"/>
        <w:rPr>
          <w:rFonts w:eastAsia="Calibri" w:cs="Times New Roman"/>
          <w:b w:val="0"/>
          <w:color w:val="auto"/>
          <w:sz w:val="24"/>
          <w:szCs w:val="24"/>
          <w:lang w:val="en-GB"/>
        </w:rPr>
      </w:pPr>
      <w:bookmarkStart w:id="108" w:name="_Toc136383395"/>
      <w:r w:rsidRPr="000A40E6">
        <w:rPr>
          <w:rFonts w:cs="Times New Roman"/>
          <w:color w:val="auto"/>
          <w:sz w:val="24"/>
          <w:szCs w:val="24"/>
        </w:rPr>
        <w:t xml:space="preserve">Tablo </w:t>
      </w:r>
      <w:r w:rsidR="003F42DA" w:rsidRPr="000A40E6">
        <w:rPr>
          <w:rFonts w:cs="Times New Roman"/>
          <w:noProof/>
          <w:color w:val="auto"/>
          <w:sz w:val="24"/>
          <w:szCs w:val="24"/>
        </w:rPr>
        <w:t>3</w:t>
      </w:r>
      <w:r w:rsidRPr="000A40E6">
        <w:rPr>
          <w:rFonts w:cs="Times New Roman"/>
          <w:color w:val="auto"/>
          <w:sz w:val="24"/>
          <w:szCs w:val="24"/>
        </w:rPr>
        <w:t xml:space="preserve">. </w:t>
      </w:r>
      <w:r w:rsidR="002B06E6" w:rsidRPr="000A40E6">
        <w:rPr>
          <w:rFonts w:eastAsia="Calibri" w:cs="Times New Roman"/>
          <w:b w:val="0"/>
          <w:noProof/>
          <w:color w:val="auto"/>
          <w:sz w:val="24"/>
          <w:szCs w:val="24"/>
          <w:lang w:eastAsia="tr-TR"/>
        </w:rPr>
        <w:t>Sond</w:t>
      </w:r>
      <w:r w:rsidR="008E34F4" w:rsidRPr="000A40E6">
        <w:rPr>
          <w:rFonts w:eastAsia="Calibri" w:cs="Times New Roman"/>
          <w:b w:val="0"/>
          <w:noProof/>
          <w:color w:val="auto"/>
          <w:sz w:val="24"/>
          <w:szCs w:val="24"/>
          <w:lang w:eastAsia="tr-TR"/>
        </w:rPr>
        <w:t>lanabilir cep derinliği e</w:t>
      </w:r>
      <w:r w:rsidR="00E05A74" w:rsidRPr="000A40E6">
        <w:rPr>
          <w:rFonts w:eastAsia="Calibri" w:cs="Times New Roman"/>
          <w:b w:val="0"/>
          <w:noProof/>
          <w:color w:val="auto"/>
          <w:sz w:val="24"/>
          <w:szCs w:val="24"/>
          <w:lang w:eastAsia="tr-TR"/>
        </w:rPr>
        <w:t>vreleri</w:t>
      </w:r>
      <w:r w:rsidR="003A7598" w:rsidRPr="000A40E6">
        <w:rPr>
          <w:rFonts w:eastAsia="Calibri" w:cs="Times New Roman"/>
          <w:b w:val="0"/>
          <w:noProof/>
          <w:color w:val="auto"/>
          <w:sz w:val="24"/>
          <w:szCs w:val="24"/>
          <w:lang w:eastAsia="tr-TR"/>
        </w:rPr>
        <w:t>.</w:t>
      </w:r>
      <w:bookmarkEnd w:id="108"/>
    </w:p>
    <w:tbl>
      <w:tblPr>
        <w:tblStyle w:val="TabloKlavuzu1"/>
        <w:tblW w:w="8505" w:type="dxa"/>
        <w:jc w:val="center"/>
        <w:tblLook w:val="04A0" w:firstRow="1" w:lastRow="0" w:firstColumn="1" w:lastColumn="0" w:noHBand="0" w:noVBand="1"/>
      </w:tblPr>
      <w:tblGrid>
        <w:gridCol w:w="1844"/>
        <w:gridCol w:w="6661"/>
      </w:tblGrid>
      <w:tr w:rsidR="007E55E8" w:rsidRPr="000A40E6" w14:paraId="57127DD0" w14:textId="77777777" w:rsidTr="00F756C3">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45E03B03" w14:textId="77777777" w:rsidR="007E55E8" w:rsidRPr="000A40E6" w:rsidRDefault="007E55E8" w:rsidP="00F756C3">
            <w:pPr>
              <w:suppressAutoHyphens/>
              <w:spacing w:line="240" w:lineRule="atLeast"/>
              <w:ind w:firstLine="0"/>
              <w:jc w:val="center"/>
              <w:rPr>
                <w:b/>
                <w:sz w:val="20"/>
                <w:szCs w:val="20"/>
                <w:lang w:val="en-GB"/>
              </w:rPr>
            </w:pPr>
            <w:r w:rsidRPr="000A40E6">
              <w:rPr>
                <w:b/>
                <w:sz w:val="20"/>
                <w:szCs w:val="20"/>
                <w:lang w:val="en-GB"/>
              </w:rPr>
              <w:t>Değer</w:t>
            </w:r>
          </w:p>
        </w:tc>
        <w:tc>
          <w:tcPr>
            <w:tcW w:w="6661" w:type="dxa"/>
            <w:tcBorders>
              <w:top w:val="single" w:sz="4" w:space="0" w:color="auto"/>
              <w:left w:val="single" w:sz="4" w:space="0" w:color="auto"/>
              <w:bottom w:val="single" w:sz="4" w:space="0" w:color="auto"/>
              <w:right w:val="single" w:sz="4" w:space="0" w:color="auto"/>
            </w:tcBorders>
            <w:hideMark/>
          </w:tcPr>
          <w:p w14:paraId="4644C3A5" w14:textId="77777777" w:rsidR="007E55E8" w:rsidRPr="000A40E6" w:rsidRDefault="007E55E8" w:rsidP="00F756C3">
            <w:pPr>
              <w:suppressAutoHyphens/>
              <w:spacing w:line="240" w:lineRule="atLeast"/>
              <w:ind w:firstLine="0"/>
              <w:jc w:val="center"/>
              <w:rPr>
                <w:b/>
                <w:sz w:val="20"/>
                <w:szCs w:val="20"/>
                <w:lang w:val="en-GB"/>
              </w:rPr>
            </w:pPr>
            <w:r w:rsidRPr="000A40E6">
              <w:rPr>
                <w:b/>
                <w:sz w:val="20"/>
                <w:szCs w:val="20"/>
                <w:lang w:val="en-GB"/>
              </w:rPr>
              <w:t>Hastalığın Evresi</w:t>
            </w:r>
          </w:p>
        </w:tc>
      </w:tr>
      <w:tr w:rsidR="007E55E8" w:rsidRPr="000A40E6" w14:paraId="15852516" w14:textId="77777777" w:rsidTr="00F756C3">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7B716B7A" w14:textId="77777777" w:rsidR="007E55E8" w:rsidRPr="000A40E6" w:rsidRDefault="007E55E8" w:rsidP="00F756C3">
            <w:pPr>
              <w:suppressAutoHyphens/>
              <w:spacing w:line="240" w:lineRule="atLeast"/>
              <w:ind w:firstLine="0"/>
              <w:jc w:val="center"/>
              <w:rPr>
                <w:noProof/>
                <w:sz w:val="20"/>
                <w:szCs w:val="20"/>
                <w:lang w:eastAsia="tr-TR"/>
              </w:rPr>
            </w:pPr>
            <w:r w:rsidRPr="000A40E6">
              <w:rPr>
                <w:b/>
                <w:noProof/>
                <w:sz w:val="20"/>
                <w:szCs w:val="20"/>
                <w:lang w:eastAsia="tr-TR"/>
              </w:rPr>
              <w:t>0-3 mm</w:t>
            </w:r>
          </w:p>
        </w:tc>
        <w:tc>
          <w:tcPr>
            <w:tcW w:w="6661" w:type="dxa"/>
            <w:tcBorders>
              <w:top w:val="single" w:sz="4" w:space="0" w:color="auto"/>
              <w:left w:val="single" w:sz="4" w:space="0" w:color="auto"/>
              <w:bottom w:val="single" w:sz="4" w:space="0" w:color="auto"/>
              <w:right w:val="single" w:sz="4" w:space="0" w:color="auto"/>
            </w:tcBorders>
            <w:hideMark/>
          </w:tcPr>
          <w:p w14:paraId="49351C22" w14:textId="77777777" w:rsidR="007E55E8" w:rsidRPr="000A40E6" w:rsidRDefault="007E55E8" w:rsidP="00F756C3">
            <w:pPr>
              <w:suppressAutoHyphens/>
              <w:spacing w:line="240" w:lineRule="atLeast"/>
              <w:ind w:firstLine="0"/>
              <w:jc w:val="left"/>
              <w:rPr>
                <w:noProof/>
                <w:sz w:val="20"/>
                <w:szCs w:val="20"/>
                <w:lang w:eastAsia="tr-TR"/>
              </w:rPr>
            </w:pPr>
            <w:r w:rsidRPr="000A40E6">
              <w:rPr>
                <w:noProof/>
                <w:sz w:val="20"/>
                <w:szCs w:val="20"/>
                <w:lang w:eastAsia="tr-TR"/>
              </w:rPr>
              <w:t>Sağlıklı/hastalığın başlangıç evresi</w:t>
            </w:r>
          </w:p>
        </w:tc>
      </w:tr>
      <w:tr w:rsidR="007E55E8" w:rsidRPr="000A40E6" w14:paraId="1F2CED37" w14:textId="77777777" w:rsidTr="00F756C3">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2FEC8393" w14:textId="77777777" w:rsidR="007E55E8" w:rsidRPr="000A40E6" w:rsidRDefault="007E55E8" w:rsidP="00F756C3">
            <w:pPr>
              <w:suppressAutoHyphens/>
              <w:spacing w:line="240" w:lineRule="atLeast"/>
              <w:ind w:firstLine="0"/>
              <w:jc w:val="center"/>
              <w:rPr>
                <w:noProof/>
                <w:sz w:val="20"/>
                <w:szCs w:val="20"/>
                <w:lang w:eastAsia="tr-TR"/>
              </w:rPr>
            </w:pPr>
            <w:r w:rsidRPr="000A40E6">
              <w:rPr>
                <w:b/>
                <w:noProof/>
                <w:sz w:val="20"/>
                <w:szCs w:val="20"/>
                <w:lang w:eastAsia="tr-TR"/>
              </w:rPr>
              <w:t>4-6 mm</w:t>
            </w:r>
          </w:p>
        </w:tc>
        <w:tc>
          <w:tcPr>
            <w:tcW w:w="6661" w:type="dxa"/>
            <w:tcBorders>
              <w:top w:val="single" w:sz="4" w:space="0" w:color="auto"/>
              <w:left w:val="single" w:sz="4" w:space="0" w:color="auto"/>
              <w:bottom w:val="single" w:sz="4" w:space="0" w:color="auto"/>
              <w:right w:val="single" w:sz="4" w:space="0" w:color="auto"/>
            </w:tcBorders>
            <w:hideMark/>
          </w:tcPr>
          <w:p w14:paraId="1F807C4A" w14:textId="77777777" w:rsidR="007E55E8" w:rsidRPr="000A40E6" w:rsidRDefault="007E55E8" w:rsidP="00F756C3">
            <w:pPr>
              <w:suppressAutoHyphens/>
              <w:spacing w:line="240" w:lineRule="atLeast"/>
              <w:ind w:firstLine="0"/>
              <w:jc w:val="left"/>
              <w:rPr>
                <w:noProof/>
                <w:sz w:val="20"/>
                <w:szCs w:val="20"/>
                <w:lang w:eastAsia="tr-TR"/>
              </w:rPr>
            </w:pPr>
            <w:r w:rsidRPr="000A40E6">
              <w:rPr>
                <w:noProof/>
                <w:sz w:val="20"/>
                <w:szCs w:val="20"/>
                <w:lang w:eastAsia="tr-TR"/>
              </w:rPr>
              <w:t>Orta-ileri evre</w:t>
            </w:r>
          </w:p>
        </w:tc>
      </w:tr>
      <w:tr w:rsidR="007E55E8" w:rsidRPr="000A40E6" w14:paraId="6544D93D" w14:textId="77777777" w:rsidTr="00F756C3">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99511A7" w14:textId="77777777" w:rsidR="007E55E8" w:rsidRPr="000A40E6" w:rsidRDefault="007E55E8" w:rsidP="00F756C3">
            <w:pPr>
              <w:suppressAutoHyphens/>
              <w:spacing w:line="240" w:lineRule="atLeast"/>
              <w:ind w:firstLine="0"/>
              <w:jc w:val="center"/>
              <w:rPr>
                <w:noProof/>
                <w:sz w:val="20"/>
                <w:szCs w:val="20"/>
                <w:lang w:eastAsia="tr-TR"/>
              </w:rPr>
            </w:pPr>
            <w:r w:rsidRPr="000A40E6">
              <w:rPr>
                <w:b/>
                <w:noProof/>
                <w:sz w:val="20"/>
                <w:szCs w:val="20"/>
                <w:lang w:eastAsia="tr-TR"/>
              </w:rPr>
              <w:t>&gt;7 mm</w:t>
            </w:r>
          </w:p>
        </w:tc>
        <w:tc>
          <w:tcPr>
            <w:tcW w:w="6661" w:type="dxa"/>
            <w:tcBorders>
              <w:top w:val="single" w:sz="4" w:space="0" w:color="auto"/>
              <w:left w:val="single" w:sz="4" w:space="0" w:color="auto"/>
              <w:bottom w:val="single" w:sz="4" w:space="0" w:color="auto"/>
              <w:right w:val="single" w:sz="4" w:space="0" w:color="auto"/>
            </w:tcBorders>
            <w:hideMark/>
          </w:tcPr>
          <w:p w14:paraId="06D2EFC4" w14:textId="1C1F1C43" w:rsidR="007E55E8" w:rsidRPr="000A40E6" w:rsidRDefault="007E55E8" w:rsidP="00F756C3">
            <w:pPr>
              <w:suppressAutoHyphens/>
              <w:spacing w:line="240" w:lineRule="atLeast"/>
              <w:ind w:firstLine="0"/>
              <w:jc w:val="left"/>
              <w:rPr>
                <w:noProof/>
                <w:sz w:val="20"/>
                <w:szCs w:val="20"/>
                <w:lang w:eastAsia="tr-TR"/>
              </w:rPr>
            </w:pPr>
            <w:r w:rsidRPr="000A40E6">
              <w:rPr>
                <w:noProof/>
                <w:sz w:val="20"/>
                <w:szCs w:val="20"/>
                <w:lang w:eastAsia="tr-TR"/>
              </w:rPr>
              <w:t>Çok ileri hastalık durumu</w:t>
            </w:r>
          </w:p>
        </w:tc>
      </w:tr>
    </w:tbl>
    <w:p w14:paraId="76E3A656" w14:textId="77777777" w:rsidR="00EC425A" w:rsidRPr="000A40E6" w:rsidRDefault="00EC425A" w:rsidP="00F756C3">
      <w:pPr>
        <w:suppressAutoHyphens/>
        <w:spacing w:after="120"/>
        <w:rPr>
          <w:rFonts w:eastAsia="Calibri" w:cs="Times New Roman"/>
          <w:noProof/>
          <w:szCs w:val="24"/>
          <w:lang w:eastAsia="tr-TR"/>
        </w:rPr>
      </w:pPr>
    </w:p>
    <w:p w14:paraId="16712CA7" w14:textId="708BFBB9" w:rsidR="007E55E8" w:rsidRPr="000A40E6" w:rsidRDefault="007E55E8" w:rsidP="00F756C3">
      <w:pPr>
        <w:suppressAutoHyphens/>
        <w:spacing w:after="120"/>
        <w:ind w:firstLine="0"/>
        <w:rPr>
          <w:rFonts w:cs="Times New Roman"/>
          <w:b/>
          <w:szCs w:val="24"/>
        </w:rPr>
      </w:pPr>
      <w:bookmarkStart w:id="109" w:name="_Toc136443419"/>
      <w:r w:rsidRPr="000A40E6">
        <w:rPr>
          <w:rFonts w:cs="Times New Roman"/>
          <w:b/>
          <w:szCs w:val="24"/>
        </w:rPr>
        <w:t>3.4.5. Sondlama Sırasında Kanama</w:t>
      </w:r>
      <w:r w:rsidR="0021173D" w:rsidRPr="000A40E6">
        <w:rPr>
          <w:rFonts w:cs="Times New Roman"/>
          <w:b/>
          <w:szCs w:val="24"/>
        </w:rPr>
        <w:t>nın Ölçülmesi</w:t>
      </w:r>
      <w:bookmarkEnd w:id="109"/>
    </w:p>
    <w:p w14:paraId="0ECABC71" w14:textId="77777777" w:rsidR="007E55E8" w:rsidRPr="000A40E6" w:rsidRDefault="007E55E8" w:rsidP="00F756C3">
      <w:pPr>
        <w:suppressAutoHyphens/>
        <w:spacing w:after="120"/>
        <w:rPr>
          <w:rFonts w:eastAsia="Calibri" w:cs="Times New Roman"/>
          <w:b/>
          <w:szCs w:val="24"/>
          <w:lang w:val="en-GB"/>
        </w:rPr>
      </w:pPr>
    </w:p>
    <w:p w14:paraId="129BC1E4" w14:textId="7AFA4AE9" w:rsidR="00541DBD" w:rsidRPr="000A40E6" w:rsidRDefault="007E55E8" w:rsidP="00F756C3">
      <w:pPr>
        <w:suppressAutoHyphens/>
        <w:spacing w:after="120"/>
        <w:rPr>
          <w:rFonts w:eastAsia="Calibri" w:cs="Times New Roman"/>
          <w:szCs w:val="24"/>
          <w:lang w:val="en-GB"/>
        </w:rPr>
      </w:pPr>
      <w:proofErr w:type="gramStart"/>
      <w:r w:rsidRPr="000A40E6">
        <w:rPr>
          <w:rFonts w:eastAsia="Calibri" w:cs="Times New Roman"/>
          <w:szCs w:val="24"/>
          <w:lang w:val="en-GB"/>
        </w:rPr>
        <w:t>Hastalardan T0,</w:t>
      </w:r>
      <w:r w:rsidR="00710907" w:rsidRPr="000A40E6">
        <w:rPr>
          <w:rFonts w:eastAsia="Calibri" w:cs="Times New Roman"/>
          <w:szCs w:val="24"/>
          <w:lang w:val="en-GB"/>
        </w:rPr>
        <w:t xml:space="preserve"> </w:t>
      </w:r>
      <w:r w:rsidRPr="000A40E6">
        <w:rPr>
          <w:rFonts w:eastAsia="Calibri" w:cs="Times New Roman"/>
          <w:szCs w:val="24"/>
          <w:lang w:val="en-GB"/>
        </w:rPr>
        <w:t>T1,</w:t>
      </w:r>
      <w:r w:rsidR="00710907" w:rsidRPr="000A40E6">
        <w:rPr>
          <w:rFonts w:eastAsia="Calibri" w:cs="Times New Roman"/>
          <w:szCs w:val="24"/>
          <w:lang w:val="en-GB"/>
        </w:rPr>
        <w:t xml:space="preserve"> T2</w:t>
      </w:r>
      <w:r w:rsidRPr="000A40E6">
        <w:rPr>
          <w:rFonts w:eastAsia="Calibri" w:cs="Times New Roman"/>
          <w:szCs w:val="24"/>
          <w:lang w:val="en-GB"/>
        </w:rPr>
        <w:t xml:space="preserve"> ve T3 zamanlarındaki DOS toplama işleminden hemen sonra</w:t>
      </w:r>
      <w:r w:rsidR="00C30218" w:rsidRPr="000A40E6">
        <w:rPr>
          <w:rFonts w:eastAsia="Calibri" w:cs="Times New Roman"/>
          <w:szCs w:val="24"/>
          <w:lang w:val="en-GB"/>
        </w:rPr>
        <w:t xml:space="preserve">     sondlamada kanama yüzdesi </w:t>
      </w:r>
      <w:r w:rsidRPr="000A40E6">
        <w:rPr>
          <w:rFonts w:eastAsia="Calibri" w:cs="Times New Roman"/>
          <w:szCs w:val="24"/>
          <w:lang w:val="en-GB"/>
        </w:rPr>
        <w:t>(%BOP)</w:t>
      </w:r>
      <w:r w:rsidR="00C30218" w:rsidRPr="000A40E6">
        <w:rPr>
          <w:rFonts w:eastAsia="Calibri" w:cs="Times New Roman"/>
          <w:szCs w:val="24"/>
          <w:lang w:val="en-GB"/>
        </w:rPr>
        <w:t>,</w:t>
      </w:r>
      <w:r w:rsidRPr="000A40E6">
        <w:rPr>
          <w:rFonts w:eastAsia="Calibri" w:cs="Times New Roman"/>
          <w:szCs w:val="24"/>
          <w:lang w:val="en-GB"/>
        </w:rPr>
        <w:t xml:space="preserve"> kanama varlığına göre </w:t>
      </w:r>
      <w:r w:rsidR="00A7648F" w:rsidRPr="000A40E6">
        <w:rPr>
          <w:rFonts w:eastAsia="Calibri" w:cs="Times New Roman"/>
          <w:szCs w:val="24"/>
          <w:lang w:val="en-GB"/>
        </w:rPr>
        <w:t xml:space="preserve">kaydedilerek </w:t>
      </w:r>
      <w:r w:rsidRPr="000A40E6">
        <w:rPr>
          <w:rFonts w:eastAsia="Calibri" w:cs="Times New Roman"/>
          <w:szCs w:val="24"/>
          <w:lang w:val="en-GB"/>
        </w:rPr>
        <w:t>kanama olan bölgelerin yüzdesi olarak</w:t>
      </w:r>
      <w:r w:rsidR="00A7648F" w:rsidRPr="000A40E6">
        <w:rPr>
          <w:rFonts w:eastAsia="Calibri" w:cs="Times New Roman"/>
          <w:szCs w:val="24"/>
          <w:lang w:val="en-GB"/>
        </w:rPr>
        <w:t xml:space="preserve"> verilmiştir (Ainamo ve Bay, 1975)</w:t>
      </w:r>
      <w:r w:rsidRPr="000A40E6">
        <w:rPr>
          <w:rFonts w:eastAsia="Calibri" w:cs="Times New Roman"/>
          <w:szCs w:val="24"/>
          <w:lang w:val="en-GB"/>
        </w:rPr>
        <w:t>.</w:t>
      </w:r>
      <w:proofErr w:type="gramEnd"/>
      <w:r w:rsidRPr="000A40E6">
        <w:rPr>
          <w:rFonts w:eastAsia="Calibri" w:cs="Times New Roman"/>
          <w:szCs w:val="24"/>
          <w:lang w:val="en-GB"/>
        </w:rPr>
        <w:t xml:space="preserve"> Künt bir periodontal sond diş eti sulkusu boyunca gezdirilmiştir ve 10 ile 15 saniye içinde kanama meydana gelirs</w:t>
      </w:r>
      <w:r w:rsidR="00E50AE5" w:rsidRPr="000A40E6">
        <w:rPr>
          <w:rFonts w:eastAsia="Calibri" w:cs="Times New Roman"/>
          <w:szCs w:val="24"/>
          <w:lang w:val="en-GB"/>
        </w:rPr>
        <w:t>e, pozitif bir skor verilmiştir (Tablo 4).</w:t>
      </w:r>
    </w:p>
    <w:p w14:paraId="0001D42C" w14:textId="77777777" w:rsidR="00F756C3" w:rsidRPr="000A40E6" w:rsidRDefault="00F756C3" w:rsidP="00F756C3">
      <w:pPr>
        <w:pStyle w:val="ResimYazs"/>
        <w:suppressAutoHyphens/>
        <w:spacing w:before="120" w:after="120" w:line="360" w:lineRule="auto"/>
        <w:ind w:left="567" w:hanging="567"/>
        <w:jc w:val="both"/>
        <w:rPr>
          <w:rFonts w:cs="Times New Roman"/>
          <w:color w:val="auto"/>
          <w:sz w:val="24"/>
          <w:szCs w:val="24"/>
        </w:rPr>
      </w:pPr>
      <w:bookmarkStart w:id="110" w:name="_Toc136383396"/>
    </w:p>
    <w:p w14:paraId="5C5242F4" w14:textId="0F064C05" w:rsidR="00B77A83" w:rsidRPr="000A40E6" w:rsidRDefault="00E774A3" w:rsidP="00F756C3">
      <w:pPr>
        <w:pStyle w:val="ResimYazs"/>
        <w:suppressAutoHyphens/>
        <w:spacing w:before="120" w:after="120" w:line="360" w:lineRule="auto"/>
        <w:ind w:left="567" w:hanging="567"/>
        <w:jc w:val="both"/>
        <w:rPr>
          <w:rFonts w:eastAsia="Calibri" w:cs="Times New Roman"/>
          <w:color w:val="auto"/>
          <w:sz w:val="24"/>
          <w:szCs w:val="24"/>
          <w:lang w:val="en-GB"/>
        </w:rPr>
      </w:pPr>
      <w:r w:rsidRPr="000A40E6">
        <w:rPr>
          <w:rFonts w:cs="Times New Roman"/>
          <w:color w:val="auto"/>
          <w:sz w:val="24"/>
          <w:szCs w:val="24"/>
        </w:rPr>
        <w:t xml:space="preserve">Tablo </w:t>
      </w:r>
      <w:r w:rsidR="003F42DA" w:rsidRPr="000A40E6">
        <w:rPr>
          <w:rFonts w:cs="Times New Roman"/>
          <w:noProof/>
          <w:color w:val="auto"/>
          <w:sz w:val="24"/>
          <w:szCs w:val="24"/>
        </w:rPr>
        <w:t>4</w:t>
      </w:r>
      <w:r w:rsidRPr="000A40E6">
        <w:rPr>
          <w:rFonts w:cs="Times New Roman"/>
          <w:color w:val="auto"/>
          <w:sz w:val="24"/>
          <w:szCs w:val="24"/>
        </w:rPr>
        <w:t xml:space="preserve">. </w:t>
      </w:r>
      <w:r w:rsidR="00DE226D" w:rsidRPr="000A40E6">
        <w:rPr>
          <w:rFonts w:eastAsia="Calibri" w:cs="Times New Roman"/>
          <w:b w:val="0"/>
          <w:color w:val="auto"/>
          <w:sz w:val="24"/>
          <w:szCs w:val="24"/>
          <w:lang w:val="en-GB"/>
        </w:rPr>
        <w:t>Sondlamada sırasında kanama v</w:t>
      </w:r>
      <w:r w:rsidR="00854778" w:rsidRPr="000A40E6">
        <w:rPr>
          <w:rFonts w:eastAsia="Calibri" w:cs="Times New Roman"/>
          <w:b w:val="0"/>
          <w:color w:val="auto"/>
          <w:sz w:val="24"/>
          <w:szCs w:val="24"/>
          <w:lang w:val="en-GB"/>
        </w:rPr>
        <w:t>arlığı</w:t>
      </w:r>
      <w:r w:rsidR="003A7598" w:rsidRPr="000A40E6">
        <w:rPr>
          <w:rFonts w:eastAsia="Calibri" w:cs="Times New Roman"/>
          <w:b w:val="0"/>
          <w:color w:val="auto"/>
          <w:sz w:val="24"/>
          <w:szCs w:val="24"/>
          <w:lang w:val="en-GB"/>
        </w:rPr>
        <w:t>.</w:t>
      </w:r>
      <w:bookmarkEnd w:id="110"/>
    </w:p>
    <w:tbl>
      <w:tblPr>
        <w:tblStyle w:val="TabloKlavuzu1"/>
        <w:tblW w:w="8505" w:type="dxa"/>
        <w:jc w:val="center"/>
        <w:tblLook w:val="04A0" w:firstRow="1" w:lastRow="0" w:firstColumn="1" w:lastColumn="0" w:noHBand="0" w:noVBand="1"/>
      </w:tblPr>
      <w:tblGrid>
        <w:gridCol w:w="1844"/>
        <w:gridCol w:w="6661"/>
      </w:tblGrid>
      <w:tr w:rsidR="008204E4" w:rsidRPr="000A40E6" w14:paraId="5EDC635C" w14:textId="77777777" w:rsidTr="00F756C3">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5893D4BA" w14:textId="34B2E2B0" w:rsidR="008204E4" w:rsidRPr="000A40E6" w:rsidRDefault="00F64584" w:rsidP="00F756C3">
            <w:pPr>
              <w:suppressAutoHyphens/>
              <w:spacing w:line="240" w:lineRule="atLeast"/>
              <w:ind w:firstLine="0"/>
              <w:jc w:val="center"/>
              <w:rPr>
                <w:b/>
                <w:sz w:val="20"/>
                <w:szCs w:val="20"/>
                <w:lang w:val="en-GB"/>
              </w:rPr>
            </w:pPr>
            <w:r w:rsidRPr="000A40E6">
              <w:rPr>
                <w:b/>
                <w:sz w:val="20"/>
                <w:szCs w:val="20"/>
                <w:lang w:val="en-GB"/>
              </w:rPr>
              <w:t>Skor</w:t>
            </w:r>
          </w:p>
        </w:tc>
        <w:tc>
          <w:tcPr>
            <w:tcW w:w="6661" w:type="dxa"/>
            <w:tcBorders>
              <w:top w:val="single" w:sz="4" w:space="0" w:color="auto"/>
              <w:left w:val="single" w:sz="4" w:space="0" w:color="auto"/>
              <w:bottom w:val="single" w:sz="4" w:space="0" w:color="auto"/>
              <w:right w:val="single" w:sz="4" w:space="0" w:color="auto"/>
            </w:tcBorders>
            <w:hideMark/>
          </w:tcPr>
          <w:p w14:paraId="3A54B624" w14:textId="24290911" w:rsidR="008204E4" w:rsidRPr="000A40E6" w:rsidRDefault="00B77A83" w:rsidP="00F756C3">
            <w:pPr>
              <w:suppressAutoHyphens/>
              <w:spacing w:line="240" w:lineRule="atLeast"/>
              <w:ind w:firstLine="0"/>
              <w:jc w:val="center"/>
              <w:rPr>
                <w:b/>
                <w:sz w:val="20"/>
                <w:szCs w:val="20"/>
                <w:lang w:val="en-GB"/>
              </w:rPr>
            </w:pPr>
            <w:r w:rsidRPr="000A40E6">
              <w:rPr>
                <w:b/>
                <w:sz w:val="20"/>
                <w:szCs w:val="20"/>
                <w:lang w:val="en-GB"/>
              </w:rPr>
              <w:t>Kanama</w:t>
            </w:r>
            <w:r w:rsidR="00854778" w:rsidRPr="000A40E6">
              <w:rPr>
                <w:b/>
                <w:sz w:val="20"/>
                <w:szCs w:val="20"/>
                <w:lang w:val="en-GB"/>
              </w:rPr>
              <w:t xml:space="preserve"> Varlığı</w:t>
            </w:r>
          </w:p>
        </w:tc>
      </w:tr>
      <w:tr w:rsidR="008204E4" w:rsidRPr="000A40E6" w14:paraId="0E6695A2" w14:textId="77777777" w:rsidTr="00F756C3">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47DCA9EC" w14:textId="7E999E37" w:rsidR="008204E4" w:rsidRPr="000A40E6" w:rsidRDefault="00F64584" w:rsidP="00F756C3">
            <w:pPr>
              <w:suppressAutoHyphens/>
              <w:spacing w:line="240" w:lineRule="atLeast"/>
              <w:ind w:firstLine="0"/>
              <w:jc w:val="center"/>
              <w:rPr>
                <w:noProof/>
                <w:sz w:val="20"/>
                <w:szCs w:val="20"/>
                <w:lang w:eastAsia="tr-TR"/>
              </w:rPr>
            </w:pPr>
            <w:r w:rsidRPr="000A40E6">
              <w:rPr>
                <w:b/>
                <w:noProof/>
                <w:sz w:val="20"/>
                <w:szCs w:val="20"/>
                <w:lang w:eastAsia="tr-TR"/>
              </w:rPr>
              <w:t>(+)</w:t>
            </w:r>
            <w:r w:rsidR="008151DE" w:rsidRPr="000A40E6">
              <w:rPr>
                <w:b/>
                <w:noProof/>
                <w:sz w:val="20"/>
                <w:szCs w:val="20"/>
                <w:lang w:eastAsia="tr-TR"/>
              </w:rPr>
              <w:t xml:space="preserve"> </w:t>
            </w:r>
            <w:r w:rsidR="00822CA9" w:rsidRPr="000A40E6">
              <w:rPr>
                <w:b/>
                <w:noProof/>
                <w:sz w:val="20"/>
                <w:szCs w:val="20"/>
                <w:lang w:eastAsia="tr-TR"/>
              </w:rPr>
              <w:t>: 1</w:t>
            </w:r>
          </w:p>
        </w:tc>
        <w:tc>
          <w:tcPr>
            <w:tcW w:w="6661" w:type="dxa"/>
            <w:tcBorders>
              <w:top w:val="single" w:sz="4" w:space="0" w:color="auto"/>
              <w:left w:val="single" w:sz="4" w:space="0" w:color="auto"/>
              <w:bottom w:val="single" w:sz="4" w:space="0" w:color="auto"/>
              <w:right w:val="single" w:sz="4" w:space="0" w:color="auto"/>
            </w:tcBorders>
            <w:hideMark/>
          </w:tcPr>
          <w:p w14:paraId="776F92FB" w14:textId="2C192D8F" w:rsidR="008204E4" w:rsidRPr="000A40E6" w:rsidRDefault="0082787D" w:rsidP="00F756C3">
            <w:pPr>
              <w:suppressAutoHyphens/>
              <w:spacing w:line="240" w:lineRule="atLeast"/>
              <w:ind w:firstLine="0"/>
              <w:jc w:val="left"/>
              <w:rPr>
                <w:noProof/>
                <w:sz w:val="20"/>
                <w:szCs w:val="20"/>
                <w:lang w:eastAsia="tr-TR"/>
              </w:rPr>
            </w:pPr>
            <w:r w:rsidRPr="000A40E6">
              <w:rPr>
                <w:sz w:val="20"/>
                <w:szCs w:val="20"/>
                <w:lang w:val="en-GB"/>
              </w:rPr>
              <w:t>Sondlamada kanama var</w:t>
            </w:r>
          </w:p>
        </w:tc>
      </w:tr>
      <w:tr w:rsidR="008204E4" w:rsidRPr="000A40E6" w14:paraId="5DE6987A" w14:textId="77777777" w:rsidTr="00F756C3">
        <w:trPr>
          <w:trHeight w:val="20"/>
          <w:jc w:val="center"/>
        </w:trPr>
        <w:tc>
          <w:tcPr>
            <w:tcW w:w="1844" w:type="dxa"/>
            <w:tcBorders>
              <w:top w:val="single" w:sz="4" w:space="0" w:color="auto"/>
              <w:left w:val="single" w:sz="4" w:space="0" w:color="auto"/>
              <w:bottom w:val="single" w:sz="4" w:space="0" w:color="auto"/>
              <w:right w:val="single" w:sz="4" w:space="0" w:color="auto"/>
            </w:tcBorders>
            <w:hideMark/>
          </w:tcPr>
          <w:p w14:paraId="1087114A" w14:textId="6657968B" w:rsidR="008204E4" w:rsidRPr="000A40E6" w:rsidRDefault="00F64584" w:rsidP="00F756C3">
            <w:pPr>
              <w:suppressAutoHyphens/>
              <w:spacing w:line="240" w:lineRule="atLeast"/>
              <w:ind w:firstLine="0"/>
              <w:jc w:val="center"/>
              <w:rPr>
                <w:noProof/>
                <w:sz w:val="20"/>
                <w:szCs w:val="20"/>
                <w:lang w:eastAsia="tr-TR"/>
              </w:rPr>
            </w:pPr>
            <w:r w:rsidRPr="000A40E6">
              <w:rPr>
                <w:b/>
                <w:noProof/>
                <w:sz w:val="20"/>
                <w:szCs w:val="20"/>
                <w:lang w:eastAsia="tr-TR"/>
              </w:rPr>
              <w:t>(-)</w:t>
            </w:r>
            <w:r w:rsidR="00822CA9" w:rsidRPr="000A40E6">
              <w:rPr>
                <w:b/>
                <w:noProof/>
                <w:sz w:val="20"/>
                <w:szCs w:val="20"/>
                <w:lang w:eastAsia="tr-TR"/>
              </w:rPr>
              <w:t xml:space="preserve">  : 0</w:t>
            </w:r>
          </w:p>
        </w:tc>
        <w:tc>
          <w:tcPr>
            <w:tcW w:w="6661" w:type="dxa"/>
            <w:tcBorders>
              <w:top w:val="single" w:sz="4" w:space="0" w:color="auto"/>
              <w:left w:val="single" w:sz="4" w:space="0" w:color="auto"/>
              <w:bottom w:val="single" w:sz="4" w:space="0" w:color="auto"/>
              <w:right w:val="single" w:sz="4" w:space="0" w:color="auto"/>
            </w:tcBorders>
            <w:hideMark/>
          </w:tcPr>
          <w:p w14:paraId="28AF0885" w14:textId="7159430C" w:rsidR="008204E4" w:rsidRPr="000A40E6" w:rsidRDefault="00413C04" w:rsidP="00F756C3">
            <w:pPr>
              <w:suppressAutoHyphens/>
              <w:spacing w:line="240" w:lineRule="atLeast"/>
              <w:ind w:firstLine="0"/>
              <w:jc w:val="left"/>
              <w:rPr>
                <w:sz w:val="20"/>
                <w:szCs w:val="20"/>
                <w:lang w:val="en-GB"/>
              </w:rPr>
            </w:pPr>
            <w:r w:rsidRPr="000A40E6">
              <w:rPr>
                <w:sz w:val="20"/>
                <w:szCs w:val="20"/>
                <w:lang w:val="en-GB"/>
              </w:rPr>
              <w:t>Sondlamada kanama yok</w:t>
            </w:r>
          </w:p>
        </w:tc>
      </w:tr>
    </w:tbl>
    <w:p w14:paraId="7D9D240D" w14:textId="77777777" w:rsidR="00AC1A3D" w:rsidRPr="000A40E6" w:rsidRDefault="00AC1A3D" w:rsidP="00F756C3">
      <w:pPr>
        <w:suppressAutoHyphens/>
        <w:spacing w:after="120"/>
        <w:rPr>
          <w:rFonts w:eastAsia="Calibri" w:cs="Times New Roman"/>
          <w:szCs w:val="24"/>
          <w:lang w:val="en-GB"/>
        </w:rPr>
      </w:pPr>
    </w:p>
    <w:p w14:paraId="6868170B" w14:textId="7C48DCDB" w:rsidR="00561169" w:rsidRPr="000A40E6" w:rsidRDefault="007E55E8" w:rsidP="00F756C3">
      <w:pPr>
        <w:suppressAutoHyphens/>
        <w:spacing w:after="120"/>
        <w:rPr>
          <w:rFonts w:eastAsia="Calibri" w:cs="Times New Roman"/>
          <w:szCs w:val="24"/>
          <w:lang w:val="en-GB"/>
        </w:rPr>
      </w:pPr>
      <w:proofErr w:type="gramStart"/>
      <w:r w:rsidRPr="000A40E6">
        <w:rPr>
          <w:rFonts w:eastAsia="Calibri" w:cs="Times New Roman"/>
          <w:szCs w:val="24"/>
          <w:lang w:val="en-GB"/>
        </w:rPr>
        <w:t>Pozitif birim sayısı incelenen yüzey sayısına bölünmüştür ve sonuç 100 ile çarpılarak, indeks yüzde olarak ifade edilmiştir.</w:t>
      </w:r>
      <w:proofErr w:type="gramEnd"/>
    </w:p>
    <w:p w14:paraId="3F0B22A7" w14:textId="77777777" w:rsidR="002D6EB2" w:rsidRPr="000A40E6" w:rsidRDefault="002D6EB2" w:rsidP="00F756C3">
      <w:pPr>
        <w:suppressAutoHyphens/>
        <w:spacing w:after="120"/>
        <w:rPr>
          <w:rFonts w:eastAsia="Calibri" w:cs="Times New Roman"/>
          <w:szCs w:val="24"/>
          <w:lang w:val="en-GB"/>
        </w:rPr>
      </w:pPr>
    </w:p>
    <w:p w14:paraId="12908896" w14:textId="2B07B20D" w:rsidR="00872853" w:rsidRPr="000A40E6" w:rsidRDefault="007E55E8" w:rsidP="00F756C3">
      <w:pPr>
        <w:suppressAutoHyphens/>
        <w:spacing w:after="120"/>
        <w:ind w:firstLine="0"/>
        <w:rPr>
          <w:rFonts w:cs="Times New Roman"/>
          <w:b/>
          <w:szCs w:val="24"/>
        </w:rPr>
      </w:pPr>
      <w:bookmarkStart w:id="111" w:name="_Toc136443420"/>
      <w:r w:rsidRPr="000A40E6">
        <w:rPr>
          <w:rFonts w:cs="Times New Roman"/>
          <w:b/>
          <w:szCs w:val="24"/>
        </w:rPr>
        <w:t xml:space="preserve">3.5. </w:t>
      </w:r>
      <w:r w:rsidR="00542C3E" w:rsidRPr="000A40E6">
        <w:rPr>
          <w:rFonts w:cs="Times New Roman"/>
          <w:b/>
          <w:szCs w:val="24"/>
        </w:rPr>
        <w:t>Biyokimyasal Analiz</w:t>
      </w:r>
      <w:r w:rsidR="00044F19" w:rsidRPr="000A40E6">
        <w:rPr>
          <w:rFonts w:cs="Times New Roman"/>
          <w:b/>
          <w:szCs w:val="24"/>
        </w:rPr>
        <w:t>ler</w:t>
      </w:r>
      <w:bookmarkEnd w:id="111"/>
    </w:p>
    <w:p w14:paraId="2BBBFD84" w14:textId="77777777" w:rsidR="00C53568" w:rsidRPr="000A40E6" w:rsidRDefault="00C53568" w:rsidP="00F756C3">
      <w:pPr>
        <w:suppressAutoHyphens/>
        <w:spacing w:after="120"/>
        <w:rPr>
          <w:rFonts w:eastAsia="Calibri" w:cs="Times New Roman"/>
          <w:b/>
          <w:szCs w:val="24"/>
          <w:lang w:val="en-GB"/>
        </w:rPr>
      </w:pPr>
    </w:p>
    <w:p w14:paraId="04F78236" w14:textId="3A3BDF7E" w:rsidR="00B5535E" w:rsidRPr="000A40E6" w:rsidRDefault="00872853" w:rsidP="00F756C3">
      <w:pPr>
        <w:suppressAutoHyphens/>
        <w:spacing w:after="120"/>
        <w:rPr>
          <w:rFonts w:cs="Times New Roman"/>
          <w:szCs w:val="24"/>
        </w:rPr>
      </w:pPr>
      <w:r w:rsidRPr="000A40E6">
        <w:rPr>
          <w:rFonts w:eastAsia="Calibri" w:cs="Times New Roman"/>
          <w:szCs w:val="24"/>
          <w:lang w:val="en-GB"/>
        </w:rPr>
        <w:t>Analizler</w:t>
      </w:r>
      <w:proofErr w:type="gramStart"/>
      <w:r w:rsidRPr="000A40E6">
        <w:rPr>
          <w:rFonts w:eastAsia="Calibri" w:cs="Times New Roman"/>
          <w:szCs w:val="24"/>
          <w:lang w:val="en-GB"/>
        </w:rPr>
        <w:t>,  Aydın</w:t>
      </w:r>
      <w:proofErr w:type="gramEnd"/>
      <w:r w:rsidRPr="000A40E6">
        <w:rPr>
          <w:rFonts w:eastAsia="Calibri" w:cs="Times New Roman"/>
          <w:szCs w:val="24"/>
          <w:lang w:val="en-GB"/>
        </w:rPr>
        <w:t xml:space="preserve">  Adnan  Menderes  Üniversitesi  Tıp  Fakültesi  Biyokimya  Anabilim Dalı’ında gerçekleştirilmiştir. </w:t>
      </w:r>
      <w:r w:rsidRPr="000A40E6">
        <w:rPr>
          <w:rFonts w:cs="Times New Roman"/>
          <w:szCs w:val="24"/>
        </w:rPr>
        <w:t xml:space="preserve">Örneklerdeki OPG, RANKL, </w:t>
      </w:r>
      <w:r w:rsidR="00AA55DE" w:rsidRPr="000A40E6">
        <w:rPr>
          <w:rFonts w:cs="Times New Roman"/>
          <w:szCs w:val="24"/>
        </w:rPr>
        <w:t>B</w:t>
      </w:r>
      <w:r w:rsidRPr="000A40E6">
        <w:rPr>
          <w:rFonts w:cs="Times New Roman"/>
          <w:szCs w:val="24"/>
        </w:rPr>
        <w:t xml:space="preserve">ALP ve TNF-alfa düzeyleri, ticari </w:t>
      </w:r>
      <w:r w:rsidR="00F61936" w:rsidRPr="000A40E6">
        <w:rPr>
          <w:rFonts w:cs="Times New Roman"/>
          <w:szCs w:val="24"/>
        </w:rPr>
        <w:t xml:space="preserve">Enzyme Linked-Immuno-Sorbent </w:t>
      </w:r>
      <w:r w:rsidR="00CC7F03" w:rsidRPr="000A40E6">
        <w:rPr>
          <w:rFonts w:cs="Times New Roman"/>
          <w:szCs w:val="24"/>
        </w:rPr>
        <w:t>Assay</w:t>
      </w:r>
      <w:r w:rsidR="00F54626" w:rsidRPr="000A40E6">
        <w:rPr>
          <w:rFonts w:cs="Times New Roman"/>
          <w:szCs w:val="24"/>
        </w:rPr>
        <w:t xml:space="preserve"> (ELISA) kitleri </w:t>
      </w:r>
      <w:r w:rsidRPr="000A40E6">
        <w:rPr>
          <w:rFonts w:cs="Times New Roman"/>
          <w:szCs w:val="24"/>
        </w:rPr>
        <w:t>(</w:t>
      </w:r>
      <w:r w:rsidR="00257230" w:rsidRPr="000A40E6">
        <w:rPr>
          <w:rFonts w:cs="Times New Roman"/>
          <w:bCs/>
          <w:szCs w:val="24"/>
        </w:rPr>
        <w:t xml:space="preserve">BT Lab, </w:t>
      </w:r>
      <w:r w:rsidR="00257230" w:rsidRPr="000A40E6">
        <w:rPr>
          <w:rFonts w:cs="Times New Roman"/>
          <w:bCs/>
          <w:szCs w:val="24"/>
          <w:shd w:val="clear" w:color="auto" w:fill="FFFFFF"/>
        </w:rPr>
        <w:t>Shanghai, Çin</w:t>
      </w:r>
      <w:r w:rsidRPr="000A40E6">
        <w:rPr>
          <w:rFonts w:cs="Times New Roman"/>
          <w:szCs w:val="24"/>
        </w:rPr>
        <w:t>)</w:t>
      </w:r>
      <w:r w:rsidR="00E235CD" w:rsidRPr="000A40E6">
        <w:rPr>
          <w:rFonts w:cs="Times New Roman"/>
          <w:szCs w:val="24"/>
        </w:rPr>
        <w:t xml:space="preserve"> </w:t>
      </w:r>
      <w:r w:rsidRPr="000A40E6">
        <w:rPr>
          <w:rFonts w:cs="Times New Roman"/>
          <w:szCs w:val="24"/>
        </w:rPr>
        <w:t xml:space="preserve">kullanılarak üretici firmanın </w:t>
      </w:r>
      <w:proofErr w:type="gramStart"/>
      <w:r w:rsidRPr="000A40E6">
        <w:rPr>
          <w:rFonts w:cs="Times New Roman"/>
          <w:szCs w:val="24"/>
        </w:rPr>
        <w:t>prosedürüne</w:t>
      </w:r>
      <w:proofErr w:type="gramEnd"/>
      <w:r w:rsidRPr="000A40E6">
        <w:rPr>
          <w:rFonts w:cs="Times New Roman"/>
          <w:szCs w:val="24"/>
        </w:rPr>
        <w:t xml:space="preserve"> uygun olarak </w:t>
      </w:r>
      <w:r w:rsidR="00757D7A" w:rsidRPr="000A40E6">
        <w:rPr>
          <w:rFonts w:cs="Times New Roman"/>
          <w:szCs w:val="24"/>
        </w:rPr>
        <w:t>ölçülmüştür (Resim 14).</w:t>
      </w:r>
    </w:p>
    <w:p w14:paraId="029432E6" w14:textId="26B0C469" w:rsidR="00872853" w:rsidRPr="000A40E6" w:rsidRDefault="00872853" w:rsidP="00F756C3">
      <w:pPr>
        <w:suppressAutoHyphens/>
        <w:spacing w:line="240" w:lineRule="atLeast"/>
        <w:ind w:firstLine="0"/>
        <w:jc w:val="center"/>
        <w:rPr>
          <w:rFonts w:eastAsia="Calibri" w:cs="Times New Roman"/>
          <w:szCs w:val="24"/>
          <w:lang w:val="en-GB"/>
        </w:rPr>
      </w:pPr>
      <w:r w:rsidRPr="000A40E6">
        <w:rPr>
          <w:rFonts w:eastAsia="Calibri" w:cs="Times New Roman"/>
          <w:noProof/>
          <w:szCs w:val="24"/>
          <w:lang w:eastAsia="tr-TR"/>
        </w:rPr>
        <w:drawing>
          <wp:inline distT="0" distB="0" distL="0" distR="0" wp14:anchorId="2253FE68" wp14:editId="68882A5F">
            <wp:extent cx="4320000" cy="3077089"/>
            <wp:effectExtent l="0" t="0" r="4445" b="9525"/>
            <wp:docPr id="14" name="Picture 14" descr="C:\Users\HP\Desktop\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it.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143" t="13495" r="6858" b="10390"/>
                    <a:stretch/>
                  </pic:blipFill>
                  <pic:spPr bwMode="auto">
                    <a:xfrm>
                      <a:off x="0" y="0"/>
                      <a:ext cx="4320000" cy="3077089"/>
                    </a:xfrm>
                    <a:prstGeom prst="rect">
                      <a:avLst/>
                    </a:prstGeom>
                    <a:noFill/>
                    <a:ln>
                      <a:noFill/>
                    </a:ln>
                    <a:extLst>
                      <a:ext uri="{53640926-AAD7-44D8-BBD7-CCE9431645EC}">
                        <a14:shadowObscured xmlns:a14="http://schemas.microsoft.com/office/drawing/2010/main"/>
                      </a:ext>
                    </a:extLst>
                  </pic:spPr>
                </pic:pic>
              </a:graphicData>
            </a:graphic>
          </wp:inline>
        </w:drawing>
      </w:r>
    </w:p>
    <w:p w14:paraId="0A715E07" w14:textId="75993658" w:rsidR="00872853" w:rsidRPr="000A40E6" w:rsidRDefault="00114E74" w:rsidP="00F756C3">
      <w:pPr>
        <w:pStyle w:val="ResimYazs"/>
        <w:suppressAutoHyphens/>
        <w:spacing w:before="120" w:after="120" w:line="360" w:lineRule="auto"/>
        <w:ind w:left="567" w:hanging="567"/>
        <w:rPr>
          <w:rFonts w:eastAsia="Calibri" w:cs="Times New Roman"/>
          <w:b w:val="0"/>
          <w:color w:val="auto"/>
          <w:sz w:val="24"/>
          <w:szCs w:val="24"/>
          <w:lang w:val="en-GB"/>
        </w:rPr>
      </w:pPr>
      <w:bookmarkStart w:id="112" w:name="_Toc136385562"/>
      <w:bookmarkStart w:id="113" w:name="_Toc136386389"/>
      <w:r w:rsidRPr="000A40E6">
        <w:rPr>
          <w:rFonts w:cs="Times New Roman"/>
          <w:color w:val="auto"/>
          <w:sz w:val="24"/>
          <w:szCs w:val="24"/>
        </w:rPr>
        <w:t xml:space="preserve">Resim </w:t>
      </w:r>
      <w:r w:rsidR="003F42DA" w:rsidRPr="000A40E6">
        <w:rPr>
          <w:rFonts w:cs="Times New Roman"/>
          <w:noProof/>
          <w:color w:val="auto"/>
          <w:sz w:val="24"/>
          <w:szCs w:val="24"/>
        </w:rPr>
        <w:t>14</w:t>
      </w:r>
      <w:r w:rsidRPr="000A40E6">
        <w:rPr>
          <w:rFonts w:cs="Times New Roman"/>
          <w:color w:val="auto"/>
          <w:sz w:val="24"/>
          <w:szCs w:val="24"/>
        </w:rPr>
        <w:t xml:space="preserve">. </w:t>
      </w:r>
      <w:r w:rsidR="00C53568" w:rsidRPr="000A40E6">
        <w:rPr>
          <w:rFonts w:eastAsia="Calibri" w:cs="Times New Roman"/>
          <w:b w:val="0"/>
          <w:color w:val="auto"/>
          <w:sz w:val="24"/>
          <w:szCs w:val="24"/>
          <w:lang w:val="en-GB"/>
        </w:rPr>
        <w:t xml:space="preserve">Çalışmada kullanılan </w:t>
      </w:r>
      <w:r w:rsidR="00872853" w:rsidRPr="000A40E6">
        <w:rPr>
          <w:rFonts w:eastAsia="Calibri" w:cs="Times New Roman"/>
          <w:b w:val="0"/>
          <w:color w:val="auto"/>
          <w:sz w:val="24"/>
          <w:szCs w:val="24"/>
          <w:lang w:val="en-GB"/>
        </w:rPr>
        <w:t>Elisa kiti</w:t>
      </w:r>
      <w:r w:rsidR="002877D8" w:rsidRPr="000A40E6">
        <w:rPr>
          <w:rFonts w:eastAsia="Calibri" w:cs="Times New Roman"/>
          <w:b w:val="0"/>
          <w:color w:val="auto"/>
          <w:sz w:val="24"/>
          <w:szCs w:val="24"/>
          <w:lang w:val="en-GB"/>
        </w:rPr>
        <w:t>.</w:t>
      </w:r>
      <w:bookmarkEnd w:id="112"/>
      <w:bookmarkEnd w:id="113"/>
    </w:p>
    <w:p w14:paraId="6BE66904" w14:textId="77777777" w:rsidR="00AC4D1E" w:rsidRPr="000A40E6" w:rsidRDefault="00AC4D1E" w:rsidP="00F756C3">
      <w:pPr>
        <w:suppressAutoHyphens/>
        <w:spacing w:after="120"/>
        <w:rPr>
          <w:rFonts w:eastAsia="Calibri" w:cs="Times New Roman"/>
          <w:szCs w:val="24"/>
          <w:lang w:val="en-GB"/>
        </w:rPr>
      </w:pPr>
    </w:p>
    <w:p w14:paraId="7E90F206" w14:textId="77777777" w:rsidR="00872853" w:rsidRPr="000A40E6" w:rsidRDefault="00872853" w:rsidP="00F756C3">
      <w:pPr>
        <w:suppressAutoHyphens/>
        <w:spacing w:after="120"/>
        <w:ind w:firstLine="0"/>
        <w:rPr>
          <w:rFonts w:cs="Times New Roman"/>
          <w:b/>
          <w:szCs w:val="24"/>
        </w:rPr>
      </w:pPr>
      <w:bookmarkStart w:id="114" w:name="_Toc136443421"/>
      <w:r w:rsidRPr="000A40E6">
        <w:rPr>
          <w:rFonts w:cs="Times New Roman"/>
          <w:b/>
          <w:szCs w:val="24"/>
        </w:rPr>
        <w:t>3.5.1. Diş Eti Oluğu Sıvısı Örneklerinin Analizi</w:t>
      </w:r>
      <w:bookmarkEnd w:id="114"/>
    </w:p>
    <w:p w14:paraId="35D59AD6" w14:textId="77777777" w:rsidR="00756260" w:rsidRPr="000A40E6" w:rsidRDefault="00756260" w:rsidP="00F756C3">
      <w:pPr>
        <w:suppressAutoHyphens/>
        <w:spacing w:after="120"/>
        <w:rPr>
          <w:rFonts w:eastAsia="Calibri" w:cs="Times New Roman"/>
          <w:b/>
          <w:szCs w:val="24"/>
          <w:lang w:val="en-GB"/>
        </w:rPr>
      </w:pPr>
    </w:p>
    <w:p w14:paraId="711D01D4" w14:textId="666BAE68" w:rsidR="00872853" w:rsidRPr="000A40E6" w:rsidRDefault="00872853" w:rsidP="00F756C3">
      <w:pPr>
        <w:suppressAutoHyphens/>
        <w:spacing w:after="120"/>
        <w:rPr>
          <w:rFonts w:eastAsia="Calibri" w:cs="Times New Roman"/>
          <w:bCs/>
          <w:szCs w:val="24"/>
          <w:lang w:val="en-GB"/>
        </w:rPr>
      </w:pPr>
      <w:r w:rsidRPr="000A40E6">
        <w:rPr>
          <w:rFonts w:eastAsia="Calibri" w:cs="Times New Roman"/>
          <w:bCs/>
          <w:szCs w:val="24"/>
          <w:lang w:val="en-GB"/>
        </w:rPr>
        <w:t xml:space="preserve">Diş eti oluğu sıvıları membran </w:t>
      </w:r>
      <w:r w:rsidR="0064172F" w:rsidRPr="000A40E6">
        <w:rPr>
          <w:rFonts w:eastAsia="Calibri" w:cs="Times New Roman"/>
          <w:bCs/>
          <w:szCs w:val="24"/>
          <w:lang w:val="en-GB"/>
        </w:rPr>
        <w:t>üzerine emdirildikten sonra e</w:t>
      </w:r>
      <w:r w:rsidRPr="000A40E6">
        <w:rPr>
          <w:rFonts w:eastAsia="Calibri" w:cs="Times New Roman"/>
          <w:bCs/>
          <w:szCs w:val="24"/>
          <w:lang w:val="en-GB"/>
        </w:rPr>
        <w:t>p</w:t>
      </w:r>
      <w:r w:rsidR="00497CC0" w:rsidRPr="000A40E6">
        <w:rPr>
          <w:rFonts w:eastAsia="Calibri" w:cs="Times New Roman"/>
          <w:bCs/>
          <w:szCs w:val="24"/>
          <w:lang w:val="en-GB"/>
        </w:rPr>
        <w:t>p</w:t>
      </w:r>
      <w:r w:rsidRPr="000A40E6">
        <w:rPr>
          <w:rFonts w:eastAsia="Calibri" w:cs="Times New Roman"/>
          <w:bCs/>
          <w:szCs w:val="24"/>
          <w:lang w:val="en-GB"/>
        </w:rPr>
        <w:t>endorf tüplere alın</w:t>
      </w:r>
      <w:r w:rsidR="001A565F" w:rsidRPr="000A40E6">
        <w:rPr>
          <w:rFonts w:eastAsia="Calibri" w:cs="Times New Roman"/>
          <w:bCs/>
          <w:szCs w:val="24"/>
          <w:lang w:val="en-GB"/>
        </w:rPr>
        <w:t>mıştır</w:t>
      </w:r>
      <w:r w:rsidRPr="000A40E6">
        <w:rPr>
          <w:rFonts w:eastAsia="Calibri" w:cs="Times New Roman"/>
          <w:bCs/>
          <w:szCs w:val="24"/>
          <w:lang w:val="en-GB"/>
        </w:rPr>
        <w:t>. Membranların üzerinde 250 µL pH=7 100 mM fosfat tampon eklenerek numuneler vortekslen</w:t>
      </w:r>
      <w:r w:rsidR="00F47962" w:rsidRPr="000A40E6">
        <w:rPr>
          <w:rFonts w:eastAsia="Calibri" w:cs="Times New Roman"/>
          <w:bCs/>
          <w:szCs w:val="24"/>
          <w:lang w:val="en-GB"/>
        </w:rPr>
        <w:t>miştir</w:t>
      </w:r>
      <w:r w:rsidR="00537F6F" w:rsidRPr="000A40E6">
        <w:rPr>
          <w:rFonts w:eastAsia="Calibri" w:cs="Times New Roman"/>
          <w:bCs/>
          <w:szCs w:val="24"/>
          <w:lang w:val="en-GB"/>
        </w:rPr>
        <w:t xml:space="preserve">. </w:t>
      </w:r>
      <w:proofErr w:type="gramStart"/>
      <w:r w:rsidRPr="000A40E6">
        <w:rPr>
          <w:rFonts w:eastAsia="Calibri" w:cs="Times New Roman"/>
          <w:bCs/>
          <w:szCs w:val="24"/>
          <w:lang w:val="en-GB"/>
        </w:rPr>
        <w:t xml:space="preserve">Membranlardan makromoleküllerin </w:t>
      </w:r>
      <w:r w:rsidR="00CE6C29" w:rsidRPr="000A40E6">
        <w:rPr>
          <w:rFonts w:eastAsia="Calibri" w:cs="Times New Roman"/>
          <w:bCs/>
          <w:szCs w:val="24"/>
          <w:lang w:val="en-GB"/>
        </w:rPr>
        <w:t>fosfat tamponuna geçmesi için, e</w:t>
      </w:r>
      <w:r w:rsidR="00537F6F" w:rsidRPr="000A40E6">
        <w:rPr>
          <w:rFonts w:eastAsia="Calibri" w:cs="Times New Roman"/>
          <w:bCs/>
          <w:szCs w:val="24"/>
          <w:lang w:val="en-GB"/>
        </w:rPr>
        <w:t>ppen</w:t>
      </w:r>
      <w:r w:rsidRPr="000A40E6">
        <w:rPr>
          <w:rFonts w:eastAsia="Calibri" w:cs="Times New Roman"/>
          <w:bCs/>
          <w:szCs w:val="24"/>
          <w:lang w:val="en-GB"/>
        </w:rPr>
        <w:t>dorf tüpler 2 saat oda sıcaklığında inkübe edil</w:t>
      </w:r>
      <w:r w:rsidR="00F47962" w:rsidRPr="000A40E6">
        <w:rPr>
          <w:rFonts w:eastAsia="Calibri" w:cs="Times New Roman"/>
          <w:bCs/>
          <w:szCs w:val="24"/>
          <w:lang w:val="en-GB"/>
        </w:rPr>
        <w:t>miştir</w:t>
      </w:r>
      <w:r w:rsidRPr="000A40E6">
        <w:rPr>
          <w:rFonts w:eastAsia="Calibri" w:cs="Times New Roman"/>
          <w:bCs/>
          <w:szCs w:val="24"/>
          <w:lang w:val="en-GB"/>
        </w:rPr>
        <w:t>.</w:t>
      </w:r>
      <w:proofErr w:type="gramEnd"/>
      <w:r w:rsidRPr="000A40E6">
        <w:rPr>
          <w:rFonts w:eastAsia="Calibri" w:cs="Times New Roman"/>
          <w:bCs/>
          <w:szCs w:val="24"/>
          <w:lang w:val="en-GB"/>
        </w:rPr>
        <w:t xml:space="preserve"> </w:t>
      </w:r>
      <w:proofErr w:type="gramStart"/>
      <w:r w:rsidRPr="000A40E6">
        <w:rPr>
          <w:rFonts w:eastAsia="Calibri" w:cs="Times New Roman"/>
          <w:bCs/>
          <w:szCs w:val="24"/>
          <w:lang w:val="en-GB"/>
        </w:rPr>
        <w:t>Numuneler 4000 rpm’de 10 dakika boyunca santrifüj edil</w:t>
      </w:r>
      <w:r w:rsidR="00C63968" w:rsidRPr="000A40E6">
        <w:rPr>
          <w:rFonts w:eastAsia="Calibri" w:cs="Times New Roman"/>
          <w:bCs/>
          <w:szCs w:val="24"/>
          <w:lang w:val="en-GB"/>
        </w:rPr>
        <w:t>miştir (Resim 15).</w:t>
      </w:r>
      <w:proofErr w:type="gramEnd"/>
      <w:r w:rsidR="0061413C" w:rsidRPr="000A40E6">
        <w:rPr>
          <w:rFonts w:eastAsia="Calibri" w:cs="Times New Roman"/>
          <w:bCs/>
          <w:szCs w:val="24"/>
          <w:lang w:val="en-GB"/>
        </w:rPr>
        <w:t xml:space="preserve"> </w:t>
      </w:r>
      <w:proofErr w:type="gramStart"/>
      <w:r w:rsidR="00C63968" w:rsidRPr="000A40E6">
        <w:rPr>
          <w:rFonts w:eastAsia="Calibri" w:cs="Times New Roman"/>
          <w:bCs/>
          <w:szCs w:val="24"/>
          <w:lang w:val="en-GB"/>
        </w:rPr>
        <w:t>Daha</w:t>
      </w:r>
      <w:r w:rsidRPr="000A40E6">
        <w:rPr>
          <w:rFonts w:eastAsia="Calibri" w:cs="Times New Roman"/>
          <w:bCs/>
          <w:szCs w:val="24"/>
          <w:lang w:val="en-GB"/>
        </w:rPr>
        <w:t xml:space="preserve"> sonra membranlar atıl</w:t>
      </w:r>
      <w:r w:rsidR="003771D9" w:rsidRPr="000A40E6">
        <w:rPr>
          <w:rFonts w:eastAsia="Calibri" w:cs="Times New Roman"/>
          <w:bCs/>
          <w:szCs w:val="24"/>
          <w:lang w:val="en-GB"/>
        </w:rPr>
        <w:t>mıştır</w:t>
      </w:r>
      <w:r w:rsidRPr="000A40E6">
        <w:rPr>
          <w:rFonts w:eastAsia="Calibri" w:cs="Times New Roman"/>
          <w:bCs/>
          <w:szCs w:val="24"/>
          <w:lang w:val="en-GB"/>
        </w:rPr>
        <w:t xml:space="preserve"> ve supernatant Elisa ölçümleri için kullanıl</w:t>
      </w:r>
      <w:r w:rsidR="003771D9" w:rsidRPr="000A40E6">
        <w:rPr>
          <w:rFonts w:eastAsia="Calibri" w:cs="Times New Roman"/>
          <w:bCs/>
          <w:szCs w:val="24"/>
          <w:lang w:val="en-GB"/>
        </w:rPr>
        <w:t>mıştır</w:t>
      </w:r>
      <w:r w:rsidRPr="000A40E6">
        <w:rPr>
          <w:rFonts w:eastAsia="Calibri" w:cs="Times New Roman"/>
          <w:bCs/>
          <w:szCs w:val="24"/>
          <w:lang w:val="en-GB"/>
        </w:rPr>
        <w:t>.</w:t>
      </w:r>
      <w:proofErr w:type="gramEnd"/>
    </w:p>
    <w:p w14:paraId="00DC0693" w14:textId="4C0EC9CF" w:rsidR="00872853" w:rsidRPr="000A40E6" w:rsidRDefault="00872853" w:rsidP="00F756C3">
      <w:pPr>
        <w:suppressAutoHyphens/>
        <w:spacing w:line="240" w:lineRule="atLeast"/>
        <w:ind w:firstLine="0"/>
        <w:jc w:val="center"/>
        <w:rPr>
          <w:rFonts w:cs="Times New Roman"/>
          <w:szCs w:val="24"/>
        </w:rPr>
      </w:pPr>
      <w:r w:rsidRPr="000A40E6">
        <w:rPr>
          <w:rFonts w:cs="Times New Roman"/>
          <w:noProof/>
          <w:szCs w:val="24"/>
          <w:lang w:eastAsia="tr-TR"/>
        </w:rPr>
        <w:drawing>
          <wp:inline distT="0" distB="0" distL="0" distR="0" wp14:anchorId="22074D7E" wp14:editId="69746371">
            <wp:extent cx="2520000" cy="4542095"/>
            <wp:effectExtent l="0" t="0" r="0" b="0"/>
            <wp:docPr id="15" name="Resim 15" descr="C:\Users\user\Desktop\TEZ HASTALARI\TEZ FOTO\santrifüj cihaz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EZ HASTALARI\TEZ FOTO\santrifüj cihazı.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3358" t="2771" r="4105" b="1919"/>
                    <a:stretch/>
                  </pic:blipFill>
                  <pic:spPr bwMode="auto">
                    <a:xfrm>
                      <a:off x="0" y="0"/>
                      <a:ext cx="2520000" cy="4542095"/>
                    </a:xfrm>
                    <a:prstGeom prst="rect">
                      <a:avLst/>
                    </a:prstGeom>
                    <a:noFill/>
                    <a:ln>
                      <a:noFill/>
                    </a:ln>
                    <a:extLst>
                      <a:ext uri="{53640926-AAD7-44D8-BBD7-CCE9431645EC}">
                        <a14:shadowObscured xmlns:a14="http://schemas.microsoft.com/office/drawing/2010/main"/>
                      </a:ext>
                    </a:extLst>
                  </pic:spPr>
                </pic:pic>
              </a:graphicData>
            </a:graphic>
          </wp:inline>
        </w:drawing>
      </w:r>
    </w:p>
    <w:p w14:paraId="13F4DFBD" w14:textId="2C5DC35D" w:rsidR="00872853" w:rsidRPr="000A40E6" w:rsidRDefault="00114E74" w:rsidP="00F756C3">
      <w:pPr>
        <w:pStyle w:val="ResimYazs"/>
        <w:suppressAutoHyphens/>
        <w:spacing w:before="120" w:after="120" w:line="360" w:lineRule="auto"/>
        <w:ind w:left="567" w:hanging="567"/>
        <w:rPr>
          <w:rFonts w:cs="Times New Roman"/>
          <w:b w:val="0"/>
          <w:color w:val="auto"/>
          <w:sz w:val="24"/>
          <w:szCs w:val="24"/>
        </w:rPr>
      </w:pPr>
      <w:bookmarkStart w:id="115" w:name="_Toc136385563"/>
      <w:bookmarkStart w:id="116" w:name="_Toc136386390"/>
      <w:r w:rsidRPr="000A40E6">
        <w:rPr>
          <w:rFonts w:cs="Times New Roman"/>
          <w:color w:val="auto"/>
          <w:sz w:val="24"/>
          <w:szCs w:val="24"/>
        </w:rPr>
        <w:t xml:space="preserve">Resim </w:t>
      </w:r>
      <w:r w:rsidR="003F42DA" w:rsidRPr="000A40E6">
        <w:rPr>
          <w:rFonts w:cs="Times New Roman"/>
          <w:noProof/>
          <w:color w:val="auto"/>
          <w:sz w:val="24"/>
          <w:szCs w:val="24"/>
        </w:rPr>
        <w:t>15</w:t>
      </w:r>
      <w:r w:rsidRPr="000A40E6">
        <w:rPr>
          <w:rFonts w:cs="Times New Roman"/>
          <w:color w:val="auto"/>
          <w:sz w:val="24"/>
          <w:szCs w:val="24"/>
        </w:rPr>
        <w:t xml:space="preserve">. </w:t>
      </w:r>
      <w:r w:rsidR="00D843CB" w:rsidRPr="000A40E6">
        <w:rPr>
          <w:rFonts w:cs="Times New Roman"/>
          <w:b w:val="0"/>
          <w:color w:val="auto"/>
          <w:sz w:val="24"/>
          <w:szCs w:val="24"/>
        </w:rPr>
        <w:t xml:space="preserve">Çalışmada kullanılan </w:t>
      </w:r>
      <w:proofErr w:type="gramStart"/>
      <w:r w:rsidR="00D843CB" w:rsidRPr="000A40E6">
        <w:rPr>
          <w:rFonts w:cs="Times New Roman"/>
          <w:b w:val="0"/>
          <w:color w:val="auto"/>
          <w:sz w:val="24"/>
          <w:szCs w:val="24"/>
        </w:rPr>
        <w:t>s</w:t>
      </w:r>
      <w:r w:rsidR="00872853" w:rsidRPr="000A40E6">
        <w:rPr>
          <w:rFonts w:cs="Times New Roman"/>
          <w:b w:val="0"/>
          <w:color w:val="auto"/>
          <w:sz w:val="24"/>
          <w:szCs w:val="24"/>
        </w:rPr>
        <w:t>a</w:t>
      </w:r>
      <w:r w:rsidR="00A2759B" w:rsidRPr="000A40E6">
        <w:rPr>
          <w:rFonts w:cs="Times New Roman"/>
          <w:b w:val="0"/>
          <w:color w:val="auto"/>
          <w:sz w:val="24"/>
          <w:szCs w:val="24"/>
        </w:rPr>
        <w:t>ntrifüj</w:t>
      </w:r>
      <w:proofErr w:type="gramEnd"/>
      <w:r w:rsidR="00A2759B" w:rsidRPr="000A40E6">
        <w:rPr>
          <w:rFonts w:cs="Times New Roman"/>
          <w:b w:val="0"/>
          <w:color w:val="auto"/>
          <w:sz w:val="24"/>
          <w:szCs w:val="24"/>
        </w:rPr>
        <w:t xml:space="preserve"> cihazı.</w:t>
      </w:r>
      <w:bookmarkEnd w:id="115"/>
      <w:bookmarkEnd w:id="116"/>
    </w:p>
    <w:p w14:paraId="685E175F" w14:textId="77777777" w:rsidR="00872853" w:rsidRPr="000A40E6" w:rsidRDefault="00872853" w:rsidP="00F756C3">
      <w:pPr>
        <w:suppressAutoHyphens/>
        <w:spacing w:after="120"/>
        <w:rPr>
          <w:rFonts w:eastAsia="Calibri" w:cs="Times New Roman"/>
          <w:b/>
          <w:szCs w:val="24"/>
          <w:lang w:val="en-GB"/>
        </w:rPr>
      </w:pPr>
    </w:p>
    <w:p w14:paraId="7CB39367" w14:textId="25F9C6DB" w:rsidR="00872853" w:rsidRPr="000A40E6" w:rsidRDefault="00872853" w:rsidP="00F756C3">
      <w:pPr>
        <w:suppressAutoHyphens/>
        <w:spacing w:after="120"/>
        <w:ind w:firstLine="0"/>
        <w:rPr>
          <w:rFonts w:cs="Times New Roman"/>
          <w:szCs w:val="24"/>
        </w:rPr>
      </w:pPr>
      <w:bookmarkStart w:id="117" w:name="_Toc136443422"/>
      <w:r w:rsidRPr="000A40E6">
        <w:rPr>
          <w:rFonts w:cs="Times New Roman"/>
          <w:b/>
          <w:szCs w:val="24"/>
        </w:rPr>
        <w:t xml:space="preserve">3.5.1.1.  </w:t>
      </w:r>
      <w:r w:rsidR="00331D03" w:rsidRPr="000A40E6">
        <w:rPr>
          <w:rFonts w:cs="Times New Roman"/>
          <w:b/>
          <w:szCs w:val="24"/>
        </w:rPr>
        <w:t xml:space="preserve">OPG, RANKL, </w:t>
      </w:r>
      <w:r w:rsidR="00AA55DE" w:rsidRPr="000A40E6">
        <w:rPr>
          <w:rFonts w:cs="Times New Roman"/>
          <w:b/>
          <w:szCs w:val="24"/>
        </w:rPr>
        <w:t>B</w:t>
      </w:r>
      <w:r w:rsidRPr="000A40E6">
        <w:rPr>
          <w:rFonts w:cs="Times New Roman"/>
          <w:b/>
          <w:szCs w:val="24"/>
        </w:rPr>
        <w:t>ALP ve TNF-alfa Düzeylerinin Belirlenmesi</w:t>
      </w:r>
      <w:bookmarkEnd w:id="117"/>
    </w:p>
    <w:p w14:paraId="102AD0A1" w14:textId="77777777" w:rsidR="00872853" w:rsidRPr="000A40E6" w:rsidRDefault="00872853" w:rsidP="00F756C3">
      <w:pPr>
        <w:suppressAutoHyphens/>
        <w:spacing w:after="120"/>
        <w:rPr>
          <w:rFonts w:cs="Times New Roman"/>
          <w:b/>
          <w:szCs w:val="24"/>
        </w:rPr>
      </w:pPr>
    </w:p>
    <w:p w14:paraId="55926DDB" w14:textId="6E60F7F7" w:rsidR="00872853" w:rsidRPr="000A40E6" w:rsidRDefault="00872853" w:rsidP="00F756C3">
      <w:pPr>
        <w:suppressAutoHyphens/>
        <w:spacing w:after="120"/>
        <w:rPr>
          <w:rFonts w:cs="Times New Roman"/>
          <w:szCs w:val="24"/>
        </w:rPr>
      </w:pPr>
      <w:r w:rsidRPr="000A40E6">
        <w:rPr>
          <w:rFonts w:cs="Times New Roman"/>
          <w:szCs w:val="24"/>
        </w:rPr>
        <w:t>Bu çalışmad</w:t>
      </w:r>
      <w:r w:rsidR="00331D03" w:rsidRPr="000A40E6">
        <w:rPr>
          <w:rFonts w:cs="Times New Roman"/>
          <w:szCs w:val="24"/>
        </w:rPr>
        <w:t xml:space="preserve">a OPG, RANKL, </w:t>
      </w:r>
      <w:r w:rsidR="00AA55DE" w:rsidRPr="000A40E6">
        <w:rPr>
          <w:rFonts w:cs="Times New Roman"/>
          <w:szCs w:val="24"/>
        </w:rPr>
        <w:t>B</w:t>
      </w:r>
      <w:r w:rsidRPr="000A40E6">
        <w:rPr>
          <w:rFonts w:cs="Times New Roman"/>
          <w:szCs w:val="24"/>
        </w:rPr>
        <w:t>ALP ve TNF-α miktarları ELISA yöntem</w:t>
      </w:r>
      <w:r w:rsidR="00331D03" w:rsidRPr="000A40E6">
        <w:rPr>
          <w:rFonts w:cs="Times New Roman"/>
          <w:szCs w:val="24"/>
        </w:rPr>
        <w:t xml:space="preserve">i ile ölçülmüştür. OPG, RANKL, </w:t>
      </w:r>
      <w:r w:rsidR="00AA55DE" w:rsidRPr="000A40E6">
        <w:rPr>
          <w:rFonts w:cs="Times New Roman"/>
          <w:szCs w:val="24"/>
        </w:rPr>
        <w:t>B</w:t>
      </w:r>
      <w:r w:rsidRPr="000A40E6">
        <w:rPr>
          <w:rFonts w:cs="Times New Roman"/>
          <w:szCs w:val="24"/>
        </w:rPr>
        <w:t>ALP ve TNF-α elisa kiti 96 kuyucuklu plaka içermektedir ve bu kuy</w:t>
      </w:r>
      <w:r w:rsidR="00331D03" w:rsidRPr="000A40E6">
        <w:rPr>
          <w:rFonts w:cs="Times New Roman"/>
          <w:szCs w:val="24"/>
        </w:rPr>
        <w:t xml:space="preserve">ucukların her biri OPG, RANKL, </w:t>
      </w:r>
      <w:r w:rsidR="00AA55DE" w:rsidRPr="000A40E6">
        <w:rPr>
          <w:rFonts w:cs="Times New Roman"/>
          <w:szCs w:val="24"/>
        </w:rPr>
        <w:t>B</w:t>
      </w:r>
      <w:r w:rsidRPr="000A40E6">
        <w:rPr>
          <w:rFonts w:cs="Times New Roman"/>
          <w:szCs w:val="24"/>
        </w:rPr>
        <w:t>ALP ve TNF-α antikoru ile kaplanmıştır. Biotin ile konjuge edilmiş OPG, RANK</w:t>
      </w:r>
      <w:r w:rsidR="00331D03" w:rsidRPr="000A40E6">
        <w:rPr>
          <w:rFonts w:cs="Times New Roman"/>
          <w:szCs w:val="24"/>
        </w:rPr>
        <w:t xml:space="preserve">L, </w:t>
      </w:r>
      <w:r w:rsidR="00AA55DE" w:rsidRPr="000A40E6">
        <w:rPr>
          <w:rFonts w:cs="Times New Roman"/>
          <w:szCs w:val="24"/>
        </w:rPr>
        <w:t>B</w:t>
      </w:r>
      <w:r w:rsidRPr="000A40E6">
        <w:rPr>
          <w:rFonts w:cs="Times New Roman"/>
          <w:szCs w:val="24"/>
        </w:rPr>
        <w:t>ALP ve TNF-α antikoru dedeksiyon antikoru olarak kullanılm</w:t>
      </w:r>
      <w:r w:rsidR="00267D8B" w:rsidRPr="000A40E6">
        <w:rPr>
          <w:rFonts w:cs="Times New Roman"/>
          <w:szCs w:val="24"/>
        </w:rPr>
        <w:t>ıştır</w:t>
      </w:r>
      <w:r w:rsidR="009E6252" w:rsidRPr="000A40E6">
        <w:rPr>
          <w:rFonts w:cs="Times New Roman"/>
          <w:szCs w:val="24"/>
        </w:rPr>
        <w:t xml:space="preserve">. </w:t>
      </w:r>
      <w:r w:rsidRPr="000A40E6">
        <w:rPr>
          <w:rFonts w:cs="Times New Roman"/>
          <w:szCs w:val="24"/>
        </w:rPr>
        <w:t>Plakaya ilk olarak standartlar, numuneler ve biotin ile konjuge edilen dedeksiyon antikoru ilave edil</w:t>
      </w:r>
      <w:r w:rsidR="00160992" w:rsidRPr="000A40E6">
        <w:rPr>
          <w:rFonts w:cs="Times New Roman"/>
          <w:szCs w:val="24"/>
        </w:rPr>
        <w:t>miştir</w:t>
      </w:r>
      <w:r w:rsidRPr="000A40E6">
        <w:rPr>
          <w:rFonts w:cs="Times New Roman"/>
          <w:szCs w:val="24"/>
        </w:rPr>
        <w:t xml:space="preserve"> ve inkübasyondan sonra plaka yıkan</w:t>
      </w:r>
      <w:r w:rsidR="00160992" w:rsidRPr="000A40E6">
        <w:rPr>
          <w:rFonts w:cs="Times New Roman"/>
          <w:szCs w:val="24"/>
        </w:rPr>
        <w:t>mıştır</w:t>
      </w:r>
      <w:r w:rsidRPr="000A40E6">
        <w:rPr>
          <w:rFonts w:cs="Times New Roman"/>
          <w:szCs w:val="24"/>
        </w:rPr>
        <w:t>. Yıkamadan son</w:t>
      </w:r>
      <w:r w:rsidR="00C03F8D" w:rsidRPr="000A40E6">
        <w:rPr>
          <w:rFonts w:cs="Times New Roman"/>
          <w:szCs w:val="24"/>
        </w:rPr>
        <w:t xml:space="preserve">ra Horseradish peroxidase (HRP) </w:t>
      </w:r>
      <w:r w:rsidRPr="000A40E6">
        <w:rPr>
          <w:rFonts w:cs="Times New Roman"/>
          <w:szCs w:val="24"/>
        </w:rPr>
        <w:t>-Streptavidin eklenerek, dedeksiyon antikoruna tutun</w:t>
      </w:r>
      <w:r w:rsidR="006B05B0" w:rsidRPr="000A40E6">
        <w:rPr>
          <w:rFonts w:cs="Times New Roman"/>
          <w:szCs w:val="24"/>
        </w:rPr>
        <w:t>muştur</w:t>
      </w:r>
      <w:r w:rsidRPr="000A40E6">
        <w:rPr>
          <w:rFonts w:cs="Times New Roman"/>
          <w:szCs w:val="24"/>
        </w:rPr>
        <w:t>. HRP enzimatik reaksiyonunu gözlemlemek için renk oluşturucu madde olarak Tetramethylbenzidine (TMB) ortama ilave edil</w:t>
      </w:r>
      <w:r w:rsidR="00C03F8D" w:rsidRPr="000A40E6">
        <w:rPr>
          <w:rFonts w:cs="Times New Roman"/>
          <w:szCs w:val="24"/>
        </w:rPr>
        <w:t>miştir</w:t>
      </w:r>
      <w:r w:rsidR="00F721B3" w:rsidRPr="000A40E6">
        <w:rPr>
          <w:rFonts w:cs="Times New Roman"/>
          <w:szCs w:val="24"/>
        </w:rPr>
        <w:t xml:space="preserve">. </w:t>
      </w:r>
      <w:r w:rsidRPr="000A40E6">
        <w:rPr>
          <w:rFonts w:cs="Times New Roman"/>
          <w:szCs w:val="24"/>
        </w:rPr>
        <w:t>Son olarak, TMB eklendikten sonra oluşan mavi rengi sarıya döndürmek için asidik stop solüsyonu kuyucuklara eklen</w:t>
      </w:r>
      <w:r w:rsidR="005C6269" w:rsidRPr="000A40E6">
        <w:rPr>
          <w:rFonts w:cs="Times New Roman"/>
          <w:szCs w:val="24"/>
        </w:rPr>
        <w:t>miştir</w:t>
      </w:r>
      <w:r w:rsidRPr="000A40E6">
        <w:rPr>
          <w:rFonts w:cs="Times New Roman"/>
          <w:szCs w:val="24"/>
        </w:rPr>
        <w:t>. Oluşan bu sarı rengin optik dansitesi 450 nm’de mikroplaka okuyucuda okun</w:t>
      </w:r>
      <w:r w:rsidR="005C6269" w:rsidRPr="000A40E6">
        <w:rPr>
          <w:rFonts w:cs="Times New Roman"/>
          <w:szCs w:val="24"/>
        </w:rPr>
        <w:t>muşt</w:t>
      </w:r>
      <w:r w:rsidRPr="000A40E6">
        <w:rPr>
          <w:rFonts w:cs="Times New Roman"/>
          <w:szCs w:val="24"/>
        </w:rPr>
        <w:t xml:space="preserve">ur ve elde edilen </w:t>
      </w:r>
      <w:r w:rsidR="00FC6FD7" w:rsidRPr="000A40E6">
        <w:rPr>
          <w:rFonts w:cs="Times New Roman"/>
          <w:szCs w:val="24"/>
        </w:rPr>
        <w:t xml:space="preserve">standart grafikten OPG, RANKL, </w:t>
      </w:r>
      <w:r w:rsidR="00AA55DE" w:rsidRPr="000A40E6">
        <w:rPr>
          <w:rFonts w:cs="Times New Roman"/>
          <w:szCs w:val="24"/>
        </w:rPr>
        <w:t>B</w:t>
      </w:r>
      <w:r w:rsidRPr="000A40E6">
        <w:rPr>
          <w:rFonts w:cs="Times New Roman"/>
          <w:szCs w:val="24"/>
        </w:rPr>
        <w:t>ALP ve TNF-α  miktarları hesaplan</w:t>
      </w:r>
      <w:r w:rsidR="005C6269" w:rsidRPr="000A40E6">
        <w:rPr>
          <w:rFonts w:cs="Times New Roman"/>
          <w:szCs w:val="24"/>
        </w:rPr>
        <w:t>mıştır</w:t>
      </w:r>
      <w:r w:rsidRPr="000A40E6">
        <w:rPr>
          <w:rFonts w:cs="Times New Roman"/>
          <w:szCs w:val="24"/>
        </w:rPr>
        <w:t>.</w:t>
      </w:r>
    </w:p>
    <w:p w14:paraId="5BE68238" w14:textId="77777777" w:rsidR="00721ED7" w:rsidRPr="000A40E6" w:rsidRDefault="00721ED7" w:rsidP="00F756C3">
      <w:pPr>
        <w:suppressAutoHyphens/>
        <w:spacing w:after="120"/>
        <w:ind w:firstLine="0"/>
        <w:rPr>
          <w:rFonts w:cs="Times New Roman"/>
          <w:b/>
          <w:szCs w:val="24"/>
        </w:rPr>
      </w:pPr>
      <w:bookmarkStart w:id="118" w:name="_Toc136443423"/>
    </w:p>
    <w:p w14:paraId="706238ED" w14:textId="1EF5EF35" w:rsidR="00872853" w:rsidRPr="000A40E6" w:rsidRDefault="00872853" w:rsidP="00F756C3">
      <w:pPr>
        <w:suppressAutoHyphens/>
        <w:spacing w:after="120"/>
        <w:ind w:firstLine="0"/>
        <w:rPr>
          <w:rFonts w:cs="Times New Roman"/>
          <w:b/>
          <w:szCs w:val="24"/>
        </w:rPr>
      </w:pPr>
      <w:r w:rsidRPr="000A40E6">
        <w:rPr>
          <w:rFonts w:cs="Times New Roman"/>
          <w:b/>
          <w:szCs w:val="24"/>
        </w:rPr>
        <w:t>3.5.1.1.1. Standartların Hazırlanması</w:t>
      </w:r>
      <w:bookmarkEnd w:id="118"/>
    </w:p>
    <w:p w14:paraId="032ECE38" w14:textId="77777777" w:rsidR="00872853" w:rsidRPr="000A40E6" w:rsidRDefault="00872853" w:rsidP="00F756C3">
      <w:pPr>
        <w:suppressAutoHyphens/>
        <w:spacing w:after="120"/>
        <w:ind w:firstLine="0"/>
        <w:rPr>
          <w:rFonts w:cs="Times New Roman"/>
          <w:b/>
          <w:szCs w:val="24"/>
        </w:rPr>
      </w:pPr>
    </w:p>
    <w:p w14:paraId="35A9E009" w14:textId="72E301A4" w:rsidR="00872853" w:rsidRPr="000A40E6" w:rsidRDefault="00872853" w:rsidP="00F756C3">
      <w:pPr>
        <w:suppressAutoHyphens/>
        <w:spacing w:after="120"/>
        <w:rPr>
          <w:rFonts w:cs="Times New Roman"/>
          <w:szCs w:val="24"/>
        </w:rPr>
      </w:pPr>
      <w:r w:rsidRPr="000A40E6">
        <w:rPr>
          <w:rFonts w:cs="Times New Roman"/>
          <w:szCs w:val="24"/>
        </w:rPr>
        <w:t>Kitin içindeki stok standart dilüe edilerek standartlar hazırlan</w:t>
      </w:r>
      <w:r w:rsidR="006F6A12" w:rsidRPr="000A40E6">
        <w:rPr>
          <w:rFonts w:cs="Times New Roman"/>
          <w:szCs w:val="24"/>
        </w:rPr>
        <w:t>mıştır</w:t>
      </w:r>
      <w:r w:rsidR="00D157FB" w:rsidRPr="000A40E6">
        <w:rPr>
          <w:rFonts w:cs="Times New Roman"/>
          <w:szCs w:val="24"/>
        </w:rPr>
        <w:t xml:space="preserve"> (Resim 16</w:t>
      </w:r>
      <w:r w:rsidR="00124A26" w:rsidRPr="000A40E6">
        <w:rPr>
          <w:rFonts w:cs="Times New Roman"/>
          <w:szCs w:val="24"/>
        </w:rPr>
        <w:t>)</w:t>
      </w:r>
      <w:r w:rsidRPr="000A40E6">
        <w:rPr>
          <w:rFonts w:cs="Times New Roman"/>
          <w:szCs w:val="24"/>
        </w:rPr>
        <w:t>. Bunun için;</w:t>
      </w:r>
    </w:p>
    <w:p w14:paraId="51047AC2" w14:textId="16D55BB8" w:rsidR="00872853" w:rsidRPr="000A40E6" w:rsidRDefault="00872853" w:rsidP="00F756C3">
      <w:pPr>
        <w:tabs>
          <w:tab w:val="left" w:pos="2410"/>
        </w:tabs>
        <w:suppressAutoHyphens/>
        <w:spacing w:after="120"/>
        <w:rPr>
          <w:rFonts w:eastAsia="Calibri" w:cs="Times New Roman"/>
          <w:szCs w:val="24"/>
        </w:rPr>
      </w:pPr>
      <w:r w:rsidRPr="000A40E6">
        <w:rPr>
          <w:rFonts w:eastAsia="Calibri" w:cs="Times New Roman"/>
          <w:szCs w:val="24"/>
        </w:rPr>
        <w:t>Standart No.5</w:t>
      </w:r>
      <w:r w:rsidRPr="000A40E6">
        <w:rPr>
          <w:rFonts w:eastAsia="Calibri" w:cs="Times New Roman"/>
          <w:szCs w:val="24"/>
        </w:rPr>
        <w:tab/>
        <w:t>120 μL stok standart + 120 μL standart dilüent</w:t>
      </w:r>
    </w:p>
    <w:p w14:paraId="33E64BE1" w14:textId="122C5EC3" w:rsidR="00872853" w:rsidRPr="000A40E6" w:rsidRDefault="00872853" w:rsidP="00F756C3">
      <w:pPr>
        <w:tabs>
          <w:tab w:val="left" w:pos="2410"/>
        </w:tabs>
        <w:suppressAutoHyphens/>
        <w:spacing w:after="120"/>
        <w:rPr>
          <w:rFonts w:eastAsia="Calibri" w:cs="Times New Roman"/>
          <w:szCs w:val="24"/>
        </w:rPr>
      </w:pPr>
      <w:r w:rsidRPr="000A40E6">
        <w:rPr>
          <w:rFonts w:eastAsia="Calibri" w:cs="Times New Roman"/>
          <w:szCs w:val="24"/>
        </w:rPr>
        <w:t>Standart No.4</w:t>
      </w:r>
      <w:r w:rsidRPr="000A40E6">
        <w:rPr>
          <w:rFonts w:eastAsia="Calibri" w:cs="Times New Roman"/>
          <w:szCs w:val="24"/>
        </w:rPr>
        <w:tab/>
        <w:t>120 μL Standart No.5</w:t>
      </w:r>
      <w:r w:rsidRPr="000A40E6">
        <w:rPr>
          <w:rFonts w:eastAsia="Calibri" w:cs="Times New Roman"/>
          <w:szCs w:val="24"/>
        </w:rPr>
        <w:tab/>
        <w:t>+ 120 μL standart dilüent</w:t>
      </w:r>
    </w:p>
    <w:p w14:paraId="24F9C3B1" w14:textId="4B3C2C2A" w:rsidR="00872853" w:rsidRPr="000A40E6" w:rsidRDefault="00872853" w:rsidP="00F756C3">
      <w:pPr>
        <w:tabs>
          <w:tab w:val="left" w:pos="2410"/>
        </w:tabs>
        <w:suppressAutoHyphens/>
        <w:spacing w:after="120"/>
        <w:rPr>
          <w:rFonts w:eastAsia="Calibri" w:cs="Times New Roman"/>
          <w:szCs w:val="24"/>
        </w:rPr>
      </w:pPr>
      <w:r w:rsidRPr="000A40E6">
        <w:rPr>
          <w:rFonts w:eastAsia="Calibri" w:cs="Times New Roman"/>
          <w:szCs w:val="24"/>
        </w:rPr>
        <w:t>Standart No.3</w:t>
      </w:r>
      <w:r w:rsidRPr="000A40E6">
        <w:rPr>
          <w:rFonts w:eastAsia="Calibri" w:cs="Times New Roman"/>
          <w:szCs w:val="24"/>
        </w:rPr>
        <w:tab/>
        <w:t>120 μL Standart No.4</w:t>
      </w:r>
      <w:r w:rsidRPr="000A40E6">
        <w:rPr>
          <w:rFonts w:eastAsia="Calibri" w:cs="Times New Roman"/>
          <w:szCs w:val="24"/>
        </w:rPr>
        <w:tab/>
        <w:t>+ 120 μL standart dilüent</w:t>
      </w:r>
    </w:p>
    <w:p w14:paraId="1CD525AF" w14:textId="5E77327B" w:rsidR="00872853" w:rsidRPr="000A40E6" w:rsidRDefault="00872853" w:rsidP="00F756C3">
      <w:pPr>
        <w:tabs>
          <w:tab w:val="left" w:pos="2410"/>
        </w:tabs>
        <w:suppressAutoHyphens/>
        <w:spacing w:after="120"/>
        <w:rPr>
          <w:rFonts w:eastAsia="Calibri" w:cs="Times New Roman"/>
          <w:szCs w:val="24"/>
        </w:rPr>
      </w:pPr>
      <w:r w:rsidRPr="000A40E6">
        <w:rPr>
          <w:rFonts w:eastAsia="Calibri" w:cs="Times New Roman"/>
          <w:szCs w:val="24"/>
        </w:rPr>
        <w:t>Standart No.2</w:t>
      </w:r>
      <w:r w:rsidR="00F756C3" w:rsidRPr="000A40E6">
        <w:rPr>
          <w:rFonts w:eastAsia="Calibri" w:cs="Times New Roman"/>
          <w:szCs w:val="24"/>
        </w:rPr>
        <w:tab/>
      </w:r>
      <w:r w:rsidRPr="000A40E6">
        <w:rPr>
          <w:rFonts w:eastAsia="Calibri" w:cs="Times New Roman"/>
          <w:szCs w:val="24"/>
        </w:rPr>
        <w:t>120 μL Standart No.3 + 120 μL standart dilüent</w:t>
      </w:r>
    </w:p>
    <w:p w14:paraId="198A1860" w14:textId="1DD86FC1" w:rsidR="00A3461F" w:rsidRPr="000A40E6" w:rsidRDefault="00872853" w:rsidP="00F756C3">
      <w:pPr>
        <w:tabs>
          <w:tab w:val="left" w:pos="2410"/>
        </w:tabs>
        <w:suppressAutoHyphens/>
        <w:spacing w:after="120"/>
        <w:rPr>
          <w:rFonts w:eastAsia="Calibri" w:cs="Times New Roman"/>
          <w:szCs w:val="24"/>
        </w:rPr>
      </w:pPr>
      <w:r w:rsidRPr="000A40E6">
        <w:rPr>
          <w:rFonts w:eastAsia="Calibri" w:cs="Times New Roman"/>
          <w:szCs w:val="24"/>
        </w:rPr>
        <w:t>Standart No.1</w:t>
      </w:r>
      <w:r w:rsidR="00F756C3" w:rsidRPr="000A40E6">
        <w:rPr>
          <w:rFonts w:eastAsia="Calibri" w:cs="Times New Roman"/>
          <w:szCs w:val="24"/>
        </w:rPr>
        <w:tab/>
      </w:r>
      <w:r w:rsidRPr="000A40E6">
        <w:rPr>
          <w:rFonts w:eastAsia="Calibri" w:cs="Times New Roman"/>
          <w:szCs w:val="24"/>
        </w:rPr>
        <w:t>120 μL Standart No.2 + 120 μL standart dilüent ile seyreltil</w:t>
      </w:r>
      <w:r w:rsidR="009C323B" w:rsidRPr="000A40E6">
        <w:rPr>
          <w:rFonts w:eastAsia="Calibri" w:cs="Times New Roman"/>
          <w:szCs w:val="24"/>
        </w:rPr>
        <w:t>miştir</w:t>
      </w:r>
      <w:r w:rsidRPr="000A40E6">
        <w:rPr>
          <w:rFonts w:eastAsia="Calibri" w:cs="Times New Roman"/>
          <w:szCs w:val="24"/>
        </w:rPr>
        <w:t>.</w:t>
      </w:r>
    </w:p>
    <w:p w14:paraId="1343F524" w14:textId="77777777" w:rsidR="00F756C3" w:rsidRPr="000A40E6" w:rsidRDefault="00F756C3" w:rsidP="00F756C3">
      <w:pPr>
        <w:tabs>
          <w:tab w:val="left" w:pos="2410"/>
        </w:tabs>
        <w:suppressAutoHyphens/>
        <w:spacing w:after="120"/>
        <w:rPr>
          <w:rFonts w:eastAsia="Calibri" w:cs="Times New Roman"/>
          <w:szCs w:val="24"/>
        </w:rPr>
      </w:pPr>
    </w:p>
    <w:p w14:paraId="5CB80B9D" w14:textId="09C2D5BC" w:rsidR="00872853" w:rsidRPr="000A40E6" w:rsidRDefault="00872853" w:rsidP="00F756C3">
      <w:pPr>
        <w:suppressAutoHyphens/>
        <w:spacing w:line="240" w:lineRule="atLeast"/>
        <w:ind w:firstLine="0"/>
        <w:jc w:val="center"/>
        <w:rPr>
          <w:rFonts w:eastAsia="Calibri" w:cs="Times New Roman"/>
          <w:szCs w:val="24"/>
        </w:rPr>
      </w:pPr>
      <w:r w:rsidRPr="000A40E6">
        <w:rPr>
          <w:rFonts w:eastAsia="Calibri" w:cs="Times New Roman"/>
          <w:noProof/>
          <w:szCs w:val="24"/>
          <w:lang w:eastAsia="tr-TR"/>
        </w:rPr>
        <w:drawing>
          <wp:inline distT="0" distB="0" distL="0" distR="0" wp14:anchorId="36BA6279" wp14:editId="374A90B7">
            <wp:extent cx="2880000" cy="2691147"/>
            <wp:effectExtent l="0" t="0" r="0" b="0"/>
            <wp:docPr id="16" name="Resim 16" descr="C:\Users\user\Desktop\TEZ HASTALARI\TEZ FOTO\analitik ter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EZ HASTALARI\TEZ FOTO\analitik terazi.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373" t="3240" r="14915" b="4452"/>
                    <a:stretch/>
                  </pic:blipFill>
                  <pic:spPr bwMode="auto">
                    <a:xfrm>
                      <a:off x="0" y="0"/>
                      <a:ext cx="2880000" cy="2691147"/>
                    </a:xfrm>
                    <a:prstGeom prst="rect">
                      <a:avLst/>
                    </a:prstGeom>
                    <a:noFill/>
                    <a:ln>
                      <a:noFill/>
                    </a:ln>
                    <a:extLst>
                      <a:ext uri="{53640926-AAD7-44D8-BBD7-CCE9431645EC}">
                        <a14:shadowObscured xmlns:a14="http://schemas.microsoft.com/office/drawing/2010/main"/>
                      </a:ext>
                    </a:extLst>
                  </pic:spPr>
                </pic:pic>
              </a:graphicData>
            </a:graphic>
          </wp:inline>
        </w:drawing>
      </w:r>
    </w:p>
    <w:p w14:paraId="41B1CA1D" w14:textId="051DD6B9" w:rsidR="00872853" w:rsidRPr="000A40E6" w:rsidRDefault="00114E74" w:rsidP="00F756C3">
      <w:pPr>
        <w:pStyle w:val="ResimYazs"/>
        <w:suppressAutoHyphens/>
        <w:spacing w:before="120" w:after="120" w:line="360" w:lineRule="auto"/>
        <w:ind w:left="567" w:hanging="567"/>
        <w:rPr>
          <w:rFonts w:eastAsia="Calibri" w:cs="Times New Roman"/>
          <w:b w:val="0"/>
          <w:color w:val="auto"/>
          <w:sz w:val="24"/>
          <w:szCs w:val="24"/>
        </w:rPr>
      </w:pPr>
      <w:bookmarkStart w:id="119" w:name="_Toc136385564"/>
      <w:bookmarkStart w:id="120" w:name="_Toc136386391"/>
      <w:r w:rsidRPr="000A40E6">
        <w:rPr>
          <w:rFonts w:cs="Times New Roman"/>
          <w:color w:val="auto"/>
          <w:sz w:val="24"/>
          <w:szCs w:val="24"/>
        </w:rPr>
        <w:t xml:space="preserve">Resim </w:t>
      </w:r>
      <w:r w:rsidR="003F42DA" w:rsidRPr="000A40E6">
        <w:rPr>
          <w:rFonts w:cs="Times New Roman"/>
          <w:noProof/>
          <w:color w:val="auto"/>
          <w:sz w:val="24"/>
          <w:szCs w:val="24"/>
        </w:rPr>
        <w:t>16</w:t>
      </w:r>
      <w:r w:rsidRPr="000A40E6">
        <w:rPr>
          <w:rFonts w:cs="Times New Roman"/>
          <w:color w:val="auto"/>
          <w:sz w:val="24"/>
          <w:szCs w:val="24"/>
        </w:rPr>
        <w:t xml:space="preserve">. </w:t>
      </w:r>
      <w:r w:rsidR="00E772B0" w:rsidRPr="000A40E6">
        <w:rPr>
          <w:rFonts w:cs="Times New Roman"/>
          <w:b w:val="0"/>
          <w:color w:val="auto"/>
          <w:sz w:val="24"/>
          <w:szCs w:val="24"/>
        </w:rPr>
        <w:t>Çalışmada kullanılan analitik terazi</w:t>
      </w:r>
      <w:r w:rsidR="002877D8" w:rsidRPr="000A40E6">
        <w:rPr>
          <w:rFonts w:cs="Times New Roman"/>
          <w:b w:val="0"/>
          <w:color w:val="auto"/>
          <w:sz w:val="24"/>
          <w:szCs w:val="24"/>
        </w:rPr>
        <w:t>.</w:t>
      </w:r>
      <w:bookmarkEnd w:id="119"/>
      <w:bookmarkEnd w:id="120"/>
    </w:p>
    <w:p w14:paraId="1B3F2CA9" w14:textId="65C546FB" w:rsidR="0051502A" w:rsidRPr="000A40E6" w:rsidRDefault="0051502A" w:rsidP="00F756C3">
      <w:pPr>
        <w:suppressAutoHyphens/>
        <w:spacing w:after="120"/>
        <w:rPr>
          <w:rFonts w:cs="Times New Roman"/>
          <w:b/>
          <w:szCs w:val="24"/>
        </w:rPr>
      </w:pPr>
    </w:p>
    <w:p w14:paraId="636825C6" w14:textId="77777777" w:rsidR="00DC5B01" w:rsidRPr="000A40E6" w:rsidRDefault="00872853" w:rsidP="00F756C3">
      <w:pPr>
        <w:suppressAutoHyphens/>
        <w:spacing w:after="120"/>
        <w:ind w:firstLine="0"/>
        <w:rPr>
          <w:rFonts w:cs="Times New Roman"/>
          <w:b/>
          <w:szCs w:val="24"/>
        </w:rPr>
      </w:pPr>
      <w:bookmarkStart w:id="121" w:name="_Toc136443424"/>
      <w:r w:rsidRPr="000A40E6">
        <w:rPr>
          <w:rFonts w:cs="Times New Roman"/>
          <w:b/>
          <w:szCs w:val="24"/>
        </w:rPr>
        <w:t>3.5.1.1.2. Ölçüm yöntemi</w:t>
      </w:r>
      <w:bookmarkEnd w:id="121"/>
    </w:p>
    <w:p w14:paraId="570B973C" w14:textId="77777777" w:rsidR="00DC5B01" w:rsidRPr="000A40E6" w:rsidRDefault="00DC5B01" w:rsidP="00F756C3">
      <w:pPr>
        <w:suppressAutoHyphens/>
        <w:spacing w:after="120"/>
        <w:rPr>
          <w:rFonts w:cs="Times New Roman"/>
          <w:b/>
          <w:szCs w:val="24"/>
        </w:rPr>
      </w:pPr>
    </w:p>
    <w:p w14:paraId="082D6C48" w14:textId="7799AF1D" w:rsidR="00872853" w:rsidRPr="000A40E6" w:rsidRDefault="00872853" w:rsidP="00F756C3">
      <w:pPr>
        <w:suppressAutoHyphens/>
        <w:spacing w:after="120"/>
        <w:rPr>
          <w:rFonts w:cs="Times New Roman"/>
          <w:b/>
          <w:szCs w:val="24"/>
        </w:rPr>
      </w:pPr>
      <w:r w:rsidRPr="000A40E6">
        <w:rPr>
          <w:rFonts w:cs="Times New Roman"/>
          <w:szCs w:val="24"/>
        </w:rPr>
        <w:t>Hazırlanan örnek ve standartlar için kit içerisindeki özel antikor bağlı plateler kullanıl</w:t>
      </w:r>
      <w:r w:rsidR="00D9232F" w:rsidRPr="000A40E6">
        <w:rPr>
          <w:rFonts w:cs="Times New Roman"/>
          <w:szCs w:val="24"/>
        </w:rPr>
        <w:t>mıştır</w:t>
      </w:r>
      <w:r w:rsidRPr="000A40E6">
        <w:rPr>
          <w:rFonts w:cs="Times New Roman"/>
          <w:szCs w:val="24"/>
        </w:rPr>
        <w:t>.</w:t>
      </w:r>
    </w:p>
    <w:p w14:paraId="519FAB2C" w14:textId="4B2E4539" w:rsidR="00872853" w:rsidRPr="000A40E6" w:rsidRDefault="00BC6326" w:rsidP="00F756C3">
      <w:pPr>
        <w:suppressAutoHyphens/>
        <w:spacing w:after="120"/>
        <w:rPr>
          <w:rFonts w:eastAsia="Calibri" w:cs="Times New Roman"/>
          <w:szCs w:val="24"/>
        </w:rPr>
      </w:pPr>
      <w:r w:rsidRPr="000A40E6">
        <w:rPr>
          <w:rFonts w:eastAsia="Calibri" w:cs="Times New Roman"/>
          <w:szCs w:val="24"/>
        </w:rPr>
        <w:t xml:space="preserve">1) </w:t>
      </w:r>
      <w:r w:rsidR="00872853" w:rsidRPr="000A40E6">
        <w:rPr>
          <w:rFonts w:eastAsia="Calibri" w:cs="Times New Roman"/>
          <w:szCs w:val="24"/>
        </w:rPr>
        <w:t>Platelerdeki standart kuyucuklarına her bir standarttan 50 μL, örnek kuyucuklarına her bir örnekten 40 μL konul</w:t>
      </w:r>
      <w:r w:rsidR="00D9232F" w:rsidRPr="000A40E6">
        <w:rPr>
          <w:rFonts w:eastAsia="Calibri" w:cs="Times New Roman"/>
          <w:szCs w:val="24"/>
        </w:rPr>
        <w:t>muştur</w:t>
      </w:r>
      <w:r w:rsidR="00872853" w:rsidRPr="000A40E6">
        <w:rPr>
          <w:rFonts w:eastAsia="Calibri" w:cs="Times New Roman"/>
          <w:szCs w:val="24"/>
        </w:rPr>
        <w:t>. Kör kuyucuğuna hiçbir şey eklenme</w:t>
      </w:r>
      <w:r w:rsidR="00D9232F" w:rsidRPr="000A40E6">
        <w:rPr>
          <w:rFonts w:eastAsia="Calibri" w:cs="Times New Roman"/>
          <w:szCs w:val="24"/>
        </w:rPr>
        <w:t>miştir</w:t>
      </w:r>
      <w:r w:rsidR="00872853" w:rsidRPr="000A40E6">
        <w:rPr>
          <w:rFonts w:eastAsia="Calibri" w:cs="Times New Roman"/>
          <w:szCs w:val="24"/>
        </w:rPr>
        <w:t>.</w:t>
      </w:r>
    </w:p>
    <w:p w14:paraId="7576867B" w14:textId="5139F29C" w:rsidR="00872853" w:rsidRPr="000A40E6" w:rsidRDefault="00BC6326" w:rsidP="00F756C3">
      <w:pPr>
        <w:suppressAutoHyphens/>
        <w:spacing w:after="120"/>
        <w:rPr>
          <w:rFonts w:eastAsia="Calibri" w:cs="Times New Roman"/>
          <w:szCs w:val="24"/>
        </w:rPr>
      </w:pPr>
      <w:r w:rsidRPr="000A40E6">
        <w:rPr>
          <w:rFonts w:eastAsia="Calibri" w:cs="Times New Roman"/>
          <w:szCs w:val="24"/>
        </w:rPr>
        <w:t xml:space="preserve">2) </w:t>
      </w:r>
      <w:r w:rsidR="00872853" w:rsidRPr="000A40E6">
        <w:rPr>
          <w:rFonts w:eastAsia="Calibri" w:cs="Times New Roman"/>
          <w:szCs w:val="24"/>
        </w:rPr>
        <w:t>Her bir örnek kuyucuğuna 10 μL antikor eklen</w:t>
      </w:r>
      <w:r w:rsidR="00D9232F" w:rsidRPr="000A40E6">
        <w:rPr>
          <w:rFonts w:eastAsia="Calibri" w:cs="Times New Roman"/>
          <w:szCs w:val="24"/>
        </w:rPr>
        <w:t>miştir.</w:t>
      </w:r>
    </w:p>
    <w:p w14:paraId="5F12122B" w14:textId="5DDFEA16" w:rsidR="00872853" w:rsidRPr="000A40E6" w:rsidRDefault="00BC6326" w:rsidP="00F756C3">
      <w:pPr>
        <w:suppressAutoHyphens/>
        <w:spacing w:after="120"/>
        <w:rPr>
          <w:rFonts w:eastAsia="Calibri" w:cs="Times New Roman"/>
          <w:szCs w:val="24"/>
        </w:rPr>
      </w:pPr>
      <w:r w:rsidRPr="000A40E6">
        <w:rPr>
          <w:rFonts w:eastAsia="Calibri" w:cs="Times New Roman"/>
          <w:szCs w:val="24"/>
        </w:rPr>
        <w:t xml:space="preserve">3) </w:t>
      </w:r>
      <w:r w:rsidR="00872853" w:rsidRPr="000A40E6">
        <w:rPr>
          <w:rFonts w:eastAsia="Calibri" w:cs="Times New Roman"/>
          <w:szCs w:val="24"/>
        </w:rPr>
        <w:t>Bütün kuyucuklara 50 μL HRP ilave edil</w:t>
      </w:r>
      <w:r w:rsidR="00217692" w:rsidRPr="000A40E6">
        <w:rPr>
          <w:rFonts w:eastAsia="Calibri" w:cs="Times New Roman"/>
          <w:szCs w:val="24"/>
        </w:rPr>
        <w:t>miştir.</w:t>
      </w:r>
    </w:p>
    <w:p w14:paraId="3D68ABBD" w14:textId="6C59D283" w:rsidR="00872853" w:rsidRPr="000A40E6" w:rsidRDefault="00BC6326" w:rsidP="00F756C3">
      <w:pPr>
        <w:suppressAutoHyphens/>
        <w:spacing w:after="120"/>
        <w:rPr>
          <w:rFonts w:eastAsia="Calibri" w:cs="Times New Roman"/>
          <w:szCs w:val="24"/>
        </w:rPr>
      </w:pPr>
      <w:r w:rsidRPr="000A40E6">
        <w:rPr>
          <w:rFonts w:eastAsia="Calibri" w:cs="Times New Roman"/>
          <w:szCs w:val="24"/>
        </w:rPr>
        <w:t xml:space="preserve">4) </w:t>
      </w:r>
      <w:r w:rsidR="00872853" w:rsidRPr="000A40E6">
        <w:rPr>
          <w:rFonts w:eastAsia="Calibri" w:cs="Times New Roman"/>
          <w:szCs w:val="24"/>
        </w:rPr>
        <w:t>Hazırlanan plate orbital shaker üzerinde 37˚C’ de 60 dakika inkübe edil</w:t>
      </w:r>
      <w:r w:rsidR="00217692" w:rsidRPr="000A40E6">
        <w:rPr>
          <w:rFonts w:eastAsia="Calibri" w:cs="Times New Roman"/>
          <w:szCs w:val="24"/>
        </w:rPr>
        <w:t>miştir</w:t>
      </w:r>
      <w:r w:rsidR="002D79DF" w:rsidRPr="000A40E6">
        <w:rPr>
          <w:rFonts w:eastAsia="Calibri" w:cs="Times New Roman"/>
          <w:szCs w:val="24"/>
        </w:rPr>
        <w:t xml:space="preserve"> (Resim 17</w:t>
      </w:r>
      <w:r w:rsidR="00436AC0" w:rsidRPr="000A40E6">
        <w:rPr>
          <w:rFonts w:eastAsia="Calibri" w:cs="Times New Roman"/>
          <w:szCs w:val="24"/>
        </w:rPr>
        <w:t>)</w:t>
      </w:r>
      <w:r w:rsidR="00217692" w:rsidRPr="000A40E6">
        <w:rPr>
          <w:rFonts w:eastAsia="Calibri" w:cs="Times New Roman"/>
          <w:szCs w:val="24"/>
        </w:rPr>
        <w:t>.</w:t>
      </w:r>
    </w:p>
    <w:p w14:paraId="17D3C4E6" w14:textId="77777777" w:rsidR="00F756C3" w:rsidRPr="000A40E6" w:rsidRDefault="00F756C3" w:rsidP="00F756C3">
      <w:pPr>
        <w:suppressAutoHyphens/>
        <w:spacing w:after="120"/>
        <w:rPr>
          <w:rFonts w:eastAsia="Calibri" w:cs="Times New Roman"/>
          <w:szCs w:val="24"/>
        </w:rPr>
      </w:pPr>
    </w:p>
    <w:p w14:paraId="73915709" w14:textId="72244640" w:rsidR="00872853" w:rsidRPr="000A40E6" w:rsidRDefault="00872853" w:rsidP="00F756C3">
      <w:pPr>
        <w:suppressAutoHyphens/>
        <w:spacing w:line="240" w:lineRule="atLeast"/>
        <w:ind w:firstLine="0"/>
        <w:jc w:val="center"/>
        <w:rPr>
          <w:rFonts w:eastAsia="Calibri" w:cs="Times New Roman"/>
          <w:szCs w:val="24"/>
        </w:rPr>
      </w:pPr>
      <w:r w:rsidRPr="000A40E6">
        <w:rPr>
          <w:rFonts w:eastAsia="Calibri" w:cs="Times New Roman"/>
          <w:noProof/>
          <w:szCs w:val="24"/>
          <w:lang w:eastAsia="tr-TR"/>
        </w:rPr>
        <w:drawing>
          <wp:inline distT="0" distB="0" distL="0" distR="0" wp14:anchorId="3BAAEF76" wp14:editId="3EB744B6">
            <wp:extent cx="2880000" cy="2880000"/>
            <wp:effectExtent l="0" t="0" r="0" b="0"/>
            <wp:docPr id="17" name="Resim 17" descr="C:\Users\user\Desktop\TEZ HASTALARI\TEZ FOTO\ETÜ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EZ HASTALARI\TEZ FOTO\ETÜV.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014" t="4871" r="5848" b="3438"/>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29C4EB42" w14:textId="4B6E2FB4" w:rsidR="00872853" w:rsidRPr="000A40E6" w:rsidRDefault="00114E74" w:rsidP="00F756C3">
      <w:pPr>
        <w:pStyle w:val="ResimYazs"/>
        <w:suppressAutoHyphens/>
        <w:spacing w:before="120" w:after="120" w:line="360" w:lineRule="auto"/>
        <w:ind w:left="567" w:hanging="567"/>
        <w:rPr>
          <w:rFonts w:cs="Times New Roman"/>
          <w:color w:val="auto"/>
          <w:sz w:val="24"/>
          <w:szCs w:val="24"/>
        </w:rPr>
      </w:pPr>
      <w:bookmarkStart w:id="122" w:name="_Toc136385565"/>
      <w:bookmarkStart w:id="123" w:name="_Toc136386392"/>
      <w:r w:rsidRPr="000A40E6">
        <w:rPr>
          <w:rFonts w:cs="Times New Roman"/>
          <w:color w:val="auto"/>
          <w:sz w:val="24"/>
          <w:szCs w:val="24"/>
        </w:rPr>
        <w:t xml:space="preserve">Resim </w:t>
      </w:r>
      <w:r w:rsidR="003F42DA" w:rsidRPr="000A40E6">
        <w:rPr>
          <w:rFonts w:cs="Times New Roman"/>
          <w:noProof/>
          <w:color w:val="auto"/>
          <w:sz w:val="24"/>
          <w:szCs w:val="24"/>
        </w:rPr>
        <w:t>17</w:t>
      </w:r>
      <w:r w:rsidRPr="000A40E6">
        <w:rPr>
          <w:rFonts w:cs="Times New Roman"/>
          <w:color w:val="auto"/>
          <w:sz w:val="24"/>
          <w:szCs w:val="24"/>
        </w:rPr>
        <w:t xml:space="preserve">. </w:t>
      </w:r>
      <w:r w:rsidR="00872853" w:rsidRPr="000A40E6">
        <w:rPr>
          <w:rFonts w:cs="Times New Roman"/>
          <w:b w:val="0"/>
          <w:color w:val="auto"/>
          <w:sz w:val="24"/>
          <w:szCs w:val="24"/>
        </w:rPr>
        <w:t>Isıtma işleml</w:t>
      </w:r>
      <w:r w:rsidR="00E92E21" w:rsidRPr="000A40E6">
        <w:rPr>
          <w:rFonts w:cs="Times New Roman"/>
          <w:b w:val="0"/>
          <w:color w:val="auto"/>
          <w:sz w:val="24"/>
          <w:szCs w:val="24"/>
        </w:rPr>
        <w:t>erinde kullanılan etüv</w:t>
      </w:r>
      <w:r w:rsidR="002877D8" w:rsidRPr="000A40E6">
        <w:rPr>
          <w:rFonts w:cs="Times New Roman"/>
          <w:b w:val="0"/>
          <w:color w:val="auto"/>
          <w:sz w:val="24"/>
          <w:szCs w:val="24"/>
        </w:rPr>
        <w:t>.</w:t>
      </w:r>
      <w:bookmarkEnd w:id="122"/>
      <w:bookmarkEnd w:id="123"/>
    </w:p>
    <w:p w14:paraId="75B90AF6" w14:textId="77777777" w:rsidR="008943F1" w:rsidRPr="000A40E6" w:rsidRDefault="008943F1" w:rsidP="00F756C3">
      <w:pPr>
        <w:suppressAutoHyphens/>
        <w:spacing w:after="120"/>
        <w:rPr>
          <w:rFonts w:eastAsia="Calibri" w:cs="Times New Roman"/>
          <w:b/>
          <w:szCs w:val="24"/>
        </w:rPr>
      </w:pPr>
    </w:p>
    <w:p w14:paraId="0282078A" w14:textId="7DF115F4" w:rsidR="00872853" w:rsidRPr="000A40E6" w:rsidRDefault="007E4249" w:rsidP="00F756C3">
      <w:pPr>
        <w:suppressAutoHyphens/>
        <w:spacing w:after="120"/>
        <w:rPr>
          <w:rFonts w:eastAsia="Calibri" w:cs="Times New Roman"/>
          <w:szCs w:val="24"/>
        </w:rPr>
      </w:pPr>
      <w:r w:rsidRPr="000A40E6">
        <w:rPr>
          <w:rFonts w:eastAsia="Calibri" w:cs="Times New Roman"/>
          <w:szCs w:val="24"/>
        </w:rPr>
        <w:t xml:space="preserve">5) </w:t>
      </w:r>
      <w:r w:rsidR="00872853" w:rsidRPr="000A40E6">
        <w:rPr>
          <w:rFonts w:eastAsia="Calibri" w:cs="Times New Roman"/>
          <w:szCs w:val="24"/>
        </w:rPr>
        <w:t>İnkübasyon sonunda plate, yıkama tamponu ile 3 defa yıkan</w:t>
      </w:r>
      <w:r w:rsidR="00C3604B" w:rsidRPr="000A40E6">
        <w:rPr>
          <w:rFonts w:eastAsia="Calibri" w:cs="Times New Roman"/>
          <w:szCs w:val="24"/>
        </w:rPr>
        <w:t>mıştır.</w:t>
      </w:r>
    </w:p>
    <w:p w14:paraId="5167F453" w14:textId="25DF02A8" w:rsidR="00872853" w:rsidRPr="000A40E6" w:rsidRDefault="007E4249" w:rsidP="00F756C3">
      <w:pPr>
        <w:suppressAutoHyphens/>
        <w:spacing w:after="120"/>
        <w:rPr>
          <w:rFonts w:eastAsia="Calibri" w:cs="Times New Roman"/>
          <w:szCs w:val="24"/>
        </w:rPr>
      </w:pPr>
      <w:r w:rsidRPr="000A40E6">
        <w:rPr>
          <w:rFonts w:eastAsia="Calibri" w:cs="Times New Roman"/>
          <w:szCs w:val="24"/>
        </w:rPr>
        <w:t xml:space="preserve">6) </w:t>
      </w:r>
      <w:r w:rsidR="00872853" w:rsidRPr="000A40E6">
        <w:rPr>
          <w:rFonts w:eastAsia="Calibri" w:cs="Times New Roman"/>
          <w:szCs w:val="24"/>
        </w:rPr>
        <w:t>Bütün kuyucuklara 50 μL Substrat A ve 50 μL substrat B solüsyonu eklenip, plate karanlıkta 37˚C’ de 10 dakika inkübe edil</w:t>
      </w:r>
      <w:r w:rsidR="008A2A49" w:rsidRPr="000A40E6">
        <w:rPr>
          <w:rFonts w:eastAsia="Calibri" w:cs="Times New Roman"/>
          <w:szCs w:val="24"/>
        </w:rPr>
        <w:t>miştir.</w:t>
      </w:r>
    </w:p>
    <w:p w14:paraId="6CD53119" w14:textId="39D25492" w:rsidR="00872853" w:rsidRPr="000A40E6" w:rsidRDefault="007E4249" w:rsidP="00F756C3">
      <w:pPr>
        <w:suppressAutoHyphens/>
        <w:spacing w:after="120"/>
        <w:rPr>
          <w:rFonts w:eastAsia="Calibri" w:cs="Times New Roman"/>
          <w:szCs w:val="24"/>
        </w:rPr>
      </w:pPr>
      <w:r w:rsidRPr="000A40E6">
        <w:rPr>
          <w:rFonts w:eastAsia="Calibri" w:cs="Times New Roman"/>
          <w:szCs w:val="24"/>
        </w:rPr>
        <w:t xml:space="preserve">7) </w:t>
      </w:r>
      <w:r w:rsidR="00872853" w:rsidRPr="000A40E6">
        <w:rPr>
          <w:rFonts w:eastAsia="Calibri" w:cs="Times New Roman"/>
          <w:szCs w:val="24"/>
        </w:rPr>
        <w:t>İnkübasyon sonunda mavi renk oluşumu gözlenince, bütün kuyucuklara 50 μL durdurma solüsyonu konulup oluşan sarı rengin absorbansı 450 nm’ de ölçül</w:t>
      </w:r>
      <w:r w:rsidR="003771C6" w:rsidRPr="000A40E6">
        <w:rPr>
          <w:rFonts w:eastAsia="Calibri" w:cs="Times New Roman"/>
          <w:szCs w:val="24"/>
        </w:rPr>
        <w:t>müştür</w:t>
      </w:r>
      <w:r w:rsidR="005770F4" w:rsidRPr="000A40E6">
        <w:rPr>
          <w:rFonts w:eastAsia="Calibri" w:cs="Times New Roman"/>
          <w:szCs w:val="24"/>
        </w:rPr>
        <w:t xml:space="preserve"> (Resim 18)</w:t>
      </w:r>
      <w:r w:rsidR="003771C6" w:rsidRPr="000A40E6">
        <w:rPr>
          <w:rFonts w:eastAsia="Calibri" w:cs="Times New Roman"/>
          <w:szCs w:val="24"/>
        </w:rPr>
        <w:t>.</w:t>
      </w:r>
    </w:p>
    <w:p w14:paraId="5A29964A" w14:textId="77777777" w:rsidR="00B5535E" w:rsidRPr="000A40E6" w:rsidRDefault="00B5535E" w:rsidP="00F756C3">
      <w:pPr>
        <w:suppressAutoHyphens/>
        <w:spacing w:after="120"/>
        <w:rPr>
          <w:rFonts w:eastAsia="Calibri" w:cs="Times New Roman"/>
          <w:szCs w:val="24"/>
        </w:rPr>
      </w:pPr>
    </w:p>
    <w:p w14:paraId="49C977D4" w14:textId="74A7F38B" w:rsidR="00872853" w:rsidRPr="000A40E6" w:rsidRDefault="00872853" w:rsidP="00F756C3">
      <w:pPr>
        <w:suppressAutoHyphens/>
        <w:spacing w:line="240" w:lineRule="atLeast"/>
        <w:ind w:firstLine="0"/>
        <w:jc w:val="center"/>
        <w:rPr>
          <w:rFonts w:eastAsia="Calibri" w:cs="Times New Roman"/>
          <w:szCs w:val="24"/>
        </w:rPr>
      </w:pPr>
      <w:r w:rsidRPr="000A40E6">
        <w:rPr>
          <w:rFonts w:eastAsia="Calibri" w:cs="Times New Roman"/>
          <w:noProof/>
          <w:szCs w:val="24"/>
          <w:lang w:eastAsia="tr-TR"/>
        </w:rPr>
        <w:drawing>
          <wp:inline distT="0" distB="0" distL="0" distR="0" wp14:anchorId="56DC25AC" wp14:editId="2A97CFDB">
            <wp:extent cx="4860000" cy="2975714"/>
            <wp:effectExtent l="0" t="0" r="0" b="0"/>
            <wp:docPr id="18" name="Resim 18" descr="C:\Users\user\Desktop\TEZ HASTALARI\TEZ FOTO\MİKRO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EZ HASTALARI\TEZ FOTO\MİKROPLAT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5466" r="3080" b="1608"/>
                    <a:stretch/>
                  </pic:blipFill>
                  <pic:spPr bwMode="auto">
                    <a:xfrm>
                      <a:off x="0" y="0"/>
                      <a:ext cx="4860000" cy="2975714"/>
                    </a:xfrm>
                    <a:prstGeom prst="rect">
                      <a:avLst/>
                    </a:prstGeom>
                    <a:noFill/>
                    <a:ln>
                      <a:noFill/>
                    </a:ln>
                    <a:extLst>
                      <a:ext uri="{53640926-AAD7-44D8-BBD7-CCE9431645EC}">
                        <a14:shadowObscured xmlns:a14="http://schemas.microsoft.com/office/drawing/2010/main"/>
                      </a:ext>
                    </a:extLst>
                  </pic:spPr>
                </pic:pic>
              </a:graphicData>
            </a:graphic>
          </wp:inline>
        </w:drawing>
      </w:r>
    </w:p>
    <w:p w14:paraId="5106E17F" w14:textId="7788C43D" w:rsidR="00872853" w:rsidRPr="000A40E6" w:rsidRDefault="00F81225" w:rsidP="00F756C3">
      <w:pPr>
        <w:pStyle w:val="ResimYazs"/>
        <w:suppressAutoHyphens/>
        <w:spacing w:before="120" w:after="120" w:line="360" w:lineRule="auto"/>
        <w:ind w:left="567" w:hanging="567"/>
        <w:rPr>
          <w:rFonts w:eastAsia="Calibri" w:cs="Times New Roman"/>
          <w:b w:val="0"/>
          <w:color w:val="auto"/>
          <w:sz w:val="24"/>
          <w:szCs w:val="24"/>
        </w:rPr>
      </w:pPr>
      <w:bookmarkStart w:id="124" w:name="_Toc136385566"/>
      <w:bookmarkStart w:id="125" w:name="_Toc136386393"/>
      <w:r w:rsidRPr="000A40E6">
        <w:rPr>
          <w:rFonts w:cs="Times New Roman"/>
          <w:color w:val="auto"/>
          <w:sz w:val="24"/>
          <w:szCs w:val="24"/>
        </w:rPr>
        <w:t xml:space="preserve">Resim </w:t>
      </w:r>
      <w:r w:rsidR="003F42DA" w:rsidRPr="000A40E6">
        <w:rPr>
          <w:rFonts w:cs="Times New Roman"/>
          <w:noProof/>
          <w:color w:val="auto"/>
          <w:sz w:val="24"/>
          <w:szCs w:val="24"/>
        </w:rPr>
        <w:t>18</w:t>
      </w:r>
      <w:r w:rsidRPr="000A40E6">
        <w:rPr>
          <w:rFonts w:cs="Times New Roman"/>
          <w:color w:val="auto"/>
          <w:sz w:val="24"/>
          <w:szCs w:val="24"/>
        </w:rPr>
        <w:t xml:space="preserve">. </w:t>
      </w:r>
      <w:r w:rsidR="00872853" w:rsidRPr="000A40E6">
        <w:rPr>
          <w:rFonts w:cs="Times New Roman"/>
          <w:b w:val="0"/>
          <w:color w:val="auto"/>
          <w:sz w:val="24"/>
          <w:szCs w:val="24"/>
        </w:rPr>
        <w:t>Mikroplate hücrelerinin renklenmiş son hali</w:t>
      </w:r>
      <w:r w:rsidR="002877D8" w:rsidRPr="000A40E6">
        <w:rPr>
          <w:rFonts w:cs="Times New Roman"/>
          <w:b w:val="0"/>
          <w:color w:val="auto"/>
          <w:sz w:val="24"/>
          <w:szCs w:val="24"/>
        </w:rPr>
        <w:t>.</w:t>
      </w:r>
      <w:bookmarkEnd w:id="124"/>
      <w:bookmarkEnd w:id="125"/>
    </w:p>
    <w:p w14:paraId="1005AB0B" w14:textId="77777777" w:rsidR="00872853" w:rsidRPr="000A40E6" w:rsidRDefault="00872853" w:rsidP="00F756C3">
      <w:pPr>
        <w:suppressAutoHyphens/>
        <w:spacing w:after="120"/>
        <w:rPr>
          <w:rFonts w:eastAsia="Calibri" w:cs="Times New Roman"/>
          <w:szCs w:val="24"/>
        </w:rPr>
      </w:pPr>
    </w:p>
    <w:p w14:paraId="696B898F" w14:textId="6A3703B8" w:rsidR="00872853" w:rsidRPr="000A40E6" w:rsidRDefault="0059080B" w:rsidP="00F756C3">
      <w:pPr>
        <w:suppressAutoHyphens/>
        <w:spacing w:after="120"/>
        <w:rPr>
          <w:rFonts w:eastAsia="Calibri" w:cs="Times New Roman"/>
          <w:szCs w:val="24"/>
        </w:rPr>
      </w:pPr>
      <w:r w:rsidRPr="000A40E6">
        <w:rPr>
          <w:rFonts w:eastAsia="Calibri" w:cs="Times New Roman"/>
          <w:szCs w:val="24"/>
        </w:rPr>
        <w:t xml:space="preserve">8) </w:t>
      </w:r>
      <w:r w:rsidR="00872853" w:rsidRPr="000A40E6">
        <w:rPr>
          <w:rFonts w:eastAsia="Calibri" w:cs="Times New Roman"/>
          <w:szCs w:val="24"/>
        </w:rPr>
        <w:t xml:space="preserve">Standartların </w:t>
      </w:r>
      <w:proofErr w:type="gramStart"/>
      <w:r w:rsidR="00872853" w:rsidRPr="000A40E6">
        <w:rPr>
          <w:rFonts w:eastAsia="Calibri" w:cs="Times New Roman"/>
          <w:szCs w:val="24"/>
        </w:rPr>
        <w:t>konsantrasyonlarına</w:t>
      </w:r>
      <w:proofErr w:type="gramEnd"/>
      <w:r w:rsidR="00872853" w:rsidRPr="000A40E6">
        <w:rPr>
          <w:rFonts w:eastAsia="Calibri" w:cs="Times New Roman"/>
          <w:szCs w:val="24"/>
        </w:rPr>
        <w:t xml:space="preserve"> karşılık okunan </w:t>
      </w:r>
      <w:r w:rsidR="00FF4AE3" w:rsidRPr="000A40E6">
        <w:rPr>
          <w:rFonts w:cs="Times New Roman"/>
          <w:szCs w:val="24"/>
        </w:rPr>
        <w:t xml:space="preserve">optik dansite </w:t>
      </w:r>
      <w:r w:rsidR="00872853" w:rsidRPr="000A40E6">
        <w:rPr>
          <w:rFonts w:eastAsia="Calibri" w:cs="Times New Roman"/>
          <w:szCs w:val="24"/>
        </w:rPr>
        <w:t>değerlerine bağlı olarak standart grafiği çizil</w:t>
      </w:r>
      <w:r w:rsidR="007F69B9" w:rsidRPr="000A40E6">
        <w:rPr>
          <w:rFonts w:eastAsia="Calibri" w:cs="Times New Roman"/>
          <w:szCs w:val="24"/>
        </w:rPr>
        <w:t>miştir</w:t>
      </w:r>
      <w:r w:rsidR="00872853" w:rsidRPr="000A40E6">
        <w:rPr>
          <w:rFonts w:eastAsia="Calibri" w:cs="Times New Roman"/>
          <w:szCs w:val="24"/>
        </w:rPr>
        <w:t>. 4-parametre denklemi bulun</w:t>
      </w:r>
      <w:r w:rsidR="007F69B9" w:rsidRPr="000A40E6">
        <w:rPr>
          <w:rFonts w:eastAsia="Calibri" w:cs="Times New Roman"/>
          <w:szCs w:val="24"/>
        </w:rPr>
        <w:t>muştur</w:t>
      </w:r>
      <w:r w:rsidR="00872853" w:rsidRPr="000A40E6">
        <w:rPr>
          <w:rFonts w:eastAsia="Calibri" w:cs="Times New Roman"/>
          <w:szCs w:val="24"/>
        </w:rPr>
        <w:t xml:space="preserve"> ve bu denklemden yola çıkılarak örneklerin </w:t>
      </w:r>
      <w:proofErr w:type="gramStart"/>
      <w:r w:rsidR="00872853" w:rsidRPr="000A40E6">
        <w:rPr>
          <w:rFonts w:eastAsia="Calibri" w:cs="Times New Roman"/>
          <w:szCs w:val="24"/>
        </w:rPr>
        <w:t>konsantrasyonları</w:t>
      </w:r>
      <w:proofErr w:type="gramEnd"/>
      <w:r w:rsidR="00872853" w:rsidRPr="000A40E6">
        <w:rPr>
          <w:rFonts w:eastAsia="Calibri" w:cs="Times New Roman"/>
          <w:szCs w:val="24"/>
        </w:rPr>
        <w:t xml:space="preserve"> hesaplan</w:t>
      </w:r>
      <w:r w:rsidR="007F69B9" w:rsidRPr="000A40E6">
        <w:rPr>
          <w:rFonts w:eastAsia="Calibri" w:cs="Times New Roman"/>
          <w:szCs w:val="24"/>
        </w:rPr>
        <w:t>mıştır</w:t>
      </w:r>
      <w:r w:rsidR="00CB60C7" w:rsidRPr="000A40E6">
        <w:rPr>
          <w:rFonts w:eastAsia="Calibri" w:cs="Times New Roman"/>
          <w:szCs w:val="24"/>
        </w:rPr>
        <w:t xml:space="preserve"> (Resim 19</w:t>
      </w:r>
      <w:r w:rsidRPr="000A40E6">
        <w:rPr>
          <w:rFonts w:eastAsia="Calibri" w:cs="Times New Roman"/>
          <w:szCs w:val="24"/>
        </w:rPr>
        <w:t>)</w:t>
      </w:r>
      <w:r w:rsidR="00872853" w:rsidRPr="000A40E6">
        <w:rPr>
          <w:rFonts w:eastAsia="Calibri" w:cs="Times New Roman"/>
          <w:szCs w:val="24"/>
        </w:rPr>
        <w:t>.</w:t>
      </w:r>
    </w:p>
    <w:p w14:paraId="1D0DC393" w14:textId="77777777" w:rsidR="00F756C3" w:rsidRPr="000A40E6" w:rsidRDefault="00F756C3" w:rsidP="00F756C3">
      <w:pPr>
        <w:suppressAutoHyphens/>
        <w:spacing w:after="120"/>
        <w:rPr>
          <w:rFonts w:eastAsia="Calibri" w:cs="Times New Roman"/>
          <w:szCs w:val="24"/>
        </w:rPr>
      </w:pPr>
    </w:p>
    <w:p w14:paraId="5D891720" w14:textId="5B969D28" w:rsidR="00872853" w:rsidRPr="000A40E6" w:rsidRDefault="00872853" w:rsidP="00F756C3">
      <w:pPr>
        <w:suppressAutoHyphens/>
        <w:spacing w:line="240" w:lineRule="atLeast"/>
        <w:ind w:firstLine="0"/>
        <w:jc w:val="center"/>
        <w:rPr>
          <w:rFonts w:eastAsia="Calibri" w:cs="Times New Roman"/>
          <w:szCs w:val="24"/>
        </w:rPr>
      </w:pPr>
      <w:r w:rsidRPr="000A40E6">
        <w:rPr>
          <w:rFonts w:eastAsia="Calibri" w:cs="Times New Roman"/>
          <w:noProof/>
          <w:szCs w:val="24"/>
          <w:lang w:eastAsia="tr-TR"/>
        </w:rPr>
        <w:drawing>
          <wp:inline distT="0" distB="0" distL="0" distR="0" wp14:anchorId="089E33BE" wp14:editId="368C1B01">
            <wp:extent cx="2880000" cy="2195644"/>
            <wp:effectExtent l="0" t="0" r="0" b="0"/>
            <wp:docPr id="19" name="Resim 19" descr="C:\Users\user\Desktop\TEZ HASTALARI\TEZ FOTO\mikroplaka okuyu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Z HASTALARI\TEZ FOTO\mikroplaka okuyucu.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6956" t="4016" r="5217" b="3213"/>
                    <a:stretch/>
                  </pic:blipFill>
                  <pic:spPr bwMode="auto">
                    <a:xfrm>
                      <a:off x="0" y="0"/>
                      <a:ext cx="2880000" cy="2195644"/>
                    </a:xfrm>
                    <a:prstGeom prst="rect">
                      <a:avLst/>
                    </a:prstGeom>
                    <a:noFill/>
                    <a:ln>
                      <a:noFill/>
                    </a:ln>
                    <a:extLst>
                      <a:ext uri="{53640926-AAD7-44D8-BBD7-CCE9431645EC}">
                        <a14:shadowObscured xmlns:a14="http://schemas.microsoft.com/office/drawing/2010/main"/>
                      </a:ext>
                    </a:extLst>
                  </pic:spPr>
                </pic:pic>
              </a:graphicData>
            </a:graphic>
          </wp:inline>
        </w:drawing>
      </w:r>
    </w:p>
    <w:p w14:paraId="6F492135" w14:textId="4499791E" w:rsidR="00872853" w:rsidRPr="000A40E6" w:rsidRDefault="00686EB7" w:rsidP="00F756C3">
      <w:pPr>
        <w:pStyle w:val="ResimYazs"/>
        <w:suppressAutoHyphens/>
        <w:spacing w:before="120" w:after="120" w:line="360" w:lineRule="auto"/>
        <w:ind w:left="567" w:hanging="567"/>
        <w:rPr>
          <w:rFonts w:eastAsia="Calibri" w:cs="Times New Roman"/>
          <w:b w:val="0"/>
          <w:color w:val="auto"/>
          <w:sz w:val="24"/>
          <w:szCs w:val="24"/>
        </w:rPr>
      </w:pPr>
      <w:bookmarkStart w:id="126" w:name="_Toc136385567"/>
      <w:bookmarkStart w:id="127" w:name="_Toc136386394"/>
      <w:r w:rsidRPr="000A40E6">
        <w:rPr>
          <w:rFonts w:cs="Times New Roman"/>
          <w:color w:val="auto"/>
          <w:sz w:val="24"/>
          <w:szCs w:val="24"/>
        </w:rPr>
        <w:t xml:space="preserve">Resim </w:t>
      </w:r>
      <w:r w:rsidR="003F42DA" w:rsidRPr="000A40E6">
        <w:rPr>
          <w:rFonts w:cs="Times New Roman"/>
          <w:noProof/>
          <w:color w:val="auto"/>
          <w:sz w:val="24"/>
          <w:szCs w:val="24"/>
        </w:rPr>
        <w:t>19</w:t>
      </w:r>
      <w:r w:rsidRPr="000A40E6">
        <w:rPr>
          <w:rFonts w:cs="Times New Roman"/>
          <w:color w:val="auto"/>
          <w:sz w:val="24"/>
          <w:szCs w:val="24"/>
        </w:rPr>
        <w:t xml:space="preserve">. </w:t>
      </w:r>
      <w:r w:rsidR="00DD29B8" w:rsidRPr="000A40E6">
        <w:rPr>
          <w:rFonts w:eastAsia="Calibri" w:cs="Times New Roman"/>
          <w:b w:val="0"/>
          <w:color w:val="auto"/>
          <w:sz w:val="24"/>
          <w:szCs w:val="24"/>
        </w:rPr>
        <w:t xml:space="preserve">Çalışmada kullanılan </w:t>
      </w:r>
      <w:r w:rsidR="00DD29B8" w:rsidRPr="000A40E6">
        <w:rPr>
          <w:rFonts w:cs="Times New Roman"/>
          <w:b w:val="0"/>
          <w:color w:val="auto"/>
          <w:sz w:val="24"/>
          <w:szCs w:val="24"/>
        </w:rPr>
        <w:t>m</w:t>
      </w:r>
      <w:r w:rsidR="00872853" w:rsidRPr="000A40E6">
        <w:rPr>
          <w:rFonts w:cs="Times New Roman"/>
          <w:b w:val="0"/>
          <w:color w:val="auto"/>
          <w:sz w:val="24"/>
          <w:szCs w:val="24"/>
        </w:rPr>
        <w:t>i</w:t>
      </w:r>
      <w:r w:rsidR="00DD29B8" w:rsidRPr="000A40E6">
        <w:rPr>
          <w:rFonts w:cs="Times New Roman"/>
          <w:b w:val="0"/>
          <w:color w:val="auto"/>
          <w:sz w:val="24"/>
          <w:szCs w:val="24"/>
        </w:rPr>
        <w:t>kroplaka o</w:t>
      </w:r>
      <w:r w:rsidR="00BA611F" w:rsidRPr="000A40E6">
        <w:rPr>
          <w:rFonts w:cs="Times New Roman"/>
          <w:b w:val="0"/>
          <w:color w:val="auto"/>
          <w:sz w:val="24"/>
          <w:szCs w:val="24"/>
        </w:rPr>
        <w:t>kuyucu.</w:t>
      </w:r>
      <w:bookmarkEnd w:id="126"/>
      <w:bookmarkEnd w:id="127"/>
    </w:p>
    <w:p w14:paraId="37AB7B6B" w14:textId="77777777" w:rsidR="00BF39D1" w:rsidRPr="000A40E6" w:rsidRDefault="00BF39D1" w:rsidP="00F756C3">
      <w:pPr>
        <w:suppressAutoHyphens/>
        <w:spacing w:after="120"/>
        <w:rPr>
          <w:rFonts w:eastAsia="Calibri" w:cs="Times New Roman"/>
          <w:b/>
          <w:szCs w:val="24"/>
          <w:lang w:val="en-GB"/>
        </w:rPr>
      </w:pPr>
    </w:p>
    <w:p w14:paraId="42D830EE" w14:textId="77777777" w:rsidR="00F756C3" w:rsidRPr="000A40E6" w:rsidRDefault="00F756C3">
      <w:pPr>
        <w:spacing w:after="200" w:line="276" w:lineRule="auto"/>
        <w:ind w:firstLine="0"/>
        <w:jc w:val="left"/>
        <w:rPr>
          <w:rFonts w:cs="Times New Roman"/>
          <w:b/>
          <w:szCs w:val="24"/>
        </w:rPr>
      </w:pPr>
      <w:bookmarkStart w:id="128" w:name="_Toc136443425"/>
      <w:r w:rsidRPr="000A40E6">
        <w:rPr>
          <w:rFonts w:cs="Times New Roman"/>
          <w:b/>
          <w:szCs w:val="24"/>
        </w:rPr>
        <w:br w:type="page"/>
      </w:r>
    </w:p>
    <w:p w14:paraId="081D7C43" w14:textId="37F4BBDF" w:rsidR="00CA71E3" w:rsidRPr="000A40E6" w:rsidRDefault="007E55E8" w:rsidP="00F756C3">
      <w:pPr>
        <w:suppressAutoHyphens/>
        <w:spacing w:after="120"/>
        <w:ind w:firstLine="0"/>
        <w:rPr>
          <w:rFonts w:cs="Times New Roman"/>
          <w:b/>
          <w:szCs w:val="24"/>
        </w:rPr>
      </w:pPr>
      <w:r w:rsidRPr="000A40E6">
        <w:rPr>
          <w:rFonts w:cs="Times New Roman"/>
          <w:b/>
          <w:szCs w:val="24"/>
        </w:rPr>
        <w:t xml:space="preserve">3.6. </w:t>
      </w:r>
      <w:r w:rsidR="00CA71E3" w:rsidRPr="000A40E6">
        <w:rPr>
          <w:rFonts w:cs="Times New Roman"/>
          <w:b/>
          <w:szCs w:val="24"/>
        </w:rPr>
        <w:t>İstatistiksel Analizler</w:t>
      </w:r>
      <w:bookmarkEnd w:id="128"/>
    </w:p>
    <w:p w14:paraId="163AE60D" w14:textId="77777777" w:rsidR="00CA71E3" w:rsidRPr="000A40E6" w:rsidRDefault="00CA71E3" w:rsidP="00F756C3">
      <w:pPr>
        <w:suppressAutoHyphens/>
        <w:spacing w:after="120"/>
        <w:rPr>
          <w:rFonts w:cs="Times New Roman"/>
          <w:b/>
          <w:bCs/>
          <w:szCs w:val="24"/>
        </w:rPr>
      </w:pPr>
    </w:p>
    <w:p w14:paraId="6E34C145" w14:textId="3C17F647" w:rsidR="00CA71E3" w:rsidRPr="000A40E6" w:rsidRDefault="00CA71E3" w:rsidP="00F756C3">
      <w:pPr>
        <w:suppressAutoHyphens/>
        <w:spacing w:after="120"/>
        <w:rPr>
          <w:rFonts w:cs="Times New Roman"/>
          <w:szCs w:val="24"/>
        </w:rPr>
      </w:pPr>
      <w:r w:rsidRPr="000A40E6">
        <w:rPr>
          <w:rFonts w:cs="Times New Roman"/>
          <w:szCs w:val="24"/>
        </w:rPr>
        <w:t xml:space="preserve">Çalışmada yer alan biyokimyasal ölçümler ile cep derinliği ölçümlerinin çok değişkenli normal dağılıma uygunluğu Royston testi, yaşın tek değişkenli normal dağılıma uygunluğu Shapiro-Wilk’s testi ile incelenmiştir. Yaş ortalama ± standart sapma (ort±ss) ve değişim aralığı (minimum-maksimum: min-maks) </w:t>
      </w:r>
      <w:proofErr w:type="gramStart"/>
      <w:r w:rsidRPr="000A40E6">
        <w:rPr>
          <w:rFonts w:cs="Times New Roman"/>
          <w:szCs w:val="24"/>
        </w:rPr>
        <w:t>ile,</w:t>
      </w:r>
      <w:proofErr w:type="gramEnd"/>
      <w:r w:rsidRPr="000A40E6">
        <w:rPr>
          <w:rFonts w:cs="Times New Roman"/>
          <w:szCs w:val="24"/>
        </w:rPr>
        <w:t xml:space="preserve"> diğer tüm ölçümler ort±ss ve ortanca (çeyrekler arası genişlik, ÇAG: 1. çeyrek – 3. çeyrek) ile özetlenmiştir.</w:t>
      </w:r>
    </w:p>
    <w:p w14:paraId="78E77756" w14:textId="7E4FC719" w:rsidR="00CA71E3" w:rsidRPr="000A40E6" w:rsidRDefault="00CA71E3" w:rsidP="00F756C3">
      <w:pPr>
        <w:suppressAutoHyphens/>
        <w:spacing w:after="120"/>
        <w:rPr>
          <w:rFonts w:cs="Times New Roman"/>
          <w:szCs w:val="24"/>
        </w:rPr>
      </w:pPr>
      <w:r w:rsidRPr="000A40E6">
        <w:rPr>
          <w:rFonts w:cs="Times New Roman"/>
          <w:szCs w:val="24"/>
        </w:rPr>
        <w:t>Biyokimyasal ölçümler ile cep derinliği ölçümlerinde Mahalanobis uzaklığı ile aykırı gözlemler olduğu belirlendiği ve bu ölçümler çok değişkenli normal dağılım göstermediği için ölçümlerin zamanla değişiminin bölge arasındaki farklılığı, parametrik olmayan LD-F2 tasarımı ile incelenmiştir. Zaman ve bölge etkileşim etkisi için LD-F2 tasarımından elde edilen ANOVA-tipi test istatistiği (ATİ) ve p-değeri verilmiştir. Zaman ve bölge etkileşimi etkisi istatistiksel olarak anlamlı bulunmadığından ölçümlerin her bir bölgede zamana göre farklılığı Friedman testi ile test edilmiştir. Friedman testi ayrıca PI, GI ve BOP ölçümlerini zamana göre karşılaştırmak ve cep derinliği ölçümlerini her bir ölçüm zamanında bölgelere göre karşılaştırmak için de kullanılmıştır. Gerektiğinde, Friedman testinden sonra post-</w:t>
      </w:r>
      <w:proofErr w:type="gramStart"/>
      <w:r w:rsidRPr="000A40E6">
        <w:rPr>
          <w:rFonts w:cs="Times New Roman"/>
          <w:szCs w:val="24"/>
        </w:rPr>
        <w:t>hoc</w:t>
      </w:r>
      <w:proofErr w:type="gramEnd"/>
      <w:r w:rsidRPr="000A40E6">
        <w:rPr>
          <w:rFonts w:cs="Times New Roman"/>
          <w:szCs w:val="24"/>
        </w:rPr>
        <w:t xml:space="preserve"> test olarak Campbell ve Skillings’in önerdiği yöntem uygulanmıştır (</w:t>
      </w:r>
      <w:r w:rsidR="00C42E4B" w:rsidRPr="000A40E6">
        <w:rPr>
          <w:rFonts w:cs="Times New Roman"/>
          <w:szCs w:val="24"/>
        </w:rPr>
        <w:t>Campbell ve Skillings, 1985)</w:t>
      </w:r>
      <w:r w:rsidRPr="000A40E6">
        <w:rPr>
          <w:rFonts w:cs="Times New Roman"/>
          <w:szCs w:val="24"/>
        </w:rPr>
        <w:t>. Her bir ölçüm zamanında, biyokimyasal ölçümler bölgeye göre Wilcoxon testi ile karşılaştırılmıştır. İstatistiksel anlamlılık düzeyi p≤0.05 kabul edilmiştir.</w:t>
      </w:r>
    </w:p>
    <w:p w14:paraId="14DB40EB" w14:textId="7EAFC4D2" w:rsidR="007E55E8" w:rsidRPr="000A40E6" w:rsidRDefault="00CA71E3" w:rsidP="00F756C3">
      <w:pPr>
        <w:suppressAutoHyphens/>
        <w:spacing w:after="120"/>
        <w:rPr>
          <w:rFonts w:cs="Times New Roman"/>
          <w:szCs w:val="24"/>
        </w:rPr>
      </w:pPr>
      <w:r w:rsidRPr="000A40E6">
        <w:rPr>
          <w:rFonts w:cs="Times New Roman"/>
          <w:szCs w:val="24"/>
        </w:rPr>
        <w:t>Royston testi ve LD-F2 tasarımı, R programlama dili (v.4.3.1)ve RStudio yazılımında (v.2022.12.0.353) uygulanmıştır (</w:t>
      </w:r>
      <w:r w:rsidR="000A20E5" w:rsidRPr="000A40E6">
        <w:rPr>
          <w:rFonts w:cs="Times New Roman"/>
          <w:szCs w:val="24"/>
          <w:lang w:val="en-US"/>
        </w:rPr>
        <w:t>R Core Team, 2022;</w:t>
      </w:r>
      <w:r w:rsidR="006B340E" w:rsidRPr="000A40E6">
        <w:rPr>
          <w:rFonts w:cs="Times New Roman"/>
          <w:szCs w:val="24"/>
        </w:rPr>
        <w:t xml:space="preserve"> </w:t>
      </w:r>
      <w:r w:rsidR="00C435E4" w:rsidRPr="000A40E6">
        <w:rPr>
          <w:rFonts w:cs="Times New Roman"/>
          <w:szCs w:val="24"/>
          <w:lang w:val="en-US"/>
        </w:rPr>
        <w:t>T</w:t>
      </w:r>
      <w:r w:rsidR="000A20E5" w:rsidRPr="000A40E6">
        <w:rPr>
          <w:rFonts w:cs="Times New Roman"/>
          <w:szCs w:val="24"/>
          <w:lang w:val="en-US"/>
        </w:rPr>
        <w:t>eam,</w:t>
      </w:r>
      <w:r w:rsidR="006B340E" w:rsidRPr="000A40E6">
        <w:rPr>
          <w:rFonts w:cs="Times New Roman"/>
          <w:szCs w:val="24"/>
          <w:lang w:val="en-US"/>
        </w:rPr>
        <w:t xml:space="preserve"> </w:t>
      </w:r>
      <w:r w:rsidR="000A20E5" w:rsidRPr="000A40E6">
        <w:rPr>
          <w:rFonts w:cs="Times New Roman"/>
          <w:szCs w:val="24"/>
          <w:lang w:val="en-US"/>
        </w:rPr>
        <w:t>2022</w:t>
      </w:r>
      <w:r w:rsidRPr="000A40E6">
        <w:rPr>
          <w:rFonts w:cs="Times New Roman"/>
          <w:szCs w:val="24"/>
        </w:rPr>
        <w:t>). Royston testi için MVN paketinin (v.</w:t>
      </w:r>
      <w:proofErr w:type="gramStart"/>
      <w:r w:rsidRPr="000A40E6">
        <w:rPr>
          <w:rFonts w:cs="Times New Roman"/>
          <w:szCs w:val="24"/>
        </w:rPr>
        <w:t>5.9</w:t>
      </w:r>
      <w:proofErr w:type="gramEnd"/>
      <w:r w:rsidRPr="000A40E6">
        <w:rPr>
          <w:rFonts w:cs="Times New Roman"/>
          <w:szCs w:val="24"/>
        </w:rPr>
        <w:t xml:space="preserve">) </w:t>
      </w:r>
      <w:r w:rsidRPr="000A40E6">
        <w:rPr>
          <w:rFonts w:cs="Times New Roman"/>
          <w:i/>
          <w:iCs/>
          <w:szCs w:val="24"/>
        </w:rPr>
        <w:t>mvn</w:t>
      </w:r>
      <w:r w:rsidRPr="000A40E6">
        <w:rPr>
          <w:rFonts w:cs="Times New Roman"/>
          <w:szCs w:val="24"/>
        </w:rPr>
        <w:t xml:space="preserve"> fonksiyonu, LD-F2 tasarımı için nparLD paketinin (v.2.2) </w:t>
      </w:r>
      <w:r w:rsidRPr="000A40E6">
        <w:rPr>
          <w:rFonts w:cs="Times New Roman"/>
          <w:i/>
          <w:iCs/>
          <w:szCs w:val="24"/>
        </w:rPr>
        <w:t>nparLD</w:t>
      </w:r>
      <w:r w:rsidR="00A1725D" w:rsidRPr="000A40E6">
        <w:rPr>
          <w:rFonts w:cs="Times New Roman"/>
          <w:szCs w:val="24"/>
        </w:rPr>
        <w:t xml:space="preserve"> fonksiyonu kullanılmıştır</w:t>
      </w:r>
      <w:r w:rsidRPr="000A40E6">
        <w:rPr>
          <w:rFonts w:cs="Times New Roman"/>
          <w:szCs w:val="24"/>
        </w:rPr>
        <w:t xml:space="preserve"> (</w:t>
      </w:r>
      <w:r w:rsidR="00A1725D" w:rsidRPr="000A40E6">
        <w:rPr>
          <w:rFonts w:cs="Times New Roman"/>
          <w:szCs w:val="24"/>
        </w:rPr>
        <w:t>Korkmaz ve diğerleri, 2014;</w:t>
      </w:r>
      <w:r w:rsidRPr="000A40E6">
        <w:rPr>
          <w:rFonts w:cs="Times New Roman"/>
          <w:szCs w:val="24"/>
        </w:rPr>
        <w:t xml:space="preserve"> </w:t>
      </w:r>
      <w:r w:rsidR="00F04F97" w:rsidRPr="000A40E6">
        <w:rPr>
          <w:rFonts w:cs="Times New Roman"/>
          <w:szCs w:val="24"/>
          <w:shd w:val="clear" w:color="auto" w:fill="FFFFFF"/>
        </w:rPr>
        <w:t>Noguchi</w:t>
      </w:r>
      <w:r w:rsidR="00F04F97" w:rsidRPr="000A40E6">
        <w:rPr>
          <w:rFonts w:cs="Times New Roman"/>
          <w:szCs w:val="24"/>
        </w:rPr>
        <w:t xml:space="preserve"> </w:t>
      </w:r>
      <w:r w:rsidR="009C7009" w:rsidRPr="000A40E6">
        <w:rPr>
          <w:rFonts w:cs="Times New Roman"/>
          <w:szCs w:val="24"/>
        </w:rPr>
        <w:t>ve diğerleri, 2012)</w:t>
      </w:r>
      <w:r w:rsidRPr="000A40E6">
        <w:rPr>
          <w:rFonts w:cs="Times New Roman"/>
          <w:szCs w:val="24"/>
        </w:rPr>
        <w:t xml:space="preserve">. Diğer tüm istatistiksel analizler için IBM SPSS Statistics </w:t>
      </w:r>
      <w:proofErr w:type="gramStart"/>
      <w:r w:rsidRPr="000A40E6">
        <w:rPr>
          <w:rFonts w:cs="Times New Roman"/>
          <w:szCs w:val="24"/>
        </w:rPr>
        <w:t>22.0</w:t>
      </w:r>
      <w:proofErr w:type="gramEnd"/>
      <w:r w:rsidRPr="000A40E6">
        <w:rPr>
          <w:rFonts w:cs="Times New Roman"/>
          <w:szCs w:val="24"/>
        </w:rPr>
        <w:t xml:space="preserve"> (IBM Corp. Released 2013. IBM SPSS Statistics for Windows, Version </w:t>
      </w:r>
      <w:proofErr w:type="gramStart"/>
      <w:r w:rsidRPr="000A40E6">
        <w:rPr>
          <w:rFonts w:cs="Times New Roman"/>
          <w:szCs w:val="24"/>
        </w:rPr>
        <w:t>22.0</w:t>
      </w:r>
      <w:proofErr w:type="gramEnd"/>
      <w:r w:rsidRPr="000A40E6">
        <w:rPr>
          <w:rFonts w:cs="Times New Roman"/>
          <w:szCs w:val="24"/>
        </w:rPr>
        <w:t>. Armonk, NY: IBM Corp.) paket programı kullanılmıştır.</w:t>
      </w:r>
    </w:p>
    <w:p w14:paraId="3A562C0C" w14:textId="77777777" w:rsidR="007E55E8" w:rsidRPr="000A40E6" w:rsidRDefault="007E55E8" w:rsidP="00F756C3">
      <w:pPr>
        <w:suppressAutoHyphens/>
        <w:spacing w:after="120"/>
        <w:rPr>
          <w:rFonts w:cs="Times New Roman"/>
          <w:szCs w:val="24"/>
        </w:rPr>
      </w:pPr>
    </w:p>
    <w:p w14:paraId="7622F7A9" w14:textId="77777777" w:rsidR="00596DEB" w:rsidRPr="000A40E6" w:rsidRDefault="00596DEB" w:rsidP="00F756C3">
      <w:pPr>
        <w:suppressAutoHyphens/>
        <w:spacing w:after="120"/>
        <w:rPr>
          <w:rFonts w:cs="Times New Roman"/>
          <w:szCs w:val="24"/>
        </w:rPr>
      </w:pPr>
    </w:p>
    <w:p w14:paraId="33C93832" w14:textId="3705D72B" w:rsidR="00F301EB" w:rsidRPr="000A40E6" w:rsidRDefault="00F301EB" w:rsidP="00F756C3">
      <w:pPr>
        <w:suppressAutoHyphens/>
        <w:spacing w:after="200" w:line="276" w:lineRule="auto"/>
        <w:ind w:firstLine="0"/>
        <w:jc w:val="left"/>
        <w:rPr>
          <w:rFonts w:cs="Times New Roman"/>
          <w:szCs w:val="24"/>
        </w:rPr>
      </w:pPr>
      <w:r w:rsidRPr="000A40E6">
        <w:rPr>
          <w:rFonts w:cs="Times New Roman"/>
          <w:szCs w:val="24"/>
        </w:rPr>
        <w:br w:type="page"/>
      </w:r>
    </w:p>
    <w:p w14:paraId="1819AFB0" w14:textId="2A812C13" w:rsidR="009B2AA4" w:rsidRPr="000A40E6" w:rsidRDefault="004C1D44" w:rsidP="00F756C3">
      <w:pPr>
        <w:suppressAutoHyphens/>
        <w:spacing w:after="120"/>
        <w:ind w:firstLine="0"/>
        <w:jc w:val="center"/>
        <w:rPr>
          <w:rFonts w:cs="Times New Roman"/>
          <w:b/>
          <w:sz w:val="28"/>
          <w:szCs w:val="24"/>
        </w:rPr>
      </w:pPr>
      <w:bookmarkStart w:id="129" w:name="_Toc136443426"/>
      <w:bookmarkEnd w:id="32"/>
      <w:bookmarkEnd w:id="33"/>
      <w:bookmarkEnd w:id="34"/>
      <w:r w:rsidRPr="000A40E6">
        <w:rPr>
          <w:rFonts w:cs="Times New Roman"/>
          <w:b/>
          <w:sz w:val="28"/>
          <w:szCs w:val="24"/>
        </w:rPr>
        <w:t>4. BULGULAR</w:t>
      </w:r>
      <w:bookmarkEnd w:id="129"/>
    </w:p>
    <w:p w14:paraId="3884A680" w14:textId="77777777" w:rsidR="009B2AA4" w:rsidRPr="000A40E6" w:rsidRDefault="009B2AA4" w:rsidP="00F756C3">
      <w:pPr>
        <w:suppressAutoHyphens/>
        <w:spacing w:after="120"/>
        <w:ind w:firstLine="0"/>
        <w:rPr>
          <w:rFonts w:cs="Times New Roman"/>
          <w:b/>
          <w:szCs w:val="24"/>
        </w:rPr>
      </w:pPr>
    </w:p>
    <w:p w14:paraId="53F44EEC" w14:textId="77777777" w:rsidR="009B2AA4" w:rsidRPr="000A40E6" w:rsidRDefault="009B2AA4" w:rsidP="00F756C3">
      <w:pPr>
        <w:suppressAutoHyphens/>
        <w:spacing w:after="120"/>
        <w:ind w:firstLine="0"/>
        <w:rPr>
          <w:rFonts w:cs="Times New Roman"/>
          <w:b/>
          <w:szCs w:val="24"/>
        </w:rPr>
      </w:pPr>
    </w:p>
    <w:p w14:paraId="2C75A3A4" w14:textId="55960AF5" w:rsidR="009B2AA4" w:rsidRPr="000A40E6" w:rsidRDefault="00D252B1"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Çalışmad</w:t>
      </w:r>
      <w:r w:rsidR="009B2AA4" w:rsidRPr="000A40E6">
        <w:rPr>
          <w:rFonts w:eastAsia="Calibri" w:cs="Times New Roman"/>
          <w:kern w:val="2"/>
          <w:szCs w:val="24"/>
          <w14:ligatures w14:val="standardContextual"/>
        </w:rPr>
        <w:t xml:space="preserve">a </w:t>
      </w:r>
      <w:r w:rsidRPr="000A40E6">
        <w:rPr>
          <w:rFonts w:eastAsia="Calibri" w:cs="Times New Roman"/>
          <w:kern w:val="2"/>
          <w:szCs w:val="24"/>
          <w14:ligatures w14:val="standardContextual"/>
        </w:rPr>
        <w:t xml:space="preserve">yer alan hastaların </w:t>
      </w:r>
      <w:r w:rsidR="009B2AA4" w:rsidRPr="000A40E6">
        <w:rPr>
          <w:rFonts w:eastAsia="Calibri" w:cs="Times New Roman"/>
          <w:kern w:val="2"/>
          <w:szCs w:val="24"/>
          <w14:ligatures w14:val="standardContextual"/>
        </w:rPr>
        <w:t>yaş ortalaması 13.57±1.13 yıl (min-maks: 11.50-15.67) olarak hesaplanmıştır.</w:t>
      </w:r>
    </w:p>
    <w:p w14:paraId="0AE7E216" w14:textId="782F4306" w:rsidR="008B7DEC" w:rsidRPr="000A40E6" w:rsidRDefault="008B7DEC"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Plak indeksi, gingival indeks ve sondlamada kanama ölçümleri zamana göre anlamlı düzeyde artmıştır (üçü için de p&lt;0.001, Tablo</w:t>
      </w:r>
      <w:r w:rsidR="00A36B2B" w:rsidRPr="000A40E6">
        <w:rPr>
          <w:rFonts w:eastAsia="Calibri" w:cs="Times New Roman"/>
          <w:kern w:val="2"/>
          <w:szCs w:val="24"/>
          <w14:ligatures w14:val="standardContextual"/>
        </w:rPr>
        <w:t xml:space="preserve"> 5</w:t>
      </w:r>
      <w:r w:rsidRPr="000A40E6">
        <w:rPr>
          <w:rFonts w:eastAsia="Calibri" w:cs="Times New Roman"/>
          <w:kern w:val="2"/>
          <w:szCs w:val="24"/>
          <w14:ligatures w14:val="standardContextual"/>
        </w:rPr>
        <w:t>). Fakat bu artışa rağmen T1 ile T2, T2 ile T3 zamanları arasında istatistiksel olarak anlamlı bir fark görülmemiştir (p&gt;0.05). Ancak bu ölçümler, T0 zamanında diğer zamanlara göre ve T1 zamanında T3’e göre anlamlı düzeyde daha düşük elde edilmiştir.</w:t>
      </w:r>
    </w:p>
    <w:p w14:paraId="7CD92F6B" w14:textId="77777777" w:rsidR="008B7DEC" w:rsidRPr="000A40E6" w:rsidRDefault="008B7DEC" w:rsidP="00F756C3">
      <w:pPr>
        <w:suppressAutoHyphens/>
        <w:spacing w:after="120"/>
        <w:rPr>
          <w:rFonts w:eastAsia="Calibri" w:cs="Times New Roman"/>
          <w:kern w:val="2"/>
          <w:szCs w:val="24"/>
          <w14:ligatures w14:val="standardContextual"/>
        </w:rPr>
      </w:pPr>
    </w:p>
    <w:p w14:paraId="32FD1C60" w14:textId="414182E6" w:rsidR="008B7DEC" w:rsidRPr="000A40E6" w:rsidRDefault="008B7DEC" w:rsidP="00F756C3">
      <w:pPr>
        <w:pStyle w:val="ResimYazs"/>
        <w:suppressAutoHyphens/>
        <w:spacing w:before="120" w:after="120" w:line="360" w:lineRule="auto"/>
        <w:ind w:left="567" w:hanging="567"/>
        <w:jc w:val="both"/>
        <w:rPr>
          <w:rFonts w:eastAsia="Calibri" w:cs="Times New Roman"/>
          <w:b w:val="0"/>
          <w:color w:val="auto"/>
          <w:kern w:val="2"/>
          <w:sz w:val="24"/>
          <w:szCs w:val="24"/>
          <w14:ligatures w14:val="standardContextual"/>
        </w:rPr>
      </w:pPr>
      <w:bookmarkStart w:id="130" w:name="_Toc136383402"/>
      <w:r w:rsidRPr="000A40E6">
        <w:rPr>
          <w:rFonts w:cs="Times New Roman"/>
          <w:color w:val="auto"/>
          <w:sz w:val="24"/>
          <w:szCs w:val="24"/>
        </w:rPr>
        <w:t>Tablo</w:t>
      </w:r>
      <w:r w:rsidR="00A36B2B" w:rsidRPr="000A40E6">
        <w:rPr>
          <w:rFonts w:cs="Times New Roman"/>
          <w:color w:val="auto"/>
          <w:sz w:val="24"/>
          <w:szCs w:val="24"/>
        </w:rPr>
        <w:t xml:space="preserve"> 5</w:t>
      </w:r>
      <w:r w:rsidRPr="000A40E6">
        <w:rPr>
          <w:rFonts w:cs="Times New Roman"/>
          <w:color w:val="auto"/>
          <w:sz w:val="24"/>
          <w:szCs w:val="24"/>
        </w:rPr>
        <w:t xml:space="preserve">. </w:t>
      </w:r>
      <w:r w:rsidRPr="000A40E6">
        <w:rPr>
          <w:rFonts w:eastAsia="Calibri" w:cs="Times New Roman"/>
          <w:b w:val="0"/>
          <w:color w:val="auto"/>
          <w:kern w:val="2"/>
          <w:sz w:val="24"/>
          <w:szCs w:val="24"/>
          <w14:ligatures w14:val="standardContextual"/>
        </w:rPr>
        <w:t>PI, GI ve BOP’un zamana göre dağılımı</w:t>
      </w:r>
      <w:bookmarkEnd w:id="130"/>
      <w:r w:rsidR="00425728" w:rsidRPr="000A40E6">
        <w:rPr>
          <w:rFonts w:eastAsia="Calibri" w:cs="Times New Roman"/>
          <w:b w:val="0"/>
          <w:color w:val="auto"/>
          <w:kern w:val="2"/>
          <w:sz w:val="24"/>
          <w:szCs w:val="24"/>
          <w14:ligatures w14:val="standardContextual"/>
        </w:rPr>
        <w:t>.</w:t>
      </w:r>
    </w:p>
    <w:tbl>
      <w:tblPr>
        <w:tblStyle w:val="TabloKlavuzu2"/>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2"/>
        <w:gridCol w:w="2101"/>
        <w:gridCol w:w="2101"/>
        <w:gridCol w:w="2501"/>
      </w:tblGrid>
      <w:tr w:rsidR="008B7DEC" w:rsidRPr="000A40E6" w14:paraId="7BC7E79E" w14:textId="77777777" w:rsidTr="00F756C3">
        <w:trPr>
          <w:jc w:val="center"/>
        </w:trPr>
        <w:tc>
          <w:tcPr>
            <w:tcW w:w="1802" w:type="dxa"/>
            <w:tcBorders>
              <w:top w:val="single" w:sz="4" w:space="0" w:color="auto"/>
              <w:bottom w:val="single" w:sz="4" w:space="0" w:color="auto"/>
            </w:tcBorders>
            <w:shd w:val="clear" w:color="auto" w:fill="auto"/>
            <w:vAlign w:val="center"/>
          </w:tcPr>
          <w:p w14:paraId="33365622"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Ölçüm zamanı</w:t>
            </w:r>
          </w:p>
        </w:tc>
        <w:tc>
          <w:tcPr>
            <w:tcW w:w="2101" w:type="dxa"/>
            <w:tcBorders>
              <w:top w:val="single" w:sz="4" w:space="0" w:color="auto"/>
              <w:bottom w:val="single" w:sz="4" w:space="0" w:color="auto"/>
            </w:tcBorders>
            <w:shd w:val="clear" w:color="auto" w:fill="auto"/>
            <w:vAlign w:val="center"/>
          </w:tcPr>
          <w:p w14:paraId="4693263A"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PI</w:t>
            </w:r>
          </w:p>
          <w:p w14:paraId="162E4AAD" w14:textId="77777777" w:rsidR="008B7DEC" w:rsidRPr="000A40E6" w:rsidRDefault="008B7DEC"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08F38CE4"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2101" w:type="dxa"/>
            <w:tcBorders>
              <w:top w:val="single" w:sz="4" w:space="0" w:color="auto"/>
              <w:bottom w:val="single" w:sz="4" w:space="0" w:color="auto"/>
            </w:tcBorders>
            <w:shd w:val="clear" w:color="auto" w:fill="auto"/>
            <w:vAlign w:val="center"/>
          </w:tcPr>
          <w:p w14:paraId="0270C998"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GI</w:t>
            </w:r>
          </w:p>
          <w:p w14:paraId="3BF279A0" w14:textId="77777777" w:rsidR="008B7DEC" w:rsidRPr="000A40E6" w:rsidRDefault="008B7DEC"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6030CBD0"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2501" w:type="dxa"/>
            <w:tcBorders>
              <w:top w:val="single" w:sz="4" w:space="0" w:color="auto"/>
              <w:bottom w:val="single" w:sz="4" w:space="0" w:color="auto"/>
            </w:tcBorders>
            <w:shd w:val="clear" w:color="auto" w:fill="auto"/>
            <w:vAlign w:val="center"/>
          </w:tcPr>
          <w:p w14:paraId="4B07CF7E"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BOP</w:t>
            </w:r>
          </w:p>
          <w:p w14:paraId="05AFE1F4" w14:textId="77777777" w:rsidR="008B7DEC" w:rsidRPr="000A40E6" w:rsidRDefault="008B7DEC"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477C0490"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r>
      <w:tr w:rsidR="008B7DEC" w:rsidRPr="000A40E6" w14:paraId="05745B7D" w14:textId="77777777" w:rsidTr="00F756C3">
        <w:trPr>
          <w:jc w:val="center"/>
        </w:trPr>
        <w:tc>
          <w:tcPr>
            <w:tcW w:w="1802" w:type="dxa"/>
            <w:tcBorders>
              <w:top w:val="single" w:sz="4" w:space="0" w:color="auto"/>
            </w:tcBorders>
            <w:shd w:val="clear" w:color="auto" w:fill="auto"/>
            <w:vAlign w:val="center"/>
          </w:tcPr>
          <w:p w14:paraId="3F0D9A66"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T0</w:t>
            </w:r>
          </w:p>
        </w:tc>
        <w:tc>
          <w:tcPr>
            <w:tcW w:w="2101" w:type="dxa"/>
            <w:tcBorders>
              <w:top w:val="single" w:sz="4" w:space="0" w:color="auto"/>
            </w:tcBorders>
            <w:shd w:val="clear" w:color="auto" w:fill="auto"/>
            <w:vAlign w:val="center"/>
          </w:tcPr>
          <w:p w14:paraId="07E91A98"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0.15±0.30</w:t>
            </w:r>
          </w:p>
        </w:tc>
        <w:tc>
          <w:tcPr>
            <w:tcW w:w="2101" w:type="dxa"/>
            <w:tcBorders>
              <w:top w:val="single" w:sz="4" w:space="0" w:color="auto"/>
            </w:tcBorders>
            <w:shd w:val="clear" w:color="auto" w:fill="auto"/>
            <w:vAlign w:val="center"/>
          </w:tcPr>
          <w:p w14:paraId="14ADDD0A"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0.23±0.41</w:t>
            </w:r>
          </w:p>
        </w:tc>
        <w:tc>
          <w:tcPr>
            <w:tcW w:w="2501" w:type="dxa"/>
            <w:tcBorders>
              <w:top w:val="single" w:sz="4" w:space="0" w:color="auto"/>
            </w:tcBorders>
            <w:shd w:val="clear" w:color="auto" w:fill="auto"/>
            <w:vAlign w:val="center"/>
          </w:tcPr>
          <w:p w14:paraId="6D05755D"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3.26±8.61</w:t>
            </w:r>
          </w:p>
        </w:tc>
      </w:tr>
      <w:tr w:rsidR="008B7DEC" w:rsidRPr="000A40E6" w14:paraId="4B735914" w14:textId="77777777" w:rsidTr="00F756C3">
        <w:trPr>
          <w:jc w:val="center"/>
        </w:trPr>
        <w:tc>
          <w:tcPr>
            <w:tcW w:w="1802" w:type="dxa"/>
            <w:shd w:val="clear" w:color="auto" w:fill="auto"/>
            <w:vAlign w:val="center"/>
          </w:tcPr>
          <w:p w14:paraId="5BE670B2"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2101" w:type="dxa"/>
            <w:shd w:val="clear" w:color="auto" w:fill="auto"/>
            <w:vAlign w:val="center"/>
          </w:tcPr>
          <w:p w14:paraId="327E55E6"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0.00 (0.00-0.25)</w:t>
            </w:r>
            <w:r w:rsidRPr="000A40E6">
              <w:rPr>
                <w:rFonts w:eastAsia="Calibri" w:cs="Times New Roman"/>
                <w:color w:val="000000"/>
                <w:sz w:val="20"/>
                <w:szCs w:val="20"/>
                <w:vertAlign w:val="superscript"/>
              </w:rPr>
              <w:t>a</w:t>
            </w:r>
          </w:p>
        </w:tc>
        <w:tc>
          <w:tcPr>
            <w:tcW w:w="2101" w:type="dxa"/>
            <w:shd w:val="clear" w:color="auto" w:fill="auto"/>
            <w:vAlign w:val="center"/>
          </w:tcPr>
          <w:p w14:paraId="33B22E59"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0.00 (0.00-0.25)</w:t>
            </w:r>
            <w:r w:rsidRPr="000A40E6">
              <w:rPr>
                <w:rFonts w:eastAsia="Calibri" w:cs="Times New Roman"/>
                <w:color w:val="000000"/>
                <w:sz w:val="20"/>
                <w:szCs w:val="20"/>
                <w:vertAlign w:val="superscript"/>
              </w:rPr>
              <w:t>a</w:t>
            </w:r>
          </w:p>
        </w:tc>
        <w:tc>
          <w:tcPr>
            <w:tcW w:w="2501" w:type="dxa"/>
            <w:shd w:val="clear" w:color="auto" w:fill="auto"/>
            <w:vAlign w:val="center"/>
          </w:tcPr>
          <w:p w14:paraId="55A8E559"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0.00 (0.00-0.00)</w:t>
            </w:r>
            <w:r w:rsidRPr="000A40E6">
              <w:rPr>
                <w:rFonts w:eastAsia="Calibri" w:cs="Times New Roman"/>
                <w:color w:val="000000"/>
                <w:sz w:val="20"/>
                <w:szCs w:val="20"/>
                <w:vertAlign w:val="superscript"/>
              </w:rPr>
              <w:t>a</w:t>
            </w:r>
          </w:p>
        </w:tc>
      </w:tr>
      <w:tr w:rsidR="008B7DEC" w:rsidRPr="000A40E6" w14:paraId="1F4D00D9" w14:textId="77777777" w:rsidTr="00F756C3">
        <w:trPr>
          <w:jc w:val="center"/>
        </w:trPr>
        <w:tc>
          <w:tcPr>
            <w:tcW w:w="1802" w:type="dxa"/>
            <w:shd w:val="clear" w:color="auto" w:fill="auto"/>
            <w:vAlign w:val="center"/>
          </w:tcPr>
          <w:p w14:paraId="232D34A0"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T1</w:t>
            </w:r>
          </w:p>
        </w:tc>
        <w:tc>
          <w:tcPr>
            <w:tcW w:w="2101" w:type="dxa"/>
            <w:shd w:val="clear" w:color="auto" w:fill="auto"/>
            <w:vAlign w:val="center"/>
          </w:tcPr>
          <w:p w14:paraId="1848A83B"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0.59±0.37</w:t>
            </w:r>
          </w:p>
        </w:tc>
        <w:tc>
          <w:tcPr>
            <w:tcW w:w="2101" w:type="dxa"/>
            <w:shd w:val="clear" w:color="auto" w:fill="auto"/>
            <w:vAlign w:val="center"/>
          </w:tcPr>
          <w:p w14:paraId="366AAB90"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0.88±0.61</w:t>
            </w:r>
          </w:p>
        </w:tc>
        <w:tc>
          <w:tcPr>
            <w:tcW w:w="2501" w:type="dxa"/>
            <w:shd w:val="clear" w:color="auto" w:fill="auto"/>
            <w:vAlign w:val="center"/>
          </w:tcPr>
          <w:p w14:paraId="35447BC5"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27.17±29.11</w:t>
            </w:r>
          </w:p>
        </w:tc>
      </w:tr>
      <w:tr w:rsidR="008B7DEC" w:rsidRPr="000A40E6" w14:paraId="70A95D38" w14:textId="77777777" w:rsidTr="00F756C3">
        <w:trPr>
          <w:jc w:val="center"/>
        </w:trPr>
        <w:tc>
          <w:tcPr>
            <w:tcW w:w="1802" w:type="dxa"/>
            <w:shd w:val="clear" w:color="auto" w:fill="auto"/>
            <w:vAlign w:val="center"/>
          </w:tcPr>
          <w:p w14:paraId="682634DC"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2101" w:type="dxa"/>
            <w:shd w:val="clear" w:color="auto" w:fill="auto"/>
            <w:vAlign w:val="center"/>
          </w:tcPr>
          <w:p w14:paraId="1CC6C653"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0.50 (0.25-1.00)</w:t>
            </w:r>
            <w:r w:rsidRPr="000A40E6">
              <w:rPr>
                <w:rFonts w:eastAsia="Calibri" w:cs="Times New Roman"/>
                <w:color w:val="000000"/>
                <w:sz w:val="20"/>
                <w:szCs w:val="20"/>
                <w:vertAlign w:val="superscript"/>
              </w:rPr>
              <w:t>b</w:t>
            </w:r>
          </w:p>
        </w:tc>
        <w:tc>
          <w:tcPr>
            <w:tcW w:w="2101" w:type="dxa"/>
            <w:shd w:val="clear" w:color="auto" w:fill="auto"/>
            <w:vAlign w:val="center"/>
          </w:tcPr>
          <w:p w14:paraId="10B30EEF"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0.75 (0.25-1.50)</w:t>
            </w:r>
            <w:r w:rsidRPr="000A40E6">
              <w:rPr>
                <w:rFonts w:eastAsia="Calibri" w:cs="Times New Roman"/>
                <w:color w:val="000000"/>
                <w:sz w:val="20"/>
                <w:szCs w:val="20"/>
                <w:vertAlign w:val="superscript"/>
              </w:rPr>
              <w:t>b</w:t>
            </w:r>
          </w:p>
        </w:tc>
        <w:tc>
          <w:tcPr>
            <w:tcW w:w="2501" w:type="dxa"/>
            <w:shd w:val="clear" w:color="auto" w:fill="auto"/>
            <w:vAlign w:val="center"/>
          </w:tcPr>
          <w:p w14:paraId="4050A3D1"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25.00 (0.00-50.00)</w:t>
            </w:r>
            <w:r w:rsidRPr="000A40E6">
              <w:rPr>
                <w:rFonts w:eastAsia="Calibri" w:cs="Times New Roman"/>
                <w:color w:val="000000"/>
                <w:sz w:val="20"/>
                <w:szCs w:val="20"/>
                <w:vertAlign w:val="superscript"/>
              </w:rPr>
              <w:t>b</w:t>
            </w:r>
          </w:p>
        </w:tc>
      </w:tr>
      <w:tr w:rsidR="008B7DEC" w:rsidRPr="000A40E6" w14:paraId="065CFD63" w14:textId="77777777" w:rsidTr="00F756C3">
        <w:trPr>
          <w:jc w:val="center"/>
        </w:trPr>
        <w:tc>
          <w:tcPr>
            <w:tcW w:w="1802" w:type="dxa"/>
            <w:shd w:val="clear" w:color="auto" w:fill="auto"/>
            <w:vAlign w:val="center"/>
          </w:tcPr>
          <w:p w14:paraId="2C6A1472"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T2</w:t>
            </w:r>
          </w:p>
        </w:tc>
        <w:tc>
          <w:tcPr>
            <w:tcW w:w="2101" w:type="dxa"/>
            <w:shd w:val="clear" w:color="auto" w:fill="auto"/>
            <w:vAlign w:val="center"/>
          </w:tcPr>
          <w:p w14:paraId="7C9F30DA"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0.75±0.35</w:t>
            </w:r>
          </w:p>
        </w:tc>
        <w:tc>
          <w:tcPr>
            <w:tcW w:w="2101" w:type="dxa"/>
            <w:shd w:val="clear" w:color="auto" w:fill="auto"/>
            <w:vAlign w:val="center"/>
          </w:tcPr>
          <w:p w14:paraId="02221A6D"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1.13±0.52</w:t>
            </w:r>
          </w:p>
        </w:tc>
        <w:tc>
          <w:tcPr>
            <w:tcW w:w="2501" w:type="dxa"/>
            <w:shd w:val="clear" w:color="auto" w:fill="auto"/>
            <w:vAlign w:val="center"/>
          </w:tcPr>
          <w:p w14:paraId="715C8B68"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33.70±26.77</w:t>
            </w:r>
          </w:p>
        </w:tc>
      </w:tr>
      <w:tr w:rsidR="008B7DEC" w:rsidRPr="000A40E6" w14:paraId="32A96D8F" w14:textId="77777777" w:rsidTr="00F756C3">
        <w:trPr>
          <w:jc w:val="center"/>
        </w:trPr>
        <w:tc>
          <w:tcPr>
            <w:tcW w:w="1802" w:type="dxa"/>
            <w:shd w:val="clear" w:color="auto" w:fill="auto"/>
            <w:vAlign w:val="center"/>
          </w:tcPr>
          <w:p w14:paraId="387178E3"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2101" w:type="dxa"/>
            <w:shd w:val="clear" w:color="auto" w:fill="auto"/>
            <w:vAlign w:val="center"/>
          </w:tcPr>
          <w:p w14:paraId="74375F99"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1.00 (0.25-1.00)</w:t>
            </w:r>
            <w:r w:rsidRPr="000A40E6">
              <w:rPr>
                <w:rFonts w:eastAsia="Calibri" w:cs="Times New Roman"/>
                <w:color w:val="000000"/>
                <w:sz w:val="20"/>
                <w:szCs w:val="20"/>
                <w:vertAlign w:val="superscript"/>
              </w:rPr>
              <w:t>b,c</w:t>
            </w:r>
          </w:p>
        </w:tc>
        <w:tc>
          <w:tcPr>
            <w:tcW w:w="2101" w:type="dxa"/>
            <w:shd w:val="clear" w:color="auto" w:fill="auto"/>
            <w:vAlign w:val="center"/>
          </w:tcPr>
          <w:p w14:paraId="0B5B6732"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1.25 (0.75-1.50)</w:t>
            </w:r>
            <w:r w:rsidRPr="000A40E6">
              <w:rPr>
                <w:rFonts w:eastAsia="Calibri" w:cs="Times New Roman"/>
                <w:color w:val="000000"/>
                <w:sz w:val="20"/>
                <w:szCs w:val="20"/>
                <w:vertAlign w:val="superscript"/>
              </w:rPr>
              <w:t>b,c</w:t>
            </w:r>
          </w:p>
        </w:tc>
        <w:tc>
          <w:tcPr>
            <w:tcW w:w="2501" w:type="dxa"/>
            <w:shd w:val="clear" w:color="auto" w:fill="auto"/>
            <w:vAlign w:val="center"/>
          </w:tcPr>
          <w:p w14:paraId="4C92B152"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25.00 (25.00-50.00)</w:t>
            </w:r>
            <w:r w:rsidRPr="000A40E6">
              <w:rPr>
                <w:rFonts w:eastAsia="Calibri" w:cs="Times New Roman"/>
                <w:color w:val="000000"/>
                <w:sz w:val="20"/>
                <w:szCs w:val="20"/>
                <w:vertAlign w:val="superscript"/>
              </w:rPr>
              <w:t>b,c</w:t>
            </w:r>
          </w:p>
        </w:tc>
      </w:tr>
      <w:tr w:rsidR="008B7DEC" w:rsidRPr="000A40E6" w14:paraId="08FCBEE5" w14:textId="77777777" w:rsidTr="00F756C3">
        <w:trPr>
          <w:jc w:val="center"/>
        </w:trPr>
        <w:tc>
          <w:tcPr>
            <w:tcW w:w="1802" w:type="dxa"/>
            <w:shd w:val="clear" w:color="auto" w:fill="auto"/>
            <w:vAlign w:val="center"/>
          </w:tcPr>
          <w:p w14:paraId="28DCC777"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T3</w:t>
            </w:r>
          </w:p>
        </w:tc>
        <w:tc>
          <w:tcPr>
            <w:tcW w:w="2101" w:type="dxa"/>
            <w:shd w:val="clear" w:color="auto" w:fill="auto"/>
            <w:vAlign w:val="center"/>
          </w:tcPr>
          <w:p w14:paraId="38DCE2C4"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0.87±0.27</w:t>
            </w:r>
          </w:p>
        </w:tc>
        <w:tc>
          <w:tcPr>
            <w:tcW w:w="2101" w:type="dxa"/>
            <w:shd w:val="clear" w:color="auto" w:fill="auto"/>
            <w:vAlign w:val="center"/>
          </w:tcPr>
          <w:p w14:paraId="0CF45E6F"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1.34±0.38</w:t>
            </w:r>
          </w:p>
        </w:tc>
        <w:tc>
          <w:tcPr>
            <w:tcW w:w="2501" w:type="dxa"/>
            <w:shd w:val="clear" w:color="auto" w:fill="auto"/>
            <w:vAlign w:val="center"/>
          </w:tcPr>
          <w:p w14:paraId="15D78B03"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44.57±19.88</w:t>
            </w:r>
          </w:p>
        </w:tc>
      </w:tr>
      <w:tr w:rsidR="008B7DEC" w:rsidRPr="000A40E6" w14:paraId="296A0EA0" w14:textId="77777777" w:rsidTr="00425728">
        <w:trPr>
          <w:jc w:val="center"/>
        </w:trPr>
        <w:tc>
          <w:tcPr>
            <w:tcW w:w="1802" w:type="dxa"/>
            <w:shd w:val="clear" w:color="auto" w:fill="auto"/>
            <w:vAlign w:val="center"/>
          </w:tcPr>
          <w:p w14:paraId="633411A2"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2101" w:type="dxa"/>
            <w:shd w:val="clear" w:color="auto" w:fill="auto"/>
            <w:vAlign w:val="center"/>
          </w:tcPr>
          <w:p w14:paraId="5F9567C4"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1.00 (0.75-1.00)</w:t>
            </w:r>
            <w:r w:rsidRPr="000A40E6">
              <w:rPr>
                <w:rFonts w:eastAsia="Calibri" w:cs="Times New Roman"/>
                <w:color w:val="000000"/>
                <w:sz w:val="20"/>
                <w:szCs w:val="20"/>
                <w:vertAlign w:val="superscript"/>
              </w:rPr>
              <w:t>c</w:t>
            </w:r>
          </w:p>
        </w:tc>
        <w:tc>
          <w:tcPr>
            <w:tcW w:w="2101" w:type="dxa"/>
            <w:shd w:val="clear" w:color="auto" w:fill="auto"/>
            <w:vAlign w:val="center"/>
          </w:tcPr>
          <w:p w14:paraId="01BAA3F9"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1.50 (1.25-1.50)</w:t>
            </w:r>
            <w:r w:rsidRPr="000A40E6">
              <w:rPr>
                <w:rFonts w:eastAsia="Calibri" w:cs="Times New Roman"/>
                <w:color w:val="000000"/>
                <w:sz w:val="20"/>
                <w:szCs w:val="20"/>
                <w:vertAlign w:val="superscript"/>
              </w:rPr>
              <w:t>c</w:t>
            </w:r>
          </w:p>
        </w:tc>
        <w:tc>
          <w:tcPr>
            <w:tcW w:w="2501" w:type="dxa"/>
            <w:shd w:val="clear" w:color="auto" w:fill="auto"/>
            <w:vAlign w:val="center"/>
          </w:tcPr>
          <w:p w14:paraId="70312BCB"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50.00 (25.00-50.00)</w:t>
            </w:r>
            <w:r w:rsidRPr="000A40E6">
              <w:rPr>
                <w:rFonts w:eastAsia="Calibri" w:cs="Times New Roman"/>
                <w:color w:val="000000"/>
                <w:sz w:val="20"/>
                <w:szCs w:val="20"/>
                <w:vertAlign w:val="superscript"/>
              </w:rPr>
              <w:t>c</w:t>
            </w:r>
          </w:p>
        </w:tc>
      </w:tr>
      <w:tr w:rsidR="008B7DEC" w:rsidRPr="000A40E6" w14:paraId="0090C94D" w14:textId="77777777" w:rsidTr="00425728">
        <w:trPr>
          <w:jc w:val="center"/>
        </w:trPr>
        <w:tc>
          <w:tcPr>
            <w:tcW w:w="1802" w:type="dxa"/>
            <w:tcBorders>
              <w:bottom w:val="single" w:sz="4" w:space="0" w:color="auto"/>
            </w:tcBorders>
            <w:shd w:val="clear" w:color="auto" w:fill="auto"/>
            <w:vAlign w:val="center"/>
          </w:tcPr>
          <w:p w14:paraId="64BFCE8A"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χ</w:t>
            </w:r>
            <w:r w:rsidRPr="000A40E6">
              <w:rPr>
                <w:rFonts w:eastAsia="Calibri" w:cs="Times New Roman"/>
                <w:b/>
                <w:bCs/>
                <w:sz w:val="20"/>
                <w:szCs w:val="20"/>
                <w:vertAlign w:val="superscript"/>
              </w:rPr>
              <w:t>2</w:t>
            </w:r>
            <w:r w:rsidRPr="000A40E6">
              <w:rPr>
                <w:rFonts w:eastAsia="Calibri" w:cs="Times New Roman"/>
                <w:b/>
                <w:bCs/>
                <w:sz w:val="20"/>
                <w:szCs w:val="20"/>
              </w:rPr>
              <w:t>, p-değeri</w:t>
            </w:r>
          </w:p>
        </w:tc>
        <w:tc>
          <w:tcPr>
            <w:tcW w:w="2101" w:type="dxa"/>
            <w:tcBorders>
              <w:bottom w:val="single" w:sz="4" w:space="0" w:color="auto"/>
            </w:tcBorders>
            <w:shd w:val="clear" w:color="auto" w:fill="auto"/>
            <w:vAlign w:val="center"/>
          </w:tcPr>
          <w:p w14:paraId="2D6369BD"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sz w:val="20"/>
                <w:szCs w:val="20"/>
              </w:rPr>
              <w:t xml:space="preserve">38.787, </w:t>
            </w:r>
            <w:r w:rsidRPr="000A40E6">
              <w:rPr>
                <w:rFonts w:eastAsia="Calibri" w:cs="Times New Roman"/>
                <w:b/>
                <w:bCs/>
                <w:sz w:val="20"/>
                <w:szCs w:val="20"/>
              </w:rPr>
              <w:t>&lt;0.001</w:t>
            </w:r>
          </w:p>
        </w:tc>
        <w:tc>
          <w:tcPr>
            <w:tcW w:w="2101" w:type="dxa"/>
            <w:tcBorders>
              <w:bottom w:val="single" w:sz="4" w:space="0" w:color="auto"/>
            </w:tcBorders>
            <w:shd w:val="clear" w:color="auto" w:fill="auto"/>
            <w:vAlign w:val="center"/>
          </w:tcPr>
          <w:p w14:paraId="59DC36D3"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sz w:val="20"/>
                <w:szCs w:val="20"/>
              </w:rPr>
              <w:t xml:space="preserve">35.420, </w:t>
            </w:r>
            <w:r w:rsidRPr="000A40E6">
              <w:rPr>
                <w:rFonts w:eastAsia="Calibri" w:cs="Times New Roman"/>
                <w:b/>
                <w:bCs/>
                <w:sz w:val="20"/>
                <w:szCs w:val="20"/>
              </w:rPr>
              <w:t>&lt;0.001</w:t>
            </w:r>
          </w:p>
        </w:tc>
        <w:tc>
          <w:tcPr>
            <w:tcW w:w="2501" w:type="dxa"/>
            <w:tcBorders>
              <w:bottom w:val="single" w:sz="4" w:space="0" w:color="auto"/>
            </w:tcBorders>
            <w:shd w:val="clear" w:color="auto" w:fill="auto"/>
            <w:vAlign w:val="center"/>
          </w:tcPr>
          <w:p w14:paraId="70301B36"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 xml:space="preserve">35.952, </w:t>
            </w:r>
            <w:r w:rsidRPr="000A40E6">
              <w:rPr>
                <w:rFonts w:eastAsia="Calibri" w:cs="Times New Roman"/>
                <w:b/>
                <w:bCs/>
                <w:sz w:val="20"/>
                <w:szCs w:val="20"/>
              </w:rPr>
              <w:t>&lt;0.001</w:t>
            </w:r>
          </w:p>
        </w:tc>
      </w:tr>
    </w:tbl>
    <w:p w14:paraId="50313CF0" w14:textId="77777777" w:rsidR="00F756C3" w:rsidRPr="000A40E6" w:rsidRDefault="00F756C3" w:rsidP="00F756C3">
      <w:pPr>
        <w:suppressAutoHyphens/>
        <w:spacing w:before="120" w:after="120" w:line="240" w:lineRule="auto"/>
        <w:ind w:firstLine="0"/>
        <w:rPr>
          <w:rFonts w:eastAsia="Calibri" w:cs="Times New Roman"/>
          <w:sz w:val="20"/>
          <w:szCs w:val="20"/>
        </w:rPr>
      </w:pPr>
      <w:r w:rsidRPr="000A40E6">
        <w:rPr>
          <w:rFonts w:eastAsia="Calibri" w:cs="Times New Roman"/>
          <w:sz w:val="20"/>
          <w:szCs w:val="20"/>
        </w:rPr>
        <w:t xml:space="preserve">Ort: Ortalama, SS: Standart sapma, </w:t>
      </w:r>
      <w:proofErr w:type="gramStart"/>
      <w:r w:rsidRPr="000A40E6">
        <w:rPr>
          <w:rFonts w:eastAsia="Calibri" w:cs="Times New Roman"/>
          <w:sz w:val="20"/>
          <w:szCs w:val="20"/>
        </w:rPr>
        <w:t>ÇAG : Çeyrekler</w:t>
      </w:r>
      <w:proofErr w:type="gramEnd"/>
      <w:r w:rsidRPr="000A40E6">
        <w:rPr>
          <w:rFonts w:eastAsia="Calibri" w:cs="Times New Roman"/>
          <w:sz w:val="20"/>
          <w:szCs w:val="20"/>
        </w:rPr>
        <w:t xml:space="preserve"> arası genişlik.</w:t>
      </w:r>
    </w:p>
    <w:p w14:paraId="3A6E8BD2" w14:textId="0BFB92B1" w:rsidR="008B7DEC" w:rsidRPr="000A40E6" w:rsidRDefault="00F756C3" w:rsidP="00F756C3">
      <w:pPr>
        <w:suppressAutoHyphens/>
        <w:spacing w:before="120" w:after="120" w:line="240" w:lineRule="auto"/>
        <w:ind w:firstLine="0"/>
        <w:rPr>
          <w:rFonts w:eastAsia="Calibri" w:cs="Times New Roman"/>
          <w:kern w:val="2"/>
          <w:szCs w:val="24"/>
          <w14:ligatures w14:val="standardContextual"/>
        </w:rPr>
      </w:pPr>
      <w:proofErr w:type="gramStart"/>
      <w:r w:rsidRPr="000A40E6">
        <w:rPr>
          <w:rFonts w:eastAsia="Calibri" w:cs="Times New Roman"/>
          <w:sz w:val="20"/>
          <w:szCs w:val="20"/>
          <w:vertAlign w:val="superscript"/>
        </w:rPr>
        <w:t>a</w:t>
      </w:r>
      <w:proofErr w:type="gramEnd"/>
      <w:r w:rsidRPr="000A40E6">
        <w:rPr>
          <w:rFonts w:eastAsia="Calibri" w:cs="Times New Roman"/>
          <w:sz w:val="20"/>
          <w:szCs w:val="20"/>
          <w:vertAlign w:val="superscript"/>
        </w:rPr>
        <w:t xml:space="preserve">,b,c </w:t>
      </w:r>
      <w:r w:rsidRPr="000A40E6">
        <w:rPr>
          <w:rFonts w:eastAsia="Calibri" w:cs="Times New Roman"/>
          <w:sz w:val="20"/>
          <w:szCs w:val="20"/>
        </w:rPr>
        <w:t>İlgili sütundaki ölçüm bakımından homojen olan (p&gt;0.05) zamanları göstermektedir.</w:t>
      </w:r>
    </w:p>
    <w:p w14:paraId="27160098" w14:textId="77777777" w:rsidR="00F756C3" w:rsidRPr="000A40E6" w:rsidRDefault="00F756C3" w:rsidP="00F756C3">
      <w:pPr>
        <w:suppressAutoHyphens/>
        <w:spacing w:after="120"/>
        <w:rPr>
          <w:rFonts w:eastAsia="Calibri" w:cs="Times New Roman"/>
          <w:kern w:val="2"/>
          <w:szCs w:val="24"/>
          <w14:ligatures w14:val="standardContextual"/>
        </w:rPr>
      </w:pPr>
    </w:p>
    <w:p w14:paraId="2837E32D" w14:textId="337EF320" w:rsidR="008B7DEC" w:rsidRPr="000A40E6" w:rsidRDefault="008B7DEC"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Cep derinliğinin zama</w:t>
      </w:r>
      <w:r w:rsidR="00235B2F" w:rsidRPr="000A40E6">
        <w:rPr>
          <w:rFonts w:eastAsia="Calibri" w:cs="Times New Roman"/>
          <w:kern w:val="2"/>
          <w:szCs w:val="24"/>
          <w14:ligatures w14:val="standardContextual"/>
        </w:rPr>
        <w:t xml:space="preserve">na ve bölgelere göre </w:t>
      </w:r>
      <w:r w:rsidRPr="000A40E6">
        <w:rPr>
          <w:rFonts w:eastAsia="Calibri" w:cs="Times New Roman"/>
          <w:kern w:val="2"/>
          <w:szCs w:val="24"/>
          <w14:ligatures w14:val="standardContextual"/>
        </w:rPr>
        <w:t xml:space="preserve">dağılımı Tablo </w:t>
      </w:r>
      <w:r w:rsidR="003C334F" w:rsidRPr="000A40E6">
        <w:rPr>
          <w:rFonts w:eastAsia="Calibri" w:cs="Times New Roman"/>
          <w:kern w:val="2"/>
          <w:szCs w:val="24"/>
          <w14:ligatures w14:val="standardContextual"/>
        </w:rPr>
        <w:t>6’da</w:t>
      </w:r>
      <w:r w:rsidRPr="000A40E6">
        <w:rPr>
          <w:rFonts w:eastAsia="Calibri" w:cs="Times New Roman"/>
          <w:kern w:val="2"/>
          <w:szCs w:val="24"/>
          <w14:ligatures w14:val="standardContextual"/>
        </w:rPr>
        <w:t xml:space="preserve"> sunulmuştur. Buna göre, bukkal ve distal bölgenin cep derinliği ölçümlerinin zamana göre istatistiksel olarak anlamlı bir fark gösterdiği (sırasıyla p=0.019 ve p=0.010); fakat palatinal ve mezial bölgede ölçüm zamanları arasında cep derinliği bakımından anlamlı bir fark olmadığı saptanmıştır (sırasıyla p=0.209 ve p=0.082). Cep derinliğinin zamanla değişimi bölgeler arasında karşılaştırıldığında istatistiksel olarak anlamlı bir fark elde edilmemiştir (ATİ=0.721, p=0.621).</w:t>
      </w:r>
    </w:p>
    <w:p w14:paraId="03130500" w14:textId="482B3E35" w:rsidR="008B7DEC" w:rsidRPr="000A40E6" w:rsidRDefault="008B7DEC"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Bukkal ve distal bölgelerdeki cep derinliğinin T1 ve T2 anında T0’a göre anlamlı olmasa da arttığı, T3 anında ise T1 ve T2 ile benzer düzeyde olup T0’a göre istatistiksel olarak anlamlı bir fark oluşturacak şekilde arttığı görülmüştür (p&lt;0.05).</w:t>
      </w:r>
    </w:p>
    <w:p w14:paraId="0BB387B4" w14:textId="3DFE4900" w:rsidR="008B7DEC" w:rsidRPr="000A40E6" w:rsidRDefault="008B7DEC"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Her bir ölçüm zamanı için bölgelerin cep derinlikleri karşılaştırıldığında istatistiksel olarak anlamlı bir fark elde edilmiştir (tüm zamanlar için p&lt;0.001). T0 anında, bukkal bölgedeki cep derinliği en düşük olsa da bukkal ve palatinal bölgelerin benzer olduğu; mezial ve distal bölgelerde bukkal bölgeye göre anlamlı düzeyde daha fazla ancak palatinal bölgeyle benzer düzeyde cep derinliği gözlenmiştir (p&lt;0.05).</w:t>
      </w:r>
    </w:p>
    <w:p w14:paraId="0169A870" w14:textId="77777777" w:rsidR="008B7DEC" w:rsidRPr="000A40E6" w:rsidRDefault="008B7DEC" w:rsidP="00F756C3">
      <w:pPr>
        <w:suppressAutoHyphens/>
        <w:spacing w:after="120"/>
        <w:rPr>
          <w:rFonts w:eastAsia="Calibri" w:cs="Times New Roman"/>
          <w:kern w:val="2"/>
          <w:szCs w:val="24"/>
          <w14:ligatures w14:val="standardContextual"/>
        </w:rPr>
      </w:pPr>
    </w:p>
    <w:p w14:paraId="4D6F82F4" w14:textId="1870FA5D" w:rsidR="008B7DEC" w:rsidRPr="000A40E6" w:rsidRDefault="008B7DEC" w:rsidP="00F756C3">
      <w:pPr>
        <w:pStyle w:val="ResimYazs"/>
        <w:suppressAutoHyphens/>
        <w:spacing w:before="120" w:after="120" w:line="360" w:lineRule="auto"/>
        <w:ind w:left="567" w:hanging="567"/>
        <w:jc w:val="both"/>
        <w:rPr>
          <w:rFonts w:eastAsia="Calibri" w:cs="Times New Roman"/>
          <w:b w:val="0"/>
          <w:color w:val="auto"/>
          <w:kern w:val="2"/>
          <w:sz w:val="24"/>
          <w:szCs w:val="24"/>
          <w14:ligatures w14:val="standardContextual"/>
        </w:rPr>
      </w:pPr>
      <w:bookmarkStart w:id="131" w:name="_Toc136383403"/>
      <w:r w:rsidRPr="000A40E6">
        <w:rPr>
          <w:rFonts w:cs="Times New Roman"/>
          <w:color w:val="auto"/>
          <w:sz w:val="24"/>
          <w:szCs w:val="24"/>
        </w:rPr>
        <w:t xml:space="preserve">Tablo </w:t>
      </w:r>
      <w:r w:rsidR="003C334F" w:rsidRPr="000A40E6">
        <w:rPr>
          <w:rFonts w:cs="Times New Roman"/>
          <w:color w:val="auto"/>
          <w:sz w:val="24"/>
          <w:szCs w:val="24"/>
        </w:rPr>
        <w:t>6</w:t>
      </w:r>
      <w:r w:rsidRPr="000A40E6">
        <w:rPr>
          <w:rFonts w:cs="Times New Roman"/>
          <w:color w:val="auto"/>
          <w:sz w:val="24"/>
          <w:szCs w:val="24"/>
        </w:rPr>
        <w:t xml:space="preserve">. </w:t>
      </w:r>
      <w:r w:rsidRPr="000A40E6">
        <w:rPr>
          <w:rFonts w:eastAsia="Calibri" w:cs="Times New Roman"/>
          <w:b w:val="0"/>
          <w:color w:val="auto"/>
          <w:kern w:val="2"/>
          <w:sz w:val="24"/>
          <w:szCs w:val="24"/>
          <w14:ligatures w14:val="standardContextual"/>
        </w:rPr>
        <w:t>Cep derinliğinin zamana ve bölgelere göre dağılımı</w:t>
      </w:r>
      <w:bookmarkEnd w:id="131"/>
      <w:r w:rsidR="00425728" w:rsidRPr="000A40E6">
        <w:rPr>
          <w:rFonts w:eastAsia="Calibri" w:cs="Times New Roman"/>
          <w:b w:val="0"/>
          <w:color w:val="auto"/>
          <w:kern w:val="2"/>
          <w:sz w:val="24"/>
          <w:szCs w:val="24"/>
          <w14:ligatures w14:val="standardContextual"/>
        </w:rPr>
        <w:t>.</w:t>
      </w:r>
    </w:p>
    <w:tbl>
      <w:tblPr>
        <w:tblStyle w:val="TabloKlavuzu2"/>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9"/>
        <w:gridCol w:w="1294"/>
        <w:gridCol w:w="1339"/>
        <w:gridCol w:w="1275"/>
        <w:gridCol w:w="1418"/>
        <w:gridCol w:w="850"/>
        <w:gridCol w:w="850"/>
      </w:tblGrid>
      <w:tr w:rsidR="008B7DEC" w:rsidRPr="000A40E6" w14:paraId="6BC8A0AB" w14:textId="77777777" w:rsidTr="00A3711B">
        <w:trPr>
          <w:jc w:val="center"/>
        </w:trPr>
        <w:tc>
          <w:tcPr>
            <w:tcW w:w="1479" w:type="dxa"/>
            <w:tcBorders>
              <w:top w:val="single" w:sz="4" w:space="0" w:color="auto"/>
            </w:tcBorders>
            <w:shd w:val="clear" w:color="auto" w:fill="auto"/>
            <w:vAlign w:val="center"/>
          </w:tcPr>
          <w:p w14:paraId="49FFB704"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PD (mm)</w:t>
            </w:r>
          </w:p>
        </w:tc>
        <w:tc>
          <w:tcPr>
            <w:tcW w:w="5326" w:type="dxa"/>
            <w:gridSpan w:val="4"/>
            <w:tcBorders>
              <w:top w:val="single" w:sz="4" w:space="0" w:color="auto"/>
              <w:bottom w:val="single" w:sz="4" w:space="0" w:color="auto"/>
            </w:tcBorders>
            <w:shd w:val="clear" w:color="auto" w:fill="auto"/>
            <w:vAlign w:val="center"/>
          </w:tcPr>
          <w:p w14:paraId="721CF3D6"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Bölge</w:t>
            </w:r>
          </w:p>
        </w:tc>
        <w:tc>
          <w:tcPr>
            <w:tcW w:w="1700" w:type="dxa"/>
            <w:gridSpan w:val="2"/>
            <w:tcBorders>
              <w:top w:val="single" w:sz="4" w:space="0" w:color="auto"/>
              <w:bottom w:val="single" w:sz="4" w:space="0" w:color="auto"/>
            </w:tcBorders>
            <w:shd w:val="clear" w:color="auto" w:fill="auto"/>
            <w:vAlign w:val="center"/>
          </w:tcPr>
          <w:p w14:paraId="5BC33B59"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Karşılaştırma sonucu</w:t>
            </w:r>
          </w:p>
        </w:tc>
      </w:tr>
      <w:tr w:rsidR="008B7DEC" w:rsidRPr="000A40E6" w14:paraId="67147E82" w14:textId="77777777" w:rsidTr="00A3711B">
        <w:trPr>
          <w:jc w:val="center"/>
        </w:trPr>
        <w:tc>
          <w:tcPr>
            <w:tcW w:w="1479" w:type="dxa"/>
            <w:tcBorders>
              <w:bottom w:val="single" w:sz="4" w:space="0" w:color="auto"/>
            </w:tcBorders>
            <w:shd w:val="clear" w:color="auto" w:fill="auto"/>
            <w:vAlign w:val="center"/>
          </w:tcPr>
          <w:p w14:paraId="0AC8AA13"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Ölçüm zamanı</w:t>
            </w:r>
          </w:p>
        </w:tc>
        <w:tc>
          <w:tcPr>
            <w:tcW w:w="1294" w:type="dxa"/>
            <w:tcBorders>
              <w:top w:val="single" w:sz="4" w:space="0" w:color="auto"/>
              <w:bottom w:val="single" w:sz="4" w:space="0" w:color="auto"/>
            </w:tcBorders>
            <w:shd w:val="clear" w:color="auto" w:fill="auto"/>
            <w:vAlign w:val="center"/>
          </w:tcPr>
          <w:p w14:paraId="4F31483C"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Bukkal</w:t>
            </w:r>
          </w:p>
          <w:p w14:paraId="30ACFB84" w14:textId="77777777" w:rsidR="008B7DEC" w:rsidRPr="000A40E6" w:rsidRDefault="008B7DEC"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7739C8FF"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1339" w:type="dxa"/>
            <w:tcBorders>
              <w:top w:val="single" w:sz="4" w:space="0" w:color="auto"/>
              <w:bottom w:val="single" w:sz="4" w:space="0" w:color="auto"/>
            </w:tcBorders>
            <w:shd w:val="clear" w:color="auto" w:fill="auto"/>
            <w:vAlign w:val="center"/>
          </w:tcPr>
          <w:p w14:paraId="7EE0DADD"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Palatinal</w:t>
            </w:r>
          </w:p>
          <w:p w14:paraId="133956A2" w14:textId="5F43655B" w:rsidR="008B7DEC" w:rsidRPr="000A40E6" w:rsidRDefault="008B7DEC"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w:t>
            </w:r>
            <w:proofErr w:type="gramStart"/>
            <w:r w:rsidRPr="000A40E6">
              <w:rPr>
                <w:rFonts w:eastAsia="Calibri" w:cs="Times New Roman"/>
                <w:b/>
                <w:sz w:val="20"/>
                <w:szCs w:val="20"/>
              </w:rPr>
              <w:t>SS  Ortanca</w:t>
            </w:r>
            <w:proofErr w:type="gramEnd"/>
            <w:r w:rsidRPr="000A40E6">
              <w:rPr>
                <w:rFonts w:eastAsia="Calibri" w:cs="Times New Roman"/>
                <w:b/>
                <w:sz w:val="20"/>
                <w:szCs w:val="20"/>
              </w:rPr>
              <w:t xml:space="preserve">          (ÇAG)</w:t>
            </w:r>
          </w:p>
        </w:tc>
        <w:tc>
          <w:tcPr>
            <w:tcW w:w="1275" w:type="dxa"/>
            <w:tcBorders>
              <w:top w:val="single" w:sz="4" w:space="0" w:color="auto"/>
              <w:bottom w:val="single" w:sz="4" w:space="0" w:color="auto"/>
            </w:tcBorders>
            <w:shd w:val="clear" w:color="auto" w:fill="auto"/>
            <w:vAlign w:val="center"/>
          </w:tcPr>
          <w:p w14:paraId="19BD528E"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Mazial</w:t>
            </w:r>
          </w:p>
          <w:p w14:paraId="0F14D2ED"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Ort</w:t>
            </w:r>
            <w:r w:rsidRPr="000A40E6">
              <w:rPr>
                <w:rFonts w:eastAsia="Calibri" w:cs="Times New Roman"/>
                <w:b/>
                <w:sz w:val="20"/>
                <w:szCs w:val="20"/>
              </w:rPr>
              <w:t>±</w:t>
            </w:r>
            <w:proofErr w:type="gramStart"/>
            <w:r w:rsidRPr="000A40E6">
              <w:rPr>
                <w:rFonts w:eastAsia="Calibri" w:cs="Times New Roman"/>
                <w:b/>
                <w:sz w:val="20"/>
                <w:szCs w:val="20"/>
              </w:rPr>
              <w:t>SS  Ortanca</w:t>
            </w:r>
            <w:proofErr w:type="gramEnd"/>
            <w:r w:rsidRPr="000A40E6">
              <w:rPr>
                <w:rFonts w:eastAsia="Calibri" w:cs="Times New Roman"/>
                <w:b/>
                <w:sz w:val="20"/>
                <w:szCs w:val="20"/>
              </w:rPr>
              <w:t xml:space="preserve">          (ÇAG)</w:t>
            </w:r>
          </w:p>
        </w:tc>
        <w:tc>
          <w:tcPr>
            <w:tcW w:w="1418" w:type="dxa"/>
            <w:tcBorders>
              <w:top w:val="single" w:sz="4" w:space="0" w:color="auto"/>
              <w:bottom w:val="single" w:sz="4" w:space="0" w:color="auto"/>
            </w:tcBorders>
            <w:shd w:val="clear" w:color="auto" w:fill="auto"/>
            <w:vAlign w:val="center"/>
          </w:tcPr>
          <w:p w14:paraId="2CEC908F"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Distal</w:t>
            </w:r>
          </w:p>
          <w:p w14:paraId="0A729C36"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Ort</w:t>
            </w:r>
            <w:r w:rsidRPr="000A40E6">
              <w:rPr>
                <w:rFonts w:eastAsia="Calibri" w:cs="Times New Roman"/>
                <w:b/>
                <w:sz w:val="20"/>
                <w:szCs w:val="20"/>
              </w:rPr>
              <w:t>±</w:t>
            </w:r>
            <w:proofErr w:type="gramStart"/>
            <w:r w:rsidRPr="000A40E6">
              <w:rPr>
                <w:rFonts w:eastAsia="Calibri" w:cs="Times New Roman"/>
                <w:b/>
                <w:sz w:val="20"/>
                <w:szCs w:val="20"/>
              </w:rPr>
              <w:t>SS  Ortanca</w:t>
            </w:r>
            <w:proofErr w:type="gramEnd"/>
            <w:r w:rsidRPr="000A40E6">
              <w:rPr>
                <w:rFonts w:eastAsia="Calibri" w:cs="Times New Roman"/>
                <w:b/>
                <w:sz w:val="20"/>
                <w:szCs w:val="20"/>
              </w:rPr>
              <w:t xml:space="preserve">          (ÇAG)</w:t>
            </w:r>
          </w:p>
        </w:tc>
        <w:tc>
          <w:tcPr>
            <w:tcW w:w="850" w:type="dxa"/>
            <w:tcBorders>
              <w:top w:val="single" w:sz="4" w:space="0" w:color="auto"/>
              <w:bottom w:val="single" w:sz="4" w:space="0" w:color="auto"/>
            </w:tcBorders>
            <w:shd w:val="clear" w:color="auto" w:fill="auto"/>
            <w:vAlign w:val="center"/>
          </w:tcPr>
          <w:p w14:paraId="69DF8A6C"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χ</w:t>
            </w:r>
            <w:r w:rsidRPr="000A40E6">
              <w:rPr>
                <w:rFonts w:eastAsia="Calibri" w:cs="Times New Roman"/>
                <w:b/>
                <w:bCs/>
                <w:sz w:val="20"/>
                <w:szCs w:val="20"/>
                <w:vertAlign w:val="superscript"/>
              </w:rPr>
              <w:t>2</w:t>
            </w:r>
          </w:p>
        </w:tc>
        <w:tc>
          <w:tcPr>
            <w:tcW w:w="850" w:type="dxa"/>
            <w:tcBorders>
              <w:top w:val="single" w:sz="4" w:space="0" w:color="auto"/>
              <w:bottom w:val="single" w:sz="4" w:space="0" w:color="auto"/>
            </w:tcBorders>
            <w:shd w:val="clear" w:color="auto" w:fill="auto"/>
            <w:vAlign w:val="center"/>
          </w:tcPr>
          <w:p w14:paraId="3FCE4406" w14:textId="77777777" w:rsidR="008B7DEC" w:rsidRPr="000A40E6" w:rsidRDefault="008B7DEC"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p</w:t>
            </w:r>
            <w:proofErr w:type="gramEnd"/>
            <w:r w:rsidRPr="000A40E6">
              <w:rPr>
                <w:rFonts w:eastAsia="Calibri" w:cs="Times New Roman"/>
                <w:b/>
                <w:bCs/>
                <w:sz w:val="20"/>
                <w:szCs w:val="20"/>
              </w:rPr>
              <w:t>-değeri</w:t>
            </w:r>
          </w:p>
        </w:tc>
      </w:tr>
      <w:tr w:rsidR="008B7DEC" w:rsidRPr="000A40E6" w14:paraId="4AA2EF8B" w14:textId="77777777" w:rsidTr="00A3711B">
        <w:trPr>
          <w:jc w:val="center"/>
        </w:trPr>
        <w:tc>
          <w:tcPr>
            <w:tcW w:w="1479" w:type="dxa"/>
            <w:tcBorders>
              <w:top w:val="single" w:sz="4" w:space="0" w:color="auto"/>
            </w:tcBorders>
            <w:shd w:val="clear" w:color="auto" w:fill="auto"/>
            <w:vAlign w:val="center"/>
          </w:tcPr>
          <w:p w14:paraId="18462363"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T0</w:t>
            </w:r>
          </w:p>
        </w:tc>
        <w:tc>
          <w:tcPr>
            <w:tcW w:w="1294" w:type="dxa"/>
            <w:tcBorders>
              <w:top w:val="single" w:sz="4" w:space="0" w:color="auto"/>
            </w:tcBorders>
            <w:shd w:val="clear" w:color="auto" w:fill="auto"/>
            <w:vAlign w:val="center"/>
          </w:tcPr>
          <w:p w14:paraId="55C83E7E"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1.52±0.51</w:t>
            </w:r>
          </w:p>
        </w:tc>
        <w:tc>
          <w:tcPr>
            <w:tcW w:w="1339" w:type="dxa"/>
            <w:tcBorders>
              <w:top w:val="single" w:sz="4" w:space="0" w:color="auto"/>
            </w:tcBorders>
            <w:shd w:val="clear" w:color="auto" w:fill="auto"/>
            <w:vAlign w:val="center"/>
          </w:tcPr>
          <w:p w14:paraId="7E124415"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1.74±0.54</w:t>
            </w:r>
          </w:p>
        </w:tc>
        <w:tc>
          <w:tcPr>
            <w:tcW w:w="1275" w:type="dxa"/>
            <w:tcBorders>
              <w:top w:val="single" w:sz="4" w:space="0" w:color="auto"/>
            </w:tcBorders>
            <w:shd w:val="clear" w:color="auto" w:fill="auto"/>
            <w:vAlign w:val="center"/>
          </w:tcPr>
          <w:p w14:paraId="1DCAD171"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2.17±0.39</w:t>
            </w:r>
          </w:p>
        </w:tc>
        <w:tc>
          <w:tcPr>
            <w:tcW w:w="1418" w:type="dxa"/>
            <w:tcBorders>
              <w:top w:val="single" w:sz="4" w:space="0" w:color="auto"/>
            </w:tcBorders>
            <w:shd w:val="clear" w:color="auto" w:fill="auto"/>
            <w:vAlign w:val="center"/>
          </w:tcPr>
          <w:p w14:paraId="08D1A09D"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2.04±0.21</w:t>
            </w:r>
          </w:p>
        </w:tc>
        <w:tc>
          <w:tcPr>
            <w:tcW w:w="850" w:type="dxa"/>
            <w:tcBorders>
              <w:top w:val="single" w:sz="4" w:space="0" w:color="auto"/>
            </w:tcBorders>
            <w:shd w:val="clear" w:color="auto" w:fill="auto"/>
            <w:vAlign w:val="center"/>
          </w:tcPr>
          <w:p w14:paraId="6D0B623A"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28.761</w:t>
            </w:r>
          </w:p>
        </w:tc>
        <w:tc>
          <w:tcPr>
            <w:tcW w:w="850" w:type="dxa"/>
            <w:tcBorders>
              <w:top w:val="single" w:sz="4" w:space="0" w:color="auto"/>
            </w:tcBorders>
            <w:shd w:val="clear" w:color="auto" w:fill="auto"/>
            <w:vAlign w:val="center"/>
          </w:tcPr>
          <w:p w14:paraId="68C437F0"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&lt;0.001</w:t>
            </w:r>
          </w:p>
        </w:tc>
      </w:tr>
      <w:tr w:rsidR="008B7DEC" w:rsidRPr="000A40E6" w14:paraId="1FBCB526" w14:textId="77777777" w:rsidTr="00A3711B">
        <w:trPr>
          <w:jc w:val="center"/>
        </w:trPr>
        <w:tc>
          <w:tcPr>
            <w:tcW w:w="1479" w:type="dxa"/>
            <w:shd w:val="clear" w:color="auto" w:fill="auto"/>
            <w:vAlign w:val="center"/>
          </w:tcPr>
          <w:p w14:paraId="67CC7CEA"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1294" w:type="dxa"/>
            <w:shd w:val="clear" w:color="auto" w:fill="auto"/>
            <w:vAlign w:val="center"/>
          </w:tcPr>
          <w:p w14:paraId="2AE0F98C"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(1-2)</w:t>
            </w:r>
            <w:r w:rsidRPr="000A40E6">
              <w:rPr>
                <w:rFonts w:eastAsia="Calibri" w:cs="Times New Roman"/>
                <w:color w:val="000000"/>
                <w:sz w:val="20"/>
                <w:szCs w:val="20"/>
                <w:vertAlign w:val="superscript"/>
              </w:rPr>
              <w:t>a,1</w:t>
            </w:r>
          </w:p>
        </w:tc>
        <w:tc>
          <w:tcPr>
            <w:tcW w:w="1339" w:type="dxa"/>
            <w:shd w:val="clear" w:color="auto" w:fill="auto"/>
            <w:vAlign w:val="center"/>
          </w:tcPr>
          <w:p w14:paraId="13D22FDA"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(1-2)</w:t>
            </w:r>
            <w:r w:rsidRPr="000A40E6">
              <w:rPr>
                <w:rFonts w:eastAsia="Calibri" w:cs="Times New Roman"/>
                <w:color w:val="000000"/>
                <w:sz w:val="20"/>
                <w:szCs w:val="20"/>
                <w:vertAlign w:val="superscript"/>
              </w:rPr>
              <w:t>1,2</w:t>
            </w:r>
          </w:p>
        </w:tc>
        <w:tc>
          <w:tcPr>
            <w:tcW w:w="1275" w:type="dxa"/>
            <w:shd w:val="clear" w:color="auto" w:fill="auto"/>
            <w:vAlign w:val="center"/>
          </w:tcPr>
          <w:p w14:paraId="01827652"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2</w:t>
            </w:r>
          </w:p>
        </w:tc>
        <w:tc>
          <w:tcPr>
            <w:tcW w:w="1418" w:type="dxa"/>
            <w:shd w:val="clear" w:color="auto" w:fill="auto"/>
            <w:vAlign w:val="center"/>
          </w:tcPr>
          <w:p w14:paraId="0501DD24"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a,2</w:t>
            </w:r>
          </w:p>
        </w:tc>
        <w:tc>
          <w:tcPr>
            <w:tcW w:w="850" w:type="dxa"/>
            <w:shd w:val="clear" w:color="auto" w:fill="auto"/>
            <w:vAlign w:val="center"/>
          </w:tcPr>
          <w:p w14:paraId="338D6E25"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850" w:type="dxa"/>
            <w:shd w:val="clear" w:color="auto" w:fill="auto"/>
            <w:vAlign w:val="center"/>
          </w:tcPr>
          <w:p w14:paraId="53C74C08" w14:textId="77777777" w:rsidR="008B7DEC" w:rsidRPr="000A40E6" w:rsidRDefault="008B7DEC" w:rsidP="00F756C3">
            <w:pPr>
              <w:suppressAutoHyphens/>
              <w:spacing w:line="240" w:lineRule="atLeast"/>
              <w:ind w:firstLine="0"/>
              <w:jc w:val="center"/>
              <w:rPr>
                <w:rFonts w:eastAsia="Calibri" w:cs="Times New Roman"/>
                <w:sz w:val="20"/>
                <w:szCs w:val="20"/>
              </w:rPr>
            </w:pPr>
          </w:p>
        </w:tc>
      </w:tr>
      <w:tr w:rsidR="008B7DEC" w:rsidRPr="000A40E6" w14:paraId="065BC2C1" w14:textId="77777777" w:rsidTr="00A3711B">
        <w:trPr>
          <w:jc w:val="center"/>
        </w:trPr>
        <w:tc>
          <w:tcPr>
            <w:tcW w:w="1479" w:type="dxa"/>
            <w:shd w:val="clear" w:color="auto" w:fill="auto"/>
            <w:vAlign w:val="center"/>
          </w:tcPr>
          <w:p w14:paraId="257E33B2"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T1</w:t>
            </w:r>
          </w:p>
        </w:tc>
        <w:tc>
          <w:tcPr>
            <w:tcW w:w="1294" w:type="dxa"/>
            <w:shd w:val="clear" w:color="auto" w:fill="auto"/>
            <w:vAlign w:val="center"/>
          </w:tcPr>
          <w:p w14:paraId="7591F2AD"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1.70±0.47</w:t>
            </w:r>
          </w:p>
        </w:tc>
        <w:tc>
          <w:tcPr>
            <w:tcW w:w="1339" w:type="dxa"/>
            <w:shd w:val="clear" w:color="auto" w:fill="auto"/>
            <w:vAlign w:val="center"/>
          </w:tcPr>
          <w:p w14:paraId="7B17CDD5"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1.83±0.39</w:t>
            </w:r>
          </w:p>
        </w:tc>
        <w:tc>
          <w:tcPr>
            <w:tcW w:w="1275" w:type="dxa"/>
            <w:shd w:val="clear" w:color="auto" w:fill="auto"/>
            <w:vAlign w:val="center"/>
          </w:tcPr>
          <w:p w14:paraId="5B404F4D"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2.17±0.39</w:t>
            </w:r>
          </w:p>
        </w:tc>
        <w:tc>
          <w:tcPr>
            <w:tcW w:w="1418" w:type="dxa"/>
            <w:shd w:val="clear" w:color="auto" w:fill="auto"/>
            <w:vAlign w:val="center"/>
          </w:tcPr>
          <w:p w14:paraId="4D2F1E9B"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2.22±0.42</w:t>
            </w:r>
          </w:p>
        </w:tc>
        <w:tc>
          <w:tcPr>
            <w:tcW w:w="850" w:type="dxa"/>
            <w:shd w:val="clear" w:color="auto" w:fill="auto"/>
            <w:vAlign w:val="center"/>
          </w:tcPr>
          <w:p w14:paraId="23B5EDC9"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24.571</w:t>
            </w:r>
          </w:p>
        </w:tc>
        <w:tc>
          <w:tcPr>
            <w:tcW w:w="850" w:type="dxa"/>
            <w:shd w:val="clear" w:color="auto" w:fill="auto"/>
            <w:vAlign w:val="center"/>
          </w:tcPr>
          <w:p w14:paraId="15700AD1"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&lt;0.001</w:t>
            </w:r>
          </w:p>
        </w:tc>
      </w:tr>
      <w:tr w:rsidR="008B7DEC" w:rsidRPr="000A40E6" w14:paraId="1977024D" w14:textId="77777777" w:rsidTr="00A3711B">
        <w:trPr>
          <w:jc w:val="center"/>
        </w:trPr>
        <w:tc>
          <w:tcPr>
            <w:tcW w:w="1479" w:type="dxa"/>
            <w:shd w:val="clear" w:color="auto" w:fill="auto"/>
            <w:vAlign w:val="center"/>
          </w:tcPr>
          <w:p w14:paraId="094B1CE4"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1294" w:type="dxa"/>
            <w:shd w:val="clear" w:color="auto" w:fill="auto"/>
            <w:vAlign w:val="center"/>
          </w:tcPr>
          <w:p w14:paraId="21A001D7"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(1-2)</w:t>
            </w:r>
            <w:r w:rsidRPr="000A40E6">
              <w:rPr>
                <w:rFonts w:eastAsia="Calibri" w:cs="Times New Roman"/>
                <w:color w:val="000000"/>
                <w:sz w:val="20"/>
                <w:szCs w:val="20"/>
                <w:vertAlign w:val="superscript"/>
              </w:rPr>
              <w:t>a,b,1</w:t>
            </w:r>
          </w:p>
        </w:tc>
        <w:tc>
          <w:tcPr>
            <w:tcW w:w="1339" w:type="dxa"/>
            <w:shd w:val="clear" w:color="auto" w:fill="auto"/>
            <w:vAlign w:val="center"/>
          </w:tcPr>
          <w:p w14:paraId="127352A0"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1,2</w:t>
            </w:r>
          </w:p>
        </w:tc>
        <w:tc>
          <w:tcPr>
            <w:tcW w:w="1275" w:type="dxa"/>
            <w:shd w:val="clear" w:color="auto" w:fill="auto"/>
            <w:vAlign w:val="center"/>
          </w:tcPr>
          <w:p w14:paraId="6D357C78"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1,2</w:t>
            </w:r>
          </w:p>
        </w:tc>
        <w:tc>
          <w:tcPr>
            <w:tcW w:w="1418" w:type="dxa"/>
            <w:shd w:val="clear" w:color="auto" w:fill="auto"/>
            <w:vAlign w:val="center"/>
          </w:tcPr>
          <w:p w14:paraId="37F4F836"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a,b,2</w:t>
            </w:r>
          </w:p>
        </w:tc>
        <w:tc>
          <w:tcPr>
            <w:tcW w:w="850" w:type="dxa"/>
            <w:shd w:val="clear" w:color="auto" w:fill="auto"/>
            <w:vAlign w:val="center"/>
          </w:tcPr>
          <w:p w14:paraId="4BE309C1"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850" w:type="dxa"/>
            <w:shd w:val="clear" w:color="auto" w:fill="auto"/>
            <w:vAlign w:val="center"/>
          </w:tcPr>
          <w:p w14:paraId="5FFA1EA8" w14:textId="77777777" w:rsidR="008B7DEC" w:rsidRPr="000A40E6" w:rsidRDefault="008B7DEC" w:rsidP="00F756C3">
            <w:pPr>
              <w:suppressAutoHyphens/>
              <w:spacing w:line="240" w:lineRule="atLeast"/>
              <w:ind w:firstLine="0"/>
              <w:jc w:val="center"/>
              <w:rPr>
                <w:rFonts w:eastAsia="Calibri" w:cs="Times New Roman"/>
                <w:sz w:val="20"/>
                <w:szCs w:val="20"/>
              </w:rPr>
            </w:pPr>
          </w:p>
        </w:tc>
      </w:tr>
      <w:tr w:rsidR="008B7DEC" w:rsidRPr="000A40E6" w14:paraId="5C019ED9" w14:textId="77777777" w:rsidTr="00A3711B">
        <w:trPr>
          <w:jc w:val="center"/>
        </w:trPr>
        <w:tc>
          <w:tcPr>
            <w:tcW w:w="1479" w:type="dxa"/>
            <w:shd w:val="clear" w:color="auto" w:fill="auto"/>
            <w:vAlign w:val="center"/>
          </w:tcPr>
          <w:p w14:paraId="05A013B3"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T2</w:t>
            </w:r>
          </w:p>
        </w:tc>
        <w:tc>
          <w:tcPr>
            <w:tcW w:w="1294" w:type="dxa"/>
            <w:shd w:val="clear" w:color="auto" w:fill="auto"/>
            <w:vAlign w:val="center"/>
          </w:tcPr>
          <w:p w14:paraId="692077B1"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1.83±0.39</w:t>
            </w:r>
          </w:p>
        </w:tc>
        <w:tc>
          <w:tcPr>
            <w:tcW w:w="1339" w:type="dxa"/>
            <w:shd w:val="clear" w:color="auto" w:fill="auto"/>
            <w:vAlign w:val="center"/>
          </w:tcPr>
          <w:p w14:paraId="1D9CADF3"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1.91±0.29</w:t>
            </w:r>
          </w:p>
        </w:tc>
        <w:tc>
          <w:tcPr>
            <w:tcW w:w="1275" w:type="dxa"/>
            <w:shd w:val="clear" w:color="auto" w:fill="auto"/>
            <w:vAlign w:val="center"/>
          </w:tcPr>
          <w:p w14:paraId="1ECA054B"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2.39±0.50</w:t>
            </w:r>
          </w:p>
        </w:tc>
        <w:tc>
          <w:tcPr>
            <w:tcW w:w="1418" w:type="dxa"/>
            <w:shd w:val="clear" w:color="auto" w:fill="auto"/>
            <w:vAlign w:val="center"/>
          </w:tcPr>
          <w:p w14:paraId="4739C2B2"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2.17±0.39</w:t>
            </w:r>
          </w:p>
        </w:tc>
        <w:tc>
          <w:tcPr>
            <w:tcW w:w="850" w:type="dxa"/>
            <w:shd w:val="clear" w:color="auto" w:fill="auto"/>
            <w:vAlign w:val="center"/>
          </w:tcPr>
          <w:p w14:paraId="0DEF0633"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25.517</w:t>
            </w:r>
          </w:p>
        </w:tc>
        <w:tc>
          <w:tcPr>
            <w:tcW w:w="850" w:type="dxa"/>
            <w:shd w:val="clear" w:color="auto" w:fill="auto"/>
            <w:vAlign w:val="center"/>
          </w:tcPr>
          <w:p w14:paraId="25CD9CB5"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&lt;0.001</w:t>
            </w:r>
          </w:p>
        </w:tc>
      </w:tr>
      <w:tr w:rsidR="008B7DEC" w:rsidRPr="000A40E6" w14:paraId="17FE3F16" w14:textId="77777777" w:rsidTr="00A3711B">
        <w:trPr>
          <w:jc w:val="center"/>
        </w:trPr>
        <w:tc>
          <w:tcPr>
            <w:tcW w:w="1479" w:type="dxa"/>
            <w:shd w:val="clear" w:color="auto" w:fill="auto"/>
            <w:vAlign w:val="center"/>
          </w:tcPr>
          <w:p w14:paraId="4537D588"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1294" w:type="dxa"/>
            <w:shd w:val="clear" w:color="auto" w:fill="auto"/>
            <w:vAlign w:val="center"/>
          </w:tcPr>
          <w:p w14:paraId="0A078F10"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a,b,1</w:t>
            </w:r>
          </w:p>
        </w:tc>
        <w:tc>
          <w:tcPr>
            <w:tcW w:w="1339" w:type="dxa"/>
            <w:shd w:val="clear" w:color="auto" w:fill="auto"/>
            <w:vAlign w:val="center"/>
          </w:tcPr>
          <w:p w14:paraId="5F080551"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1</w:t>
            </w:r>
          </w:p>
        </w:tc>
        <w:tc>
          <w:tcPr>
            <w:tcW w:w="1275" w:type="dxa"/>
            <w:shd w:val="clear" w:color="auto" w:fill="auto"/>
            <w:vAlign w:val="center"/>
          </w:tcPr>
          <w:p w14:paraId="51C0F095"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(2-3)</w:t>
            </w:r>
            <w:r w:rsidRPr="000A40E6">
              <w:rPr>
                <w:rFonts w:eastAsia="Calibri" w:cs="Times New Roman"/>
                <w:color w:val="000000"/>
                <w:sz w:val="20"/>
                <w:szCs w:val="20"/>
                <w:vertAlign w:val="superscript"/>
              </w:rPr>
              <w:t>2</w:t>
            </w:r>
          </w:p>
        </w:tc>
        <w:tc>
          <w:tcPr>
            <w:tcW w:w="1418" w:type="dxa"/>
            <w:shd w:val="clear" w:color="auto" w:fill="auto"/>
            <w:vAlign w:val="center"/>
          </w:tcPr>
          <w:p w14:paraId="71DA5D24"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a,b,1,2</w:t>
            </w:r>
          </w:p>
        </w:tc>
        <w:tc>
          <w:tcPr>
            <w:tcW w:w="850" w:type="dxa"/>
            <w:shd w:val="clear" w:color="auto" w:fill="auto"/>
            <w:vAlign w:val="center"/>
          </w:tcPr>
          <w:p w14:paraId="61342630"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850" w:type="dxa"/>
            <w:shd w:val="clear" w:color="auto" w:fill="auto"/>
            <w:vAlign w:val="center"/>
          </w:tcPr>
          <w:p w14:paraId="28A9DFDF" w14:textId="77777777" w:rsidR="008B7DEC" w:rsidRPr="000A40E6" w:rsidRDefault="008B7DEC" w:rsidP="00F756C3">
            <w:pPr>
              <w:suppressAutoHyphens/>
              <w:spacing w:line="240" w:lineRule="atLeast"/>
              <w:ind w:firstLine="0"/>
              <w:jc w:val="center"/>
              <w:rPr>
                <w:rFonts w:eastAsia="Calibri" w:cs="Times New Roman"/>
                <w:sz w:val="20"/>
                <w:szCs w:val="20"/>
              </w:rPr>
            </w:pPr>
          </w:p>
        </w:tc>
      </w:tr>
      <w:tr w:rsidR="008B7DEC" w:rsidRPr="000A40E6" w14:paraId="4FEADE2E" w14:textId="77777777" w:rsidTr="00A3711B">
        <w:trPr>
          <w:jc w:val="center"/>
        </w:trPr>
        <w:tc>
          <w:tcPr>
            <w:tcW w:w="1479" w:type="dxa"/>
            <w:shd w:val="clear" w:color="auto" w:fill="auto"/>
            <w:vAlign w:val="center"/>
          </w:tcPr>
          <w:p w14:paraId="0FC6F700"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T3</w:t>
            </w:r>
          </w:p>
        </w:tc>
        <w:tc>
          <w:tcPr>
            <w:tcW w:w="1294" w:type="dxa"/>
            <w:shd w:val="clear" w:color="auto" w:fill="auto"/>
            <w:vAlign w:val="center"/>
          </w:tcPr>
          <w:p w14:paraId="5EFE83D4" w14:textId="77777777" w:rsidR="008B7DEC" w:rsidRPr="000A40E6" w:rsidRDefault="008B7DEC"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1.83±0.39</w:t>
            </w:r>
          </w:p>
        </w:tc>
        <w:tc>
          <w:tcPr>
            <w:tcW w:w="1339" w:type="dxa"/>
            <w:shd w:val="clear" w:color="auto" w:fill="auto"/>
            <w:vAlign w:val="center"/>
          </w:tcPr>
          <w:p w14:paraId="65144B22"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1.96±0.21</w:t>
            </w:r>
          </w:p>
        </w:tc>
        <w:tc>
          <w:tcPr>
            <w:tcW w:w="1275" w:type="dxa"/>
            <w:shd w:val="clear" w:color="auto" w:fill="auto"/>
            <w:vAlign w:val="center"/>
          </w:tcPr>
          <w:p w14:paraId="56933F80"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2.43±0.51</w:t>
            </w:r>
          </w:p>
        </w:tc>
        <w:tc>
          <w:tcPr>
            <w:tcW w:w="1418" w:type="dxa"/>
            <w:shd w:val="clear" w:color="auto" w:fill="auto"/>
            <w:vAlign w:val="center"/>
          </w:tcPr>
          <w:p w14:paraId="69F7FDC5"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2.43±0.51</w:t>
            </w:r>
          </w:p>
        </w:tc>
        <w:tc>
          <w:tcPr>
            <w:tcW w:w="850" w:type="dxa"/>
            <w:shd w:val="clear" w:color="auto" w:fill="auto"/>
            <w:vAlign w:val="center"/>
          </w:tcPr>
          <w:p w14:paraId="69CF5A76"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28.191</w:t>
            </w:r>
          </w:p>
        </w:tc>
        <w:tc>
          <w:tcPr>
            <w:tcW w:w="850" w:type="dxa"/>
            <w:shd w:val="clear" w:color="auto" w:fill="auto"/>
            <w:vAlign w:val="center"/>
          </w:tcPr>
          <w:p w14:paraId="52CE5049" w14:textId="77777777" w:rsidR="008B7DEC" w:rsidRPr="000A40E6" w:rsidRDefault="008B7DE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&lt;0.001</w:t>
            </w:r>
          </w:p>
        </w:tc>
      </w:tr>
      <w:tr w:rsidR="008B7DEC" w:rsidRPr="000A40E6" w14:paraId="3A1B06D2" w14:textId="77777777" w:rsidTr="00A3711B">
        <w:trPr>
          <w:jc w:val="center"/>
        </w:trPr>
        <w:tc>
          <w:tcPr>
            <w:tcW w:w="1479" w:type="dxa"/>
            <w:shd w:val="clear" w:color="auto" w:fill="auto"/>
            <w:vAlign w:val="center"/>
          </w:tcPr>
          <w:p w14:paraId="005A6681"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1294" w:type="dxa"/>
            <w:shd w:val="clear" w:color="auto" w:fill="auto"/>
            <w:vAlign w:val="center"/>
          </w:tcPr>
          <w:p w14:paraId="271B0389"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b,1</w:t>
            </w:r>
          </w:p>
        </w:tc>
        <w:tc>
          <w:tcPr>
            <w:tcW w:w="1339" w:type="dxa"/>
            <w:shd w:val="clear" w:color="auto" w:fill="auto"/>
            <w:vAlign w:val="center"/>
          </w:tcPr>
          <w:p w14:paraId="526359BD"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(2-2)</w:t>
            </w:r>
            <w:r w:rsidRPr="000A40E6">
              <w:rPr>
                <w:rFonts w:eastAsia="Calibri" w:cs="Times New Roman"/>
                <w:color w:val="000000"/>
                <w:sz w:val="20"/>
                <w:szCs w:val="20"/>
                <w:vertAlign w:val="superscript"/>
              </w:rPr>
              <w:t>1</w:t>
            </w:r>
          </w:p>
        </w:tc>
        <w:tc>
          <w:tcPr>
            <w:tcW w:w="1275" w:type="dxa"/>
            <w:shd w:val="clear" w:color="auto" w:fill="auto"/>
            <w:vAlign w:val="center"/>
          </w:tcPr>
          <w:p w14:paraId="48768E03"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(2-3)</w:t>
            </w:r>
            <w:r w:rsidRPr="000A40E6">
              <w:rPr>
                <w:rFonts w:eastAsia="Calibri" w:cs="Times New Roman"/>
                <w:color w:val="000000"/>
                <w:sz w:val="20"/>
                <w:szCs w:val="20"/>
                <w:vertAlign w:val="superscript"/>
              </w:rPr>
              <w:t>2</w:t>
            </w:r>
          </w:p>
        </w:tc>
        <w:tc>
          <w:tcPr>
            <w:tcW w:w="1418" w:type="dxa"/>
            <w:shd w:val="clear" w:color="auto" w:fill="auto"/>
            <w:vAlign w:val="center"/>
          </w:tcPr>
          <w:p w14:paraId="0732E794"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 (2-3)</w:t>
            </w:r>
            <w:r w:rsidRPr="000A40E6">
              <w:rPr>
                <w:rFonts w:eastAsia="Calibri" w:cs="Times New Roman"/>
                <w:color w:val="000000"/>
                <w:sz w:val="20"/>
                <w:szCs w:val="20"/>
                <w:vertAlign w:val="superscript"/>
              </w:rPr>
              <w:t>b,2</w:t>
            </w:r>
          </w:p>
        </w:tc>
        <w:tc>
          <w:tcPr>
            <w:tcW w:w="850" w:type="dxa"/>
            <w:shd w:val="clear" w:color="auto" w:fill="auto"/>
            <w:vAlign w:val="center"/>
          </w:tcPr>
          <w:p w14:paraId="46EACE1D"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850" w:type="dxa"/>
            <w:shd w:val="clear" w:color="auto" w:fill="auto"/>
            <w:vAlign w:val="center"/>
          </w:tcPr>
          <w:p w14:paraId="38F214F6" w14:textId="77777777" w:rsidR="008B7DEC" w:rsidRPr="000A40E6" w:rsidRDefault="008B7DEC" w:rsidP="00F756C3">
            <w:pPr>
              <w:suppressAutoHyphens/>
              <w:spacing w:line="240" w:lineRule="atLeast"/>
              <w:ind w:firstLine="0"/>
              <w:jc w:val="center"/>
              <w:rPr>
                <w:rFonts w:eastAsia="Calibri" w:cs="Times New Roman"/>
                <w:sz w:val="20"/>
                <w:szCs w:val="20"/>
              </w:rPr>
            </w:pPr>
          </w:p>
        </w:tc>
      </w:tr>
      <w:tr w:rsidR="008B7DEC" w:rsidRPr="000A40E6" w14:paraId="3DA3B26A" w14:textId="77777777" w:rsidTr="00A3711B">
        <w:trPr>
          <w:jc w:val="center"/>
        </w:trPr>
        <w:tc>
          <w:tcPr>
            <w:tcW w:w="1479" w:type="dxa"/>
            <w:tcBorders>
              <w:bottom w:val="single" w:sz="4" w:space="0" w:color="auto"/>
            </w:tcBorders>
            <w:shd w:val="clear" w:color="auto" w:fill="auto"/>
            <w:vAlign w:val="center"/>
          </w:tcPr>
          <w:p w14:paraId="39E17DE2"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χ</w:t>
            </w:r>
            <w:r w:rsidRPr="000A40E6">
              <w:rPr>
                <w:rFonts w:eastAsia="Calibri" w:cs="Times New Roman"/>
                <w:b/>
                <w:bCs/>
                <w:sz w:val="20"/>
                <w:szCs w:val="20"/>
                <w:vertAlign w:val="superscript"/>
              </w:rPr>
              <w:t>2</w:t>
            </w:r>
            <w:r w:rsidRPr="000A40E6">
              <w:rPr>
                <w:rFonts w:eastAsia="Calibri" w:cs="Times New Roman"/>
                <w:b/>
                <w:bCs/>
                <w:sz w:val="20"/>
                <w:szCs w:val="20"/>
              </w:rPr>
              <w:t>, p-değeri</w:t>
            </w:r>
          </w:p>
        </w:tc>
        <w:tc>
          <w:tcPr>
            <w:tcW w:w="1294" w:type="dxa"/>
            <w:tcBorders>
              <w:bottom w:val="single" w:sz="4" w:space="0" w:color="auto"/>
            </w:tcBorders>
            <w:shd w:val="clear" w:color="auto" w:fill="auto"/>
            <w:vAlign w:val="center"/>
          </w:tcPr>
          <w:p w14:paraId="1AA7078B"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 xml:space="preserve">9.900, </w:t>
            </w:r>
            <w:r w:rsidRPr="000A40E6">
              <w:rPr>
                <w:rFonts w:eastAsia="Calibri" w:cs="Times New Roman"/>
                <w:b/>
                <w:bCs/>
                <w:sz w:val="20"/>
                <w:szCs w:val="20"/>
              </w:rPr>
              <w:t>0.019</w:t>
            </w:r>
          </w:p>
        </w:tc>
        <w:tc>
          <w:tcPr>
            <w:tcW w:w="1339" w:type="dxa"/>
            <w:tcBorders>
              <w:bottom w:val="single" w:sz="4" w:space="0" w:color="auto"/>
            </w:tcBorders>
            <w:shd w:val="clear" w:color="auto" w:fill="auto"/>
            <w:vAlign w:val="center"/>
          </w:tcPr>
          <w:p w14:paraId="14D91B11"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4.538, 0.209</w:t>
            </w:r>
          </w:p>
        </w:tc>
        <w:tc>
          <w:tcPr>
            <w:tcW w:w="1275" w:type="dxa"/>
            <w:tcBorders>
              <w:bottom w:val="single" w:sz="4" w:space="0" w:color="auto"/>
            </w:tcBorders>
            <w:shd w:val="clear" w:color="auto" w:fill="auto"/>
            <w:vAlign w:val="center"/>
          </w:tcPr>
          <w:p w14:paraId="67F01E29"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6.709, 0.082</w:t>
            </w:r>
          </w:p>
        </w:tc>
        <w:tc>
          <w:tcPr>
            <w:tcW w:w="1418" w:type="dxa"/>
            <w:tcBorders>
              <w:bottom w:val="single" w:sz="4" w:space="0" w:color="auto"/>
            </w:tcBorders>
            <w:shd w:val="clear" w:color="auto" w:fill="auto"/>
            <w:vAlign w:val="center"/>
          </w:tcPr>
          <w:p w14:paraId="01C1F393" w14:textId="77777777" w:rsidR="008B7DEC" w:rsidRPr="000A40E6" w:rsidRDefault="008B7DEC"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 xml:space="preserve">11.455, </w:t>
            </w:r>
            <w:r w:rsidRPr="000A40E6">
              <w:rPr>
                <w:rFonts w:eastAsia="Calibri" w:cs="Times New Roman"/>
                <w:b/>
                <w:bCs/>
                <w:sz w:val="20"/>
                <w:szCs w:val="20"/>
              </w:rPr>
              <w:t>0.010</w:t>
            </w:r>
          </w:p>
        </w:tc>
        <w:tc>
          <w:tcPr>
            <w:tcW w:w="850" w:type="dxa"/>
            <w:tcBorders>
              <w:bottom w:val="single" w:sz="4" w:space="0" w:color="auto"/>
            </w:tcBorders>
            <w:shd w:val="clear" w:color="auto" w:fill="auto"/>
            <w:vAlign w:val="center"/>
          </w:tcPr>
          <w:p w14:paraId="08A9F85E" w14:textId="77777777" w:rsidR="008B7DEC" w:rsidRPr="000A40E6" w:rsidRDefault="008B7DEC" w:rsidP="00F756C3">
            <w:pPr>
              <w:suppressAutoHyphens/>
              <w:spacing w:line="240" w:lineRule="atLeast"/>
              <w:ind w:firstLine="0"/>
              <w:jc w:val="center"/>
              <w:rPr>
                <w:rFonts w:eastAsia="Calibri" w:cs="Times New Roman"/>
                <w:sz w:val="20"/>
                <w:szCs w:val="20"/>
              </w:rPr>
            </w:pPr>
          </w:p>
        </w:tc>
        <w:tc>
          <w:tcPr>
            <w:tcW w:w="850" w:type="dxa"/>
            <w:tcBorders>
              <w:bottom w:val="single" w:sz="4" w:space="0" w:color="auto"/>
            </w:tcBorders>
            <w:shd w:val="clear" w:color="auto" w:fill="auto"/>
            <w:vAlign w:val="center"/>
          </w:tcPr>
          <w:p w14:paraId="7BA9D6D5" w14:textId="77777777" w:rsidR="008B7DEC" w:rsidRPr="000A40E6" w:rsidRDefault="008B7DEC" w:rsidP="00F756C3">
            <w:pPr>
              <w:suppressAutoHyphens/>
              <w:spacing w:line="240" w:lineRule="atLeast"/>
              <w:ind w:firstLine="0"/>
              <w:jc w:val="center"/>
              <w:rPr>
                <w:rFonts w:eastAsia="Calibri" w:cs="Times New Roman"/>
                <w:sz w:val="20"/>
                <w:szCs w:val="20"/>
              </w:rPr>
            </w:pPr>
          </w:p>
        </w:tc>
      </w:tr>
    </w:tbl>
    <w:p w14:paraId="11ADE25A" w14:textId="77777777" w:rsidR="00F756C3" w:rsidRPr="000A40E6" w:rsidRDefault="00F756C3" w:rsidP="00F756C3">
      <w:pPr>
        <w:suppressAutoHyphens/>
        <w:spacing w:before="120" w:after="120" w:line="240" w:lineRule="auto"/>
        <w:ind w:firstLine="0"/>
        <w:rPr>
          <w:rFonts w:eastAsia="Calibri" w:cs="Times New Roman"/>
          <w:sz w:val="20"/>
          <w:szCs w:val="20"/>
        </w:rPr>
      </w:pPr>
      <w:r w:rsidRPr="000A40E6">
        <w:rPr>
          <w:rFonts w:eastAsia="Calibri" w:cs="Times New Roman"/>
          <w:sz w:val="20"/>
          <w:szCs w:val="20"/>
        </w:rPr>
        <w:t xml:space="preserve">Ort: Ortalama, SS: Standart sapma, </w:t>
      </w:r>
      <w:proofErr w:type="gramStart"/>
      <w:r w:rsidRPr="000A40E6">
        <w:rPr>
          <w:rFonts w:eastAsia="Calibri" w:cs="Times New Roman"/>
          <w:sz w:val="20"/>
          <w:szCs w:val="20"/>
        </w:rPr>
        <w:t>ÇAG : Çeyrekler</w:t>
      </w:r>
      <w:proofErr w:type="gramEnd"/>
      <w:r w:rsidRPr="000A40E6">
        <w:rPr>
          <w:rFonts w:eastAsia="Calibri" w:cs="Times New Roman"/>
          <w:sz w:val="20"/>
          <w:szCs w:val="20"/>
        </w:rPr>
        <w:t xml:space="preserve"> arası genişlik.</w:t>
      </w:r>
    </w:p>
    <w:p w14:paraId="56D15BA1" w14:textId="77777777" w:rsidR="00F756C3" w:rsidRPr="000A40E6" w:rsidRDefault="00F756C3" w:rsidP="00F756C3">
      <w:pPr>
        <w:suppressAutoHyphens/>
        <w:spacing w:before="120" w:after="120" w:line="240" w:lineRule="auto"/>
        <w:ind w:firstLine="0"/>
        <w:rPr>
          <w:rFonts w:eastAsia="Calibri" w:cs="Times New Roman"/>
          <w:sz w:val="20"/>
          <w:szCs w:val="20"/>
        </w:rPr>
      </w:pPr>
      <w:proofErr w:type="gramStart"/>
      <w:r w:rsidRPr="000A40E6">
        <w:rPr>
          <w:rFonts w:eastAsia="Calibri" w:cs="Times New Roman"/>
          <w:sz w:val="20"/>
          <w:szCs w:val="20"/>
          <w:vertAlign w:val="superscript"/>
        </w:rPr>
        <w:t>a</w:t>
      </w:r>
      <w:proofErr w:type="gramEnd"/>
      <w:r w:rsidRPr="000A40E6">
        <w:rPr>
          <w:rFonts w:eastAsia="Calibri" w:cs="Times New Roman"/>
          <w:sz w:val="20"/>
          <w:szCs w:val="20"/>
          <w:vertAlign w:val="superscript"/>
        </w:rPr>
        <w:t xml:space="preserve">,b </w:t>
      </w:r>
      <w:r w:rsidRPr="000A40E6">
        <w:rPr>
          <w:rFonts w:eastAsia="Calibri" w:cs="Times New Roman"/>
          <w:sz w:val="20"/>
          <w:szCs w:val="20"/>
        </w:rPr>
        <w:t>İlgili sütundaki bölge için cep derinliği bakımından homojen olan (p&gt;0.05) zamanları göstermektedir.</w:t>
      </w:r>
    </w:p>
    <w:p w14:paraId="38B50D86" w14:textId="77777777" w:rsidR="00F756C3" w:rsidRPr="000A40E6" w:rsidRDefault="00F756C3" w:rsidP="00F756C3">
      <w:pPr>
        <w:suppressAutoHyphens/>
        <w:spacing w:before="120" w:after="120" w:line="240" w:lineRule="auto"/>
        <w:ind w:firstLine="0"/>
        <w:rPr>
          <w:rFonts w:eastAsia="Calibri" w:cs="Times New Roman"/>
          <w:sz w:val="20"/>
          <w:szCs w:val="20"/>
        </w:rPr>
      </w:pPr>
      <w:r w:rsidRPr="000A40E6">
        <w:rPr>
          <w:rFonts w:eastAsia="Calibri" w:cs="Times New Roman"/>
          <w:sz w:val="20"/>
          <w:szCs w:val="20"/>
          <w:vertAlign w:val="superscript"/>
        </w:rPr>
        <w:t xml:space="preserve">1,2 </w:t>
      </w:r>
      <w:r w:rsidRPr="000A40E6">
        <w:rPr>
          <w:rFonts w:eastAsia="Calibri" w:cs="Times New Roman"/>
          <w:sz w:val="20"/>
          <w:szCs w:val="20"/>
        </w:rPr>
        <w:t>İlgili satırdaki zaman için cep derinliği bakımından homojen olan (p&gt;0.05) bölgeleri göstermektedir.</w:t>
      </w:r>
    </w:p>
    <w:p w14:paraId="015679D0" w14:textId="14D4A5F3" w:rsidR="00F756C3" w:rsidRPr="000A40E6" w:rsidRDefault="00F756C3" w:rsidP="00F756C3">
      <w:pPr>
        <w:suppressAutoHyphens/>
        <w:spacing w:before="120" w:after="120" w:line="240" w:lineRule="auto"/>
        <w:ind w:firstLine="0"/>
        <w:rPr>
          <w:rFonts w:eastAsia="Calibri" w:cs="Times New Roman"/>
          <w:kern w:val="2"/>
          <w:szCs w:val="24"/>
          <w14:ligatures w14:val="standardContextual"/>
        </w:rPr>
      </w:pPr>
      <w:r w:rsidRPr="000A40E6">
        <w:rPr>
          <w:rFonts w:eastAsia="Calibri" w:cs="Times New Roman"/>
          <w:sz w:val="20"/>
          <w:szCs w:val="20"/>
        </w:rPr>
        <w:t>Zaman x Bölge etkileşim etkisi için Anova-tipi test istatistiği=0.721, p=0.621</w:t>
      </w:r>
    </w:p>
    <w:p w14:paraId="7BD9168B" w14:textId="77777777" w:rsidR="00A3711B" w:rsidRPr="000A40E6" w:rsidRDefault="00A3711B" w:rsidP="00F756C3">
      <w:pPr>
        <w:suppressAutoHyphens/>
        <w:spacing w:after="120"/>
        <w:rPr>
          <w:rFonts w:eastAsia="Calibri" w:cs="Times New Roman"/>
          <w:kern w:val="2"/>
          <w:szCs w:val="24"/>
          <w14:ligatures w14:val="standardContextual"/>
        </w:rPr>
      </w:pPr>
    </w:p>
    <w:p w14:paraId="3813A6F7" w14:textId="18975E68" w:rsidR="009B2AA4" w:rsidRPr="000A40E6" w:rsidRDefault="009B2AA4"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 xml:space="preserve">DOS hacminin zamana ve bölgelere </w:t>
      </w:r>
      <w:r w:rsidR="00EA6A35" w:rsidRPr="000A40E6">
        <w:rPr>
          <w:rFonts w:eastAsia="Calibri" w:cs="Times New Roman"/>
          <w:kern w:val="2"/>
          <w:szCs w:val="24"/>
          <w14:ligatures w14:val="standardContextual"/>
        </w:rPr>
        <w:t xml:space="preserve">göre </w:t>
      </w:r>
      <w:r w:rsidR="001749DA" w:rsidRPr="000A40E6">
        <w:rPr>
          <w:rFonts w:eastAsia="Calibri" w:cs="Times New Roman"/>
          <w:kern w:val="2"/>
          <w:szCs w:val="24"/>
          <w14:ligatures w14:val="standardContextual"/>
        </w:rPr>
        <w:t>dağılımı Tablo 7</w:t>
      </w:r>
      <w:r w:rsidRPr="000A40E6">
        <w:rPr>
          <w:rFonts w:eastAsia="Calibri" w:cs="Times New Roman"/>
          <w:kern w:val="2"/>
          <w:szCs w:val="24"/>
          <w14:ligatures w14:val="standardContextual"/>
        </w:rPr>
        <w:t>’de verilmiştir. Bukkal ve palatinal bölgede DOS hacminin zamana göre anlamlı düzeyde değiştiği (her iki bölge için p&lt;0.001) ancak bu değişimin iki bölge arasında istatistiksel olarak anlamlı bir fark göstermediği belirlenmiştir (ATİ=1.100, p=0.342, Şekil 1). Bukkal bölgeden alınan DOS hacminin, T1 ve T2 zamanlarında anlamlı düzeyde arttığı, T3 zamanında ise T2 zamanıyla benzer düzeyde kaldığı görülmüştür. Palatinal bölgeden alınan DOS hacminin ise T1 zamanında T0’a göre; T2 ve T3 zamanlarında T1’e göre anlamlı olmasa da arttığı, fakat T2 ve T3 zamanlarında T0’a göre anlamlı düzeyde daha yüksek olduğu tespit edilmiştir. Ayrıca iki bölge, her bir ölçüm zamanında DOS hacmi bakımından benzer bulunmuştur (p&gt;0.05).</w:t>
      </w:r>
    </w:p>
    <w:p w14:paraId="64F92A25" w14:textId="77777777" w:rsidR="009B2AA4" w:rsidRPr="000A40E6" w:rsidRDefault="009B2AA4" w:rsidP="00F756C3">
      <w:pPr>
        <w:suppressAutoHyphens/>
        <w:spacing w:after="120"/>
        <w:rPr>
          <w:rFonts w:eastAsia="Calibri" w:cs="Times New Roman"/>
          <w:kern w:val="2"/>
          <w:szCs w:val="24"/>
          <w14:ligatures w14:val="standardContextual"/>
        </w:rPr>
      </w:pPr>
    </w:p>
    <w:p w14:paraId="696325B8" w14:textId="77777777" w:rsidR="00A3711B" w:rsidRPr="000A40E6" w:rsidRDefault="00A3711B">
      <w:pPr>
        <w:spacing w:after="200" w:line="276" w:lineRule="auto"/>
        <w:ind w:firstLine="0"/>
        <w:jc w:val="left"/>
        <w:rPr>
          <w:rFonts w:cs="Times New Roman"/>
          <w:b/>
          <w:bCs/>
          <w:szCs w:val="24"/>
        </w:rPr>
      </w:pPr>
      <w:bookmarkStart w:id="132" w:name="_Toc136383397"/>
      <w:r w:rsidRPr="000A40E6">
        <w:rPr>
          <w:rFonts w:cs="Times New Roman"/>
          <w:szCs w:val="24"/>
        </w:rPr>
        <w:br w:type="page"/>
      </w:r>
    </w:p>
    <w:p w14:paraId="45D2B42B" w14:textId="5242D7F1" w:rsidR="009B2AA4" w:rsidRPr="000A40E6" w:rsidRDefault="00C621BC" w:rsidP="00F756C3">
      <w:pPr>
        <w:pStyle w:val="ResimYazs"/>
        <w:suppressAutoHyphens/>
        <w:spacing w:before="120" w:after="120" w:line="360" w:lineRule="auto"/>
        <w:ind w:left="567" w:hanging="567"/>
        <w:jc w:val="both"/>
        <w:rPr>
          <w:rFonts w:eastAsia="Calibri" w:cs="Times New Roman"/>
          <w:color w:val="auto"/>
          <w:kern w:val="2"/>
          <w:sz w:val="24"/>
          <w:szCs w:val="24"/>
          <w14:ligatures w14:val="standardContextual"/>
        </w:rPr>
      </w:pPr>
      <w:r w:rsidRPr="000A40E6">
        <w:rPr>
          <w:rFonts w:cs="Times New Roman"/>
          <w:color w:val="auto"/>
          <w:sz w:val="24"/>
          <w:szCs w:val="24"/>
        </w:rPr>
        <w:t xml:space="preserve">Tablo </w:t>
      </w:r>
      <w:r w:rsidR="001749DA" w:rsidRPr="000A40E6">
        <w:rPr>
          <w:rFonts w:cs="Times New Roman"/>
          <w:color w:val="auto"/>
          <w:sz w:val="24"/>
          <w:szCs w:val="24"/>
        </w:rPr>
        <w:t>7</w:t>
      </w:r>
      <w:r w:rsidRPr="000A40E6">
        <w:rPr>
          <w:rFonts w:cs="Times New Roman"/>
          <w:color w:val="auto"/>
          <w:sz w:val="24"/>
          <w:szCs w:val="24"/>
        </w:rPr>
        <w:t xml:space="preserve">. </w:t>
      </w:r>
      <w:r w:rsidR="009B2AA4" w:rsidRPr="000A40E6">
        <w:rPr>
          <w:rFonts w:eastAsia="Calibri" w:cs="Times New Roman"/>
          <w:b w:val="0"/>
          <w:color w:val="auto"/>
          <w:kern w:val="2"/>
          <w:sz w:val="24"/>
          <w:szCs w:val="24"/>
          <w14:ligatures w14:val="standardContextual"/>
        </w:rPr>
        <w:t>DOS hacminin zamana ve bölgelere göre dağılımı</w:t>
      </w:r>
      <w:bookmarkEnd w:id="132"/>
      <w:r w:rsidR="00425728" w:rsidRPr="000A40E6">
        <w:rPr>
          <w:rFonts w:eastAsia="Calibri" w:cs="Times New Roman"/>
          <w:b w:val="0"/>
          <w:color w:val="auto"/>
          <w:kern w:val="2"/>
          <w:sz w:val="24"/>
          <w:szCs w:val="24"/>
          <w14:ligatures w14:val="standardContextual"/>
        </w:rPr>
        <w:t>.</w:t>
      </w:r>
    </w:p>
    <w:tbl>
      <w:tblPr>
        <w:tblStyle w:val="TabloKlavuzu2"/>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4"/>
        <w:gridCol w:w="2034"/>
        <w:gridCol w:w="2034"/>
        <w:gridCol w:w="1208"/>
        <w:gridCol w:w="1225"/>
      </w:tblGrid>
      <w:tr w:rsidR="009B2AA4" w:rsidRPr="000A40E6" w14:paraId="23AD8BF3" w14:textId="77777777" w:rsidTr="00A3711B">
        <w:trPr>
          <w:jc w:val="center"/>
        </w:trPr>
        <w:tc>
          <w:tcPr>
            <w:tcW w:w="1776" w:type="dxa"/>
            <w:tcBorders>
              <w:top w:val="single" w:sz="4" w:space="0" w:color="auto"/>
            </w:tcBorders>
            <w:shd w:val="clear" w:color="auto" w:fill="auto"/>
            <w:vAlign w:val="center"/>
          </w:tcPr>
          <w:p w14:paraId="3F56B096"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DOS Hacmi (µL)</w:t>
            </w:r>
          </w:p>
        </w:tc>
        <w:tc>
          <w:tcPr>
            <w:tcW w:w="3606" w:type="dxa"/>
            <w:gridSpan w:val="2"/>
            <w:tcBorders>
              <w:top w:val="single" w:sz="4" w:space="0" w:color="auto"/>
              <w:bottom w:val="single" w:sz="4" w:space="0" w:color="auto"/>
            </w:tcBorders>
            <w:shd w:val="clear" w:color="auto" w:fill="auto"/>
            <w:vAlign w:val="center"/>
          </w:tcPr>
          <w:p w14:paraId="7BC13199"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Bölge</w:t>
            </w:r>
          </w:p>
        </w:tc>
        <w:tc>
          <w:tcPr>
            <w:tcW w:w="2157" w:type="dxa"/>
            <w:gridSpan w:val="2"/>
            <w:tcBorders>
              <w:top w:val="single" w:sz="4" w:space="0" w:color="auto"/>
              <w:bottom w:val="single" w:sz="4" w:space="0" w:color="auto"/>
            </w:tcBorders>
            <w:shd w:val="clear" w:color="auto" w:fill="auto"/>
            <w:vAlign w:val="center"/>
          </w:tcPr>
          <w:p w14:paraId="3D98A2E2"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Karşılaştırma sonucu</w:t>
            </w:r>
          </w:p>
        </w:tc>
      </w:tr>
      <w:tr w:rsidR="009B2AA4" w:rsidRPr="000A40E6" w14:paraId="16130C6D" w14:textId="77777777" w:rsidTr="00A3711B">
        <w:trPr>
          <w:trHeight w:val="501"/>
          <w:jc w:val="center"/>
        </w:trPr>
        <w:tc>
          <w:tcPr>
            <w:tcW w:w="1776" w:type="dxa"/>
            <w:tcBorders>
              <w:bottom w:val="single" w:sz="4" w:space="0" w:color="auto"/>
            </w:tcBorders>
            <w:shd w:val="clear" w:color="auto" w:fill="auto"/>
            <w:vAlign w:val="center"/>
          </w:tcPr>
          <w:p w14:paraId="53DEA691" w14:textId="47B76B6D" w:rsidR="00B77D45"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Ölçüm zamanı</w:t>
            </w:r>
          </w:p>
        </w:tc>
        <w:tc>
          <w:tcPr>
            <w:tcW w:w="1803" w:type="dxa"/>
            <w:tcBorders>
              <w:top w:val="single" w:sz="4" w:space="0" w:color="auto"/>
              <w:bottom w:val="single" w:sz="4" w:space="0" w:color="auto"/>
            </w:tcBorders>
            <w:shd w:val="clear" w:color="auto" w:fill="auto"/>
            <w:vAlign w:val="center"/>
          </w:tcPr>
          <w:p w14:paraId="0710BFF0" w14:textId="37944487" w:rsidR="00B77D45" w:rsidRPr="000A40E6" w:rsidRDefault="00B77D45"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Bukkal</w:t>
            </w:r>
          </w:p>
          <w:p w14:paraId="6C8DB2D3" w14:textId="77777777" w:rsidR="009B2AA4" w:rsidRPr="000A40E6" w:rsidRDefault="00B77D45"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1FA8F8D9" w14:textId="13124244" w:rsidR="00B77D45" w:rsidRPr="000A40E6" w:rsidRDefault="00B77D45"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1803" w:type="dxa"/>
            <w:tcBorders>
              <w:top w:val="single" w:sz="4" w:space="0" w:color="auto"/>
              <w:bottom w:val="single" w:sz="4" w:space="0" w:color="auto"/>
            </w:tcBorders>
            <w:shd w:val="clear" w:color="auto" w:fill="auto"/>
            <w:vAlign w:val="center"/>
          </w:tcPr>
          <w:p w14:paraId="5AC7EEF1" w14:textId="4E15BB2B" w:rsidR="00FF5A73" w:rsidRPr="000A40E6" w:rsidRDefault="00FF5A73"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Palatinal</w:t>
            </w:r>
          </w:p>
          <w:p w14:paraId="460DB1AB" w14:textId="77777777" w:rsidR="00FF5A73" w:rsidRPr="000A40E6" w:rsidRDefault="00FF5A73"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305F4D16" w14:textId="1665CF21" w:rsidR="009B2AA4" w:rsidRPr="000A40E6" w:rsidRDefault="00FF5A73"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1071" w:type="dxa"/>
            <w:tcBorders>
              <w:top w:val="single" w:sz="4" w:space="0" w:color="auto"/>
              <w:bottom w:val="single" w:sz="4" w:space="0" w:color="auto"/>
            </w:tcBorders>
            <w:shd w:val="clear" w:color="auto" w:fill="auto"/>
            <w:vAlign w:val="center"/>
          </w:tcPr>
          <w:p w14:paraId="531D1DEE"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Z</w:t>
            </w:r>
          </w:p>
        </w:tc>
        <w:tc>
          <w:tcPr>
            <w:tcW w:w="1086" w:type="dxa"/>
            <w:tcBorders>
              <w:top w:val="single" w:sz="4" w:space="0" w:color="auto"/>
              <w:bottom w:val="single" w:sz="4" w:space="0" w:color="auto"/>
            </w:tcBorders>
            <w:shd w:val="clear" w:color="auto" w:fill="auto"/>
            <w:vAlign w:val="center"/>
          </w:tcPr>
          <w:p w14:paraId="1F12249B" w14:textId="77777777" w:rsidR="009B2AA4" w:rsidRPr="000A40E6" w:rsidRDefault="009B2AA4"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p</w:t>
            </w:r>
            <w:proofErr w:type="gramEnd"/>
            <w:r w:rsidRPr="000A40E6">
              <w:rPr>
                <w:rFonts w:eastAsia="Calibri" w:cs="Times New Roman"/>
                <w:b/>
                <w:bCs/>
                <w:sz w:val="20"/>
                <w:szCs w:val="20"/>
              </w:rPr>
              <w:t>-değeri</w:t>
            </w:r>
          </w:p>
        </w:tc>
      </w:tr>
      <w:tr w:rsidR="009B2AA4" w:rsidRPr="000A40E6" w14:paraId="275D6B16" w14:textId="77777777" w:rsidTr="00A3711B">
        <w:trPr>
          <w:jc w:val="center"/>
        </w:trPr>
        <w:tc>
          <w:tcPr>
            <w:tcW w:w="1776" w:type="dxa"/>
            <w:tcBorders>
              <w:top w:val="single" w:sz="4" w:space="0" w:color="auto"/>
            </w:tcBorders>
            <w:shd w:val="clear" w:color="auto" w:fill="auto"/>
            <w:vAlign w:val="center"/>
          </w:tcPr>
          <w:p w14:paraId="73D07B53"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T0</w:t>
            </w:r>
          </w:p>
        </w:tc>
        <w:tc>
          <w:tcPr>
            <w:tcW w:w="1803" w:type="dxa"/>
            <w:tcBorders>
              <w:top w:val="single" w:sz="4" w:space="0" w:color="auto"/>
            </w:tcBorders>
            <w:shd w:val="clear" w:color="auto" w:fill="auto"/>
            <w:vAlign w:val="center"/>
          </w:tcPr>
          <w:p w14:paraId="2018152B"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0.16±0.11</w:t>
            </w:r>
          </w:p>
        </w:tc>
        <w:tc>
          <w:tcPr>
            <w:tcW w:w="1803" w:type="dxa"/>
            <w:tcBorders>
              <w:top w:val="single" w:sz="4" w:space="0" w:color="auto"/>
            </w:tcBorders>
            <w:shd w:val="clear" w:color="auto" w:fill="auto"/>
            <w:vAlign w:val="center"/>
          </w:tcPr>
          <w:p w14:paraId="56F0C96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0.15±0.09</w:t>
            </w:r>
          </w:p>
        </w:tc>
        <w:tc>
          <w:tcPr>
            <w:tcW w:w="1071" w:type="dxa"/>
            <w:tcBorders>
              <w:top w:val="single" w:sz="4" w:space="0" w:color="auto"/>
            </w:tcBorders>
            <w:shd w:val="clear" w:color="auto" w:fill="auto"/>
            <w:vAlign w:val="center"/>
          </w:tcPr>
          <w:p w14:paraId="6E6AF91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0.195</w:t>
            </w:r>
          </w:p>
        </w:tc>
        <w:tc>
          <w:tcPr>
            <w:tcW w:w="1086" w:type="dxa"/>
            <w:tcBorders>
              <w:top w:val="single" w:sz="4" w:space="0" w:color="auto"/>
            </w:tcBorders>
            <w:shd w:val="clear" w:color="auto" w:fill="auto"/>
            <w:vAlign w:val="center"/>
          </w:tcPr>
          <w:p w14:paraId="18E1BEB2"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0.846</w:t>
            </w:r>
          </w:p>
        </w:tc>
      </w:tr>
      <w:tr w:rsidR="009B2AA4" w:rsidRPr="000A40E6" w14:paraId="62FCCBF4" w14:textId="77777777" w:rsidTr="00A3711B">
        <w:trPr>
          <w:jc w:val="center"/>
        </w:trPr>
        <w:tc>
          <w:tcPr>
            <w:tcW w:w="1776" w:type="dxa"/>
            <w:shd w:val="clear" w:color="auto" w:fill="auto"/>
            <w:vAlign w:val="center"/>
          </w:tcPr>
          <w:p w14:paraId="45E1FC37"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803" w:type="dxa"/>
            <w:shd w:val="clear" w:color="auto" w:fill="auto"/>
            <w:vAlign w:val="center"/>
          </w:tcPr>
          <w:p w14:paraId="09959FED" w14:textId="77777777" w:rsidR="009B2AA4" w:rsidRPr="000A40E6" w:rsidRDefault="009B2AA4"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0.12 (0.09-0.21)</w:t>
            </w:r>
            <w:r w:rsidRPr="000A40E6">
              <w:rPr>
                <w:rFonts w:eastAsia="Calibri" w:cs="Times New Roman"/>
                <w:color w:val="000000"/>
                <w:sz w:val="20"/>
                <w:szCs w:val="20"/>
                <w:vertAlign w:val="superscript"/>
              </w:rPr>
              <w:t>a</w:t>
            </w:r>
          </w:p>
        </w:tc>
        <w:tc>
          <w:tcPr>
            <w:tcW w:w="1803" w:type="dxa"/>
            <w:shd w:val="clear" w:color="auto" w:fill="auto"/>
            <w:vAlign w:val="center"/>
          </w:tcPr>
          <w:p w14:paraId="4C2507AF" w14:textId="77777777" w:rsidR="009B2AA4" w:rsidRPr="000A40E6" w:rsidRDefault="009B2AA4"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0.13 (0.08-0.18)</w:t>
            </w:r>
            <w:r w:rsidRPr="000A40E6">
              <w:rPr>
                <w:rFonts w:eastAsia="Calibri" w:cs="Times New Roman"/>
                <w:color w:val="000000"/>
                <w:sz w:val="20"/>
                <w:szCs w:val="20"/>
                <w:vertAlign w:val="superscript"/>
              </w:rPr>
              <w:t>a</w:t>
            </w:r>
          </w:p>
        </w:tc>
        <w:tc>
          <w:tcPr>
            <w:tcW w:w="1071" w:type="dxa"/>
            <w:shd w:val="clear" w:color="auto" w:fill="auto"/>
            <w:vAlign w:val="center"/>
          </w:tcPr>
          <w:p w14:paraId="43A4B471"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20AB3429"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41C5BDA6" w14:textId="77777777" w:rsidTr="00A3711B">
        <w:trPr>
          <w:jc w:val="center"/>
        </w:trPr>
        <w:tc>
          <w:tcPr>
            <w:tcW w:w="1776" w:type="dxa"/>
            <w:shd w:val="clear" w:color="auto" w:fill="auto"/>
            <w:vAlign w:val="center"/>
          </w:tcPr>
          <w:p w14:paraId="17293F49"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T1</w:t>
            </w:r>
          </w:p>
        </w:tc>
        <w:tc>
          <w:tcPr>
            <w:tcW w:w="1803" w:type="dxa"/>
            <w:shd w:val="clear" w:color="auto" w:fill="auto"/>
            <w:vAlign w:val="center"/>
          </w:tcPr>
          <w:p w14:paraId="246D9FB9"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0.23±0.11</w:t>
            </w:r>
          </w:p>
        </w:tc>
        <w:tc>
          <w:tcPr>
            <w:tcW w:w="1803" w:type="dxa"/>
            <w:shd w:val="clear" w:color="auto" w:fill="auto"/>
            <w:vAlign w:val="center"/>
          </w:tcPr>
          <w:p w14:paraId="1C954BA2"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0.22±0.15</w:t>
            </w:r>
          </w:p>
        </w:tc>
        <w:tc>
          <w:tcPr>
            <w:tcW w:w="1071" w:type="dxa"/>
            <w:shd w:val="clear" w:color="auto" w:fill="auto"/>
            <w:vAlign w:val="center"/>
          </w:tcPr>
          <w:p w14:paraId="26834E02"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0.179</w:t>
            </w:r>
          </w:p>
        </w:tc>
        <w:tc>
          <w:tcPr>
            <w:tcW w:w="1086" w:type="dxa"/>
            <w:shd w:val="clear" w:color="auto" w:fill="auto"/>
            <w:vAlign w:val="center"/>
          </w:tcPr>
          <w:p w14:paraId="1654797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0.858</w:t>
            </w:r>
          </w:p>
        </w:tc>
      </w:tr>
      <w:tr w:rsidR="009B2AA4" w:rsidRPr="000A40E6" w14:paraId="3D4C7274" w14:textId="77777777" w:rsidTr="00A3711B">
        <w:trPr>
          <w:jc w:val="center"/>
        </w:trPr>
        <w:tc>
          <w:tcPr>
            <w:tcW w:w="1776" w:type="dxa"/>
            <w:shd w:val="clear" w:color="auto" w:fill="auto"/>
            <w:vAlign w:val="center"/>
          </w:tcPr>
          <w:p w14:paraId="5A097234"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803" w:type="dxa"/>
            <w:shd w:val="clear" w:color="auto" w:fill="auto"/>
            <w:vAlign w:val="center"/>
          </w:tcPr>
          <w:p w14:paraId="376F1A1F" w14:textId="77777777" w:rsidR="009B2AA4" w:rsidRPr="000A40E6" w:rsidRDefault="009B2AA4"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0.18 (0.14-0.26)</w:t>
            </w:r>
            <w:r w:rsidRPr="000A40E6">
              <w:rPr>
                <w:rFonts w:eastAsia="Calibri" w:cs="Times New Roman"/>
                <w:color w:val="000000"/>
                <w:sz w:val="20"/>
                <w:szCs w:val="20"/>
                <w:vertAlign w:val="superscript"/>
              </w:rPr>
              <w:t>b</w:t>
            </w:r>
          </w:p>
        </w:tc>
        <w:tc>
          <w:tcPr>
            <w:tcW w:w="1803" w:type="dxa"/>
            <w:shd w:val="clear" w:color="auto" w:fill="auto"/>
            <w:vAlign w:val="center"/>
          </w:tcPr>
          <w:p w14:paraId="3C49D9F3" w14:textId="77777777" w:rsidR="009B2AA4" w:rsidRPr="000A40E6" w:rsidRDefault="009B2AA4"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0.20 (0.13-0.26)</w:t>
            </w:r>
            <w:r w:rsidRPr="000A40E6">
              <w:rPr>
                <w:rFonts w:eastAsia="Calibri" w:cs="Times New Roman"/>
                <w:color w:val="000000"/>
                <w:sz w:val="20"/>
                <w:szCs w:val="20"/>
                <w:vertAlign w:val="superscript"/>
              </w:rPr>
              <w:t>a,b</w:t>
            </w:r>
          </w:p>
        </w:tc>
        <w:tc>
          <w:tcPr>
            <w:tcW w:w="1071" w:type="dxa"/>
            <w:shd w:val="clear" w:color="auto" w:fill="auto"/>
            <w:vAlign w:val="center"/>
          </w:tcPr>
          <w:p w14:paraId="783B0C13"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0C4B3C14"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36B0AF78" w14:textId="77777777" w:rsidTr="00A3711B">
        <w:trPr>
          <w:jc w:val="center"/>
        </w:trPr>
        <w:tc>
          <w:tcPr>
            <w:tcW w:w="1776" w:type="dxa"/>
            <w:shd w:val="clear" w:color="auto" w:fill="auto"/>
            <w:vAlign w:val="center"/>
          </w:tcPr>
          <w:p w14:paraId="38CFA5E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T2</w:t>
            </w:r>
          </w:p>
        </w:tc>
        <w:tc>
          <w:tcPr>
            <w:tcW w:w="1803" w:type="dxa"/>
            <w:shd w:val="clear" w:color="auto" w:fill="auto"/>
            <w:vAlign w:val="center"/>
          </w:tcPr>
          <w:p w14:paraId="111C7FF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0.30±0.11</w:t>
            </w:r>
          </w:p>
        </w:tc>
        <w:tc>
          <w:tcPr>
            <w:tcW w:w="1803" w:type="dxa"/>
            <w:shd w:val="clear" w:color="auto" w:fill="auto"/>
            <w:vAlign w:val="center"/>
          </w:tcPr>
          <w:p w14:paraId="0D66C41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0.23±0.09</w:t>
            </w:r>
          </w:p>
        </w:tc>
        <w:tc>
          <w:tcPr>
            <w:tcW w:w="1071" w:type="dxa"/>
            <w:shd w:val="clear" w:color="auto" w:fill="auto"/>
            <w:vAlign w:val="center"/>
          </w:tcPr>
          <w:p w14:paraId="3A7C414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2.388</w:t>
            </w:r>
          </w:p>
        </w:tc>
        <w:tc>
          <w:tcPr>
            <w:tcW w:w="1086" w:type="dxa"/>
            <w:shd w:val="clear" w:color="auto" w:fill="auto"/>
            <w:vAlign w:val="center"/>
          </w:tcPr>
          <w:p w14:paraId="4BE1F63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0.017</w:t>
            </w:r>
          </w:p>
        </w:tc>
      </w:tr>
      <w:tr w:rsidR="009B2AA4" w:rsidRPr="000A40E6" w14:paraId="32183050" w14:textId="77777777" w:rsidTr="00A3711B">
        <w:trPr>
          <w:jc w:val="center"/>
        </w:trPr>
        <w:tc>
          <w:tcPr>
            <w:tcW w:w="1776" w:type="dxa"/>
            <w:shd w:val="clear" w:color="auto" w:fill="auto"/>
            <w:vAlign w:val="center"/>
          </w:tcPr>
          <w:p w14:paraId="33486D9B"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803" w:type="dxa"/>
            <w:shd w:val="clear" w:color="auto" w:fill="auto"/>
            <w:vAlign w:val="center"/>
          </w:tcPr>
          <w:p w14:paraId="7CA19312" w14:textId="77777777" w:rsidR="009B2AA4" w:rsidRPr="000A40E6" w:rsidRDefault="009B2AA4"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0.32 (0.21-0.36)</w:t>
            </w:r>
            <w:r w:rsidRPr="000A40E6">
              <w:rPr>
                <w:rFonts w:eastAsia="Calibri" w:cs="Times New Roman"/>
                <w:color w:val="000000"/>
                <w:sz w:val="20"/>
                <w:szCs w:val="20"/>
                <w:vertAlign w:val="superscript"/>
              </w:rPr>
              <w:t>c</w:t>
            </w:r>
          </w:p>
        </w:tc>
        <w:tc>
          <w:tcPr>
            <w:tcW w:w="1803" w:type="dxa"/>
            <w:shd w:val="clear" w:color="auto" w:fill="auto"/>
            <w:vAlign w:val="center"/>
          </w:tcPr>
          <w:p w14:paraId="5D94097B" w14:textId="77777777" w:rsidR="009B2AA4" w:rsidRPr="000A40E6" w:rsidRDefault="009B2AA4"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0.23 (0.16-0.27)</w:t>
            </w:r>
            <w:r w:rsidRPr="000A40E6">
              <w:rPr>
                <w:rFonts w:eastAsia="Calibri" w:cs="Times New Roman"/>
                <w:color w:val="000000"/>
                <w:sz w:val="20"/>
                <w:szCs w:val="20"/>
                <w:vertAlign w:val="superscript"/>
              </w:rPr>
              <w:t>b</w:t>
            </w:r>
          </w:p>
        </w:tc>
        <w:tc>
          <w:tcPr>
            <w:tcW w:w="1071" w:type="dxa"/>
            <w:shd w:val="clear" w:color="auto" w:fill="auto"/>
            <w:vAlign w:val="center"/>
          </w:tcPr>
          <w:p w14:paraId="133C9BC3"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173046C8"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2111634A" w14:textId="77777777" w:rsidTr="00A3711B">
        <w:trPr>
          <w:jc w:val="center"/>
        </w:trPr>
        <w:tc>
          <w:tcPr>
            <w:tcW w:w="1776" w:type="dxa"/>
            <w:shd w:val="clear" w:color="auto" w:fill="auto"/>
            <w:vAlign w:val="center"/>
          </w:tcPr>
          <w:p w14:paraId="650235BE"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T3</w:t>
            </w:r>
          </w:p>
        </w:tc>
        <w:tc>
          <w:tcPr>
            <w:tcW w:w="1803" w:type="dxa"/>
            <w:shd w:val="clear" w:color="auto" w:fill="auto"/>
            <w:vAlign w:val="center"/>
          </w:tcPr>
          <w:p w14:paraId="20D49B3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0.28±0.08</w:t>
            </w:r>
          </w:p>
        </w:tc>
        <w:tc>
          <w:tcPr>
            <w:tcW w:w="1803" w:type="dxa"/>
            <w:shd w:val="clear" w:color="auto" w:fill="auto"/>
            <w:vAlign w:val="center"/>
          </w:tcPr>
          <w:p w14:paraId="17530A49"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0.23±0.06</w:t>
            </w:r>
          </w:p>
        </w:tc>
        <w:tc>
          <w:tcPr>
            <w:tcW w:w="1071" w:type="dxa"/>
            <w:shd w:val="clear" w:color="auto" w:fill="auto"/>
            <w:vAlign w:val="center"/>
          </w:tcPr>
          <w:p w14:paraId="67BE57A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1.643</w:t>
            </w:r>
          </w:p>
        </w:tc>
        <w:tc>
          <w:tcPr>
            <w:tcW w:w="1086" w:type="dxa"/>
            <w:shd w:val="clear" w:color="auto" w:fill="auto"/>
            <w:vAlign w:val="center"/>
          </w:tcPr>
          <w:p w14:paraId="0C367ACB"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0.100</w:t>
            </w:r>
          </w:p>
        </w:tc>
      </w:tr>
      <w:tr w:rsidR="009B2AA4" w:rsidRPr="000A40E6" w14:paraId="640ECA15" w14:textId="77777777" w:rsidTr="00A3711B">
        <w:trPr>
          <w:jc w:val="center"/>
        </w:trPr>
        <w:tc>
          <w:tcPr>
            <w:tcW w:w="1776" w:type="dxa"/>
            <w:shd w:val="clear" w:color="auto" w:fill="auto"/>
            <w:vAlign w:val="center"/>
          </w:tcPr>
          <w:p w14:paraId="331AC16F"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803" w:type="dxa"/>
            <w:shd w:val="clear" w:color="auto" w:fill="auto"/>
            <w:vAlign w:val="center"/>
          </w:tcPr>
          <w:p w14:paraId="247B97F7" w14:textId="77777777" w:rsidR="009B2AA4" w:rsidRPr="000A40E6" w:rsidRDefault="009B2AA4"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0.28 (0.23-0.32)</w:t>
            </w:r>
            <w:r w:rsidRPr="000A40E6">
              <w:rPr>
                <w:rFonts w:eastAsia="Calibri" w:cs="Times New Roman"/>
                <w:color w:val="000000"/>
                <w:sz w:val="20"/>
                <w:szCs w:val="20"/>
                <w:vertAlign w:val="superscript"/>
              </w:rPr>
              <w:t>c</w:t>
            </w:r>
          </w:p>
        </w:tc>
        <w:tc>
          <w:tcPr>
            <w:tcW w:w="1803" w:type="dxa"/>
            <w:shd w:val="clear" w:color="auto" w:fill="auto"/>
            <w:vAlign w:val="center"/>
          </w:tcPr>
          <w:p w14:paraId="3481B400" w14:textId="77777777" w:rsidR="009B2AA4" w:rsidRPr="000A40E6" w:rsidRDefault="009B2AA4" w:rsidP="00F756C3">
            <w:pPr>
              <w:suppressAutoHyphens/>
              <w:spacing w:line="240" w:lineRule="atLeast"/>
              <w:ind w:firstLine="0"/>
              <w:jc w:val="center"/>
              <w:rPr>
                <w:rFonts w:eastAsia="Calibri" w:cs="Times New Roman"/>
                <w:sz w:val="20"/>
                <w:szCs w:val="20"/>
                <w:vertAlign w:val="superscript"/>
              </w:rPr>
            </w:pPr>
            <w:r w:rsidRPr="000A40E6">
              <w:rPr>
                <w:rFonts w:eastAsia="Calibri" w:cs="Times New Roman"/>
                <w:color w:val="000000"/>
                <w:sz w:val="20"/>
                <w:szCs w:val="20"/>
              </w:rPr>
              <w:t>0.23 (0.18-0.26)</w:t>
            </w:r>
            <w:r w:rsidRPr="000A40E6">
              <w:rPr>
                <w:rFonts w:eastAsia="Calibri" w:cs="Times New Roman"/>
                <w:color w:val="000000"/>
                <w:sz w:val="20"/>
                <w:szCs w:val="20"/>
                <w:vertAlign w:val="superscript"/>
              </w:rPr>
              <w:t>b</w:t>
            </w:r>
          </w:p>
        </w:tc>
        <w:tc>
          <w:tcPr>
            <w:tcW w:w="1071" w:type="dxa"/>
            <w:shd w:val="clear" w:color="auto" w:fill="auto"/>
            <w:vAlign w:val="center"/>
          </w:tcPr>
          <w:p w14:paraId="6EE33299"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1D19062E"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2CE4E357" w14:textId="77777777" w:rsidTr="00A3711B">
        <w:trPr>
          <w:jc w:val="center"/>
        </w:trPr>
        <w:tc>
          <w:tcPr>
            <w:tcW w:w="1776" w:type="dxa"/>
            <w:shd w:val="clear" w:color="auto" w:fill="auto"/>
            <w:vAlign w:val="center"/>
          </w:tcPr>
          <w:p w14:paraId="266B6A63"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χ</w:t>
            </w:r>
            <w:r w:rsidRPr="000A40E6">
              <w:rPr>
                <w:rFonts w:eastAsia="Calibri" w:cs="Times New Roman"/>
                <w:b/>
                <w:bCs/>
                <w:sz w:val="20"/>
                <w:szCs w:val="20"/>
                <w:vertAlign w:val="superscript"/>
              </w:rPr>
              <w:t>2</w:t>
            </w:r>
            <w:r w:rsidRPr="000A40E6">
              <w:rPr>
                <w:rFonts w:eastAsia="Calibri" w:cs="Times New Roman"/>
                <w:b/>
                <w:bCs/>
                <w:sz w:val="20"/>
                <w:szCs w:val="20"/>
              </w:rPr>
              <w:t>, p-değeri</w:t>
            </w:r>
          </w:p>
        </w:tc>
        <w:tc>
          <w:tcPr>
            <w:tcW w:w="1803" w:type="dxa"/>
            <w:shd w:val="clear" w:color="auto" w:fill="auto"/>
            <w:vAlign w:val="center"/>
          </w:tcPr>
          <w:p w14:paraId="01DD1AE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 xml:space="preserve">27.066, </w:t>
            </w:r>
            <w:r w:rsidRPr="000A40E6">
              <w:rPr>
                <w:rFonts w:eastAsia="Calibri" w:cs="Times New Roman"/>
                <w:b/>
                <w:bCs/>
                <w:sz w:val="20"/>
                <w:szCs w:val="20"/>
              </w:rPr>
              <w:t>&lt;0.001</w:t>
            </w:r>
          </w:p>
        </w:tc>
        <w:tc>
          <w:tcPr>
            <w:tcW w:w="1803" w:type="dxa"/>
            <w:shd w:val="clear" w:color="auto" w:fill="auto"/>
            <w:vAlign w:val="center"/>
          </w:tcPr>
          <w:p w14:paraId="1A5CE516"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 xml:space="preserve">17.452, </w:t>
            </w:r>
            <w:r w:rsidRPr="000A40E6">
              <w:rPr>
                <w:rFonts w:eastAsia="Calibri" w:cs="Times New Roman"/>
                <w:b/>
                <w:bCs/>
                <w:sz w:val="20"/>
                <w:szCs w:val="20"/>
              </w:rPr>
              <w:t>&lt;0.001</w:t>
            </w:r>
          </w:p>
        </w:tc>
        <w:tc>
          <w:tcPr>
            <w:tcW w:w="1071" w:type="dxa"/>
            <w:shd w:val="clear" w:color="auto" w:fill="auto"/>
            <w:vAlign w:val="center"/>
          </w:tcPr>
          <w:p w14:paraId="78CD2B13"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71FA5D94" w14:textId="77777777" w:rsidR="009B2AA4" w:rsidRPr="000A40E6" w:rsidRDefault="009B2AA4" w:rsidP="00F756C3">
            <w:pPr>
              <w:suppressAutoHyphens/>
              <w:spacing w:line="240" w:lineRule="atLeast"/>
              <w:ind w:firstLine="0"/>
              <w:jc w:val="center"/>
              <w:rPr>
                <w:rFonts w:eastAsia="Calibri" w:cs="Times New Roman"/>
                <w:sz w:val="20"/>
                <w:szCs w:val="20"/>
              </w:rPr>
            </w:pPr>
          </w:p>
        </w:tc>
      </w:tr>
    </w:tbl>
    <w:p w14:paraId="5148460C" w14:textId="77777777" w:rsidR="00F756C3" w:rsidRPr="000A40E6" w:rsidRDefault="00F756C3" w:rsidP="00F756C3">
      <w:pPr>
        <w:suppressAutoHyphens/>
        <w:spacing w:before="120" w:after="120" w:line="240" w:lineRule="auto"/>
        <w:ind w:firstLine="0"/>
        <w:rPr>
          <w:rFonts w:eastAsia="Calibri" w:cs="Times New Roman"/>
          <w:sz w:val="20"/>
          <w:szCs w:val="20"/>
        </w:rPr>
      </w:pPr>
      <w:r w:rsidRPr="000A40E6">
        <w:rPr>
          <w:rFonts w:eastAsia="Calibri" w:cs="Times New Roman"/>
          <w:sz w:val="20"/>
          <w:szCs w:val="20"/>
        </w:rPr>
        <w:t xml:space="preserve">Ort: Ortalama, SS: Standart sapma, </w:t>
      </w:r>
      <w:proofErr w:type="gramStart"/>
      <w:r w:rsidRPr="000A40E6">
        <w:rPr>
          <w:rFonts w:eastAsia="Calibri" w:cs="Times New Roman"/>
          <w:sz w:val="20"/>
          <w:szCs w:val="20"/>
        </w:rPr>
        <w:t>ÇAG : Çeyrekler</w:t>
      </w:r>
      <w:proofErr w:type="gramEnd"/>
      <w:r w:rsidRPr="000A40E6">
        <w:rPr>
          <w:rFonts w:eastAsia="Calibri" w:cs="Times New Roman"/>
          <w:sz w:val="20"/>
          <w:szCs w:val="20"/>
        </w:rPr>
        <w:t xml:space="preserve"> arası genişlik.</w:t>
      </w:r>
    </w:p>
    <w:p w14:paraId="5CB42C40" w14:textId="77777777" w:rsidR="00F756C3" w:rsidRPr="000A40E6" w:rsidRDefault="00F756C3" w:rsidP="00F756C3">
      <w:pPr>
        <w:suppressAutoHyphens/>
        <w:spacing w:before="120" w:after="120" w:line="240" w:lineRule="auto"/>
        <w:ind w:firstLine="0"/>
        <w:rPr>
          <w:rFonts w:eastAsia="Calibri" w:cs="Times New Roman"/>
          <w:sz w:val="20"/>
          <w:szCs w:val="20"/>
        </w:rPr>
      </w:pPr>
      <w:proofErr w:type="gramStart"/>
      <w:r w:rsidRPr="000A40E6">
        <w:rPr>
          <w:rFonts w:eastAsia="Calibri" w:cs="Times New Roman"/>
          <w:sz w:val="20"/>
          <w:szCs w:val="20"/>
          <w:vertAlign w:val="superscript"/>
        </w:rPr>
        <w:t>a</w:t>
      </w:r>
      <w:proofErr w:type="gramEnd"/>
      <w:r w:rsidRPr="000A40E6">
        <w:rPr>
          <w:rFonts w:eastAsia="Calibri" w:cs="Times New Roman"/>
          <w:sz w:val="20"/>
          <w:szCs w:val="20"/>
          <w:vertAlign w:val="superscript"/>
        </w:rPr>
        <w:t xml:space="preserve">,b,c </w:t>
      </w:r>
      <w:r w:rsidRPr="000A40E6">
        <w:rPr>
          <w:rFonts w:eastAsia="Calibri" w:cs="Times New Roman"/>
          <w:sz w:val="20"/>
          <w:szCs w:val="20"/>
        </w:rPr>
        <w:t>İlgili sütundaki bölge için DOS hacmi bakımından homojen olan (p&gt;0.05) zamanları göstermektedir.</w:t>
      </w:r>
    </w:p>
    <w:p w14:paraId="553B167B" w14:textId="071270B0" w:rsidR="009B2AA4" w:rsidRPr="000A40E6" w:rsidRDefault="00F756C3" w:rsidP="00F756C3">
      <w:pPr>
        <w:suppressAutoHyphens/>
        <w:spacing w:before="120" w:after="120" w:line="240" w:lineRule="auto"/>
        <w:ind w:firstLine="0"/>
        <w:rPr>
          <w:rFonts w:eastAsia="Calibri" w:cs="Times New Roman"/>
          <w:kern w:val="2"/>
          <w:szCs w:val="24"/>
          <w14:ligatures w14:val="standardContextual"/>
        </w:rPr>
      </w:pPr>
      <w:r w:rsidRPr="000A40E6">
        <w:rPr>
          <w:rFonts w:eastAsia="Calibri" w:cs="Times New Roman"/>
          <w:sz w:val="20"/>
          <w:szCs w:val="20"/>
        </w:rPr>
        <w:t>Zaman x Bölge etkileşim etkisi için Anova-tipi test istatistiği=1.100, p=0.342</w:t>
      </w:r>
    </w:p>
    <w:p w14:paraId="76A1EDD9" w14:textId="77777777" w:rsidR="00F756C3" w:rsidRPr="000A40E6" w:rsidRDefault="00F756C3" w:rsidP="00F756C3">
      <w:pPr>
        <w:suppressAutoHyphens/>
        <w:spacing w:after="120"/>
        <w:rPr>
          <w:rFonts w:eastAsia="Calibri" w:cs="Times New Roman"/>
          <w:kern w:val="2"/>
          <w:szCs w:val="24"/>
          <w14:ligatures w14:val="standardContextual"/>
        </w:rPr>
      </w:pPr>
    </w:p>
    <w:p w14:paraId="56DA40E7" w14:textId="183BFC6B" w:rsidR="009B2AA4" w:rsidRPr="000A40E6" w:rsidRDefault="009B2AA4" w:rsidP="00F756C3">
      <w:pPr>
        <w:suppressAutoHyphens/>
        <w:spacing w:line="240" w:lineRule="atLeast"/>
        <w:ind w:firstLine="0"/>
        <w:jc w:val="center"/>
        <w:rPr>
          <w:rFonts w:eastAsia="Calibri" w:cs="Times New Roman"/>
          <w:kern w:val="2"/>
          <w:szCs w:val="24"/>
          <w14:ligatures w14:val="standardContextual"/>
        </w:rPr>
      </w:pPr>
      <w:r w:rsidRPr="000A40E6">
        <w:rPr>
          <w:rFonts w:eastAsia="Calibri" w:cs="Times New Roman"/>
          <w:noProof/>
          <w:kern w:val="2"/>
          <w:szCs w:val="24"/>
          <w:lang w:eastAsia="tr-TR"/>
          <w14:ligatures w14:val="standardContextual"/>
        </w:rPr>
        <w:drawing>
          <wp:inline distT="0" distB="0" distL="0" distR="0" wp14:anchorId="6AD9FF22" wp14:editId="21D7BC98">
            <wp:extent cx="4320000" cy="3375484"/>
            <wp:effectExtent l="19050" t="19050" r="23495" b="158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3375484"/>
                    </a:xfrm>
                    <a:prstGeom prst="rect">
                      <a:avLst/>
                    </a:prstGeom>
                    <a:ln>
                      <a:solidFill>
                        <a:sysClr val="window" lastClr="FFFFFF">
                          <a:lumMod val="50000"/>
                        </a:sysClr>
                      </a:solidFill>
                    </a:ln>
                  </pic:spPr>
                </pic:pic>
              </a:graphicData>
            </a:graphic>
          </wp:inline>
        </w:drawing>
      </w:r>
    </w:p>
    <w:p w14:paraId="0DF8BE0E" w14:textId="4E834841" w:rsidR="009B2AA4" w:rsidRPr="000A40E6" w:rsidRDefault="007D7C08" w:rsidP="00425728">
      <w:pPr>
        <w:pStyle w:val="ResimYazs"/>
        <w:suppressAutoHyphens/>
        <w:spacing w:before="120" w:after="120" w:line="360" w:lineRule="auto"/>
        <w:ind w:left="567" w:hanging="567"/>
        <w:rPr>
          <w:rFonts w:eastAsia="Calibri" w:cs="Times New Roman"/>
          <w:color w:val="auto"/>
          <w:kern w:val="2"/>
          <w:sz w:val="24"/>
          <w:szCs w:val="24"/>
          <w14:ligatures w14:val="standardContextual"/>
        </w:rPr>
      </w:pPr>
      <w:bookmarkStart w:id="133" w:name="_Toc136381298"/>
      <w:r w:rsidRPr="000A40E6">
        <w:rPr>
          <w:rFonts w:cs="Times New Roman"/>
          <w:color w:val="auto"/>
          <w:sz w:val="24"/>
          <w:szCs w:val="24"/>
        </w:rPr>
        <w:t xml:space="preserve">Şekil </w:t>
      </w:r>
      <w:r w:rsidR="003F42DA" w:rsidRPr="000A40E6">
        <w:rPr>
          <w:rFonts w:cs="Times New Roman"/>
          <w:noProof/>
          <w:color w:val="auto"/>
          <w:sz w:val="24"/>
          <w:szCs w:val="24"/>
        </w:rPr>
        <w:t>1</w:t>
      </w:r>
      <w:r w:rsidRPr="000A40E6">
        <w:rPr>
          <w:rFonts w:cs="Times New Roman"/>
          <w:color w:val="auto"/>
          <w:sz w:val="24"/>
          <w:szCs w:val="24"/>
        </w:rPr>
        <w:t xml:space="preserve">. </w:t>
      </w:r>
      <w:r w:rsidR="009B2AA4" w:rsidRPr="000A40E6">
        <w:rPr>
          <w:rFonts w:eastAsia="Calibri" w:cs="Times New Roman"/>
          <w:b w:val="0"/>
          <w:color w:val="auto"/>
          <w:kern w:val="2"/>
          <w:sz w:val="24"/>
          <w:szCs w:val="24"/>
          <w14:ligatures w14:val="standardContextual"/>
        </w:rPr>
        <w:t>DOS hacminin zamana ve bölgelere göre dağılımı</w:t>
      </w:r>
      <w:bookmarkEnd w:id="133"/>
      <w:r w:rsidR="00425728" w:rsidRPr="000A40E6">
        <w:rPr>
          <w:rFonts w:eastAsia="Calibri" w:cs="Times New Roman"/>
          <w:b w:val="0"/>
          <w:color w:val="auto"/>
          <w:kern w:val="2"/>
          <w:sz w:val="24"/>
          <w:szCs w:val="24"/>
          <w14:ligatures w14:val="standardContextual"/>
        </w:rPr>
        <w:t>.</w:t>
      </w:r>
    </w:p>
    <w:p w14:paraId="0E2A3855" w14:textId="77777777" w:rsidR="00FA22BF" w:rsidRPr="000A40E6" w:rsidRDefault="00FA22BF" w:rsidP="00F756C3">
      <w:pPr>
        <w:suppressAutoHyphens/>
        <w:spacing w:after="120"/>
        <w:rPr>
          <w:rFonts w:eastAsia="Calibri" w:cs="Times New Roman"/>
          <w:kern w:val="2"/>
          <w:szCs w:val="24"/>
          <w14:ligatures w14:val="standardContextual"/>
        </w:rPr>
      </w:pPr>
    </w:p>
    <w:p w14:paraId="50580D14" w14:textId="30866E54" w:rsidR="009B2AA4" w:rsidRPr="000A40E6" w:rsidRDefault="009B2AA4"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BALP ölçümleri ele alındığında, iki bölge için de ölçümlerin zamanla değişmediği (sırasıyla p=0.673 ve p=0.837) ve her bir zaman noktası için bölgeler arasında anlamlı düzeyde bir fark olmad</w:t>
      </w:r>
      <w:r w:rsidR="00577064" w:rsidRPr="000A40E6">
        <w:rPr>
          <w:rFonts w:eastAsia="Calibri" w:cs="Times New Roman"/>
          <w:kern w:val="2"/>
          <w:szCs w:val="24"/>
          <w14:ligatures w14:val="standardContextual"/>
        </w:rPr>
        <w:t>ığı görülmüştür (p&gt;0.05, Tablo 8</w:t>
      </w:r>
      <w:r w:rsidRPr="000A40E6">
        <w:rPr>
          <w:rFonts w:eastAsia="Calibri" w:cs="Times New Roman"/>
          <w:kern w:val="2"/>
          <w:szCs w:val="24"/>
          <w14:ligatures w14:val="standardContextual"/>
        </w:rPr>
        <w:t>, Şekil 2).</w:t>
      </w:r>
    </w:p>
    <w:p w14:paraId="27632082" w14:textId="77777777" w:rsidR="004926C4" w:rsidRPr="000A40E6" w:rsidRDefault="004926C4" w:rsidP="00F756C3">
      <w:pPr>
        <w:pStyle w:val="ResimYazs"/>
        <w:suppressAutoHyphens/>
        <w:spacing w:after="120" w:line="360" w:lineRule="auto"/>
        <w:jc w:val="both"/>
        <w:rPr>
          <w:rFonts w:eastAsia="Calibri" w:cs="Times New Roman"/>
          <w:b w:val="0"/>
          <w:bCs w:val="0"/>
          <w:color w:val="auto"/>
          <w:kern w:val="2"/>
          <w:sz w:val="24"/>
          <w:szCs w:val="24"/>
          <w14:ligatures w14:val="standardContextual"/>
        </w:rPr>
      </w:pPr>
      <w:bookmarkStart w:id="134" w:name="_Toc136383398"/>
    </w:p>
    <w:p w14:paraId="12BCE35B" w14:textId="17B9D093" w:rsidR="009B2AA4" w:rsidRPr="000A40E6" w:rsidRDefault="002C0B37" w:rsidP="00F756C3">
      <w:pPr>
        <w:pStyle w:val="ResimYazs"/>
        <w:suppressAutoHyphens/>
        <w:spacing w:before="120" w:after="120" w:line="360" w:lineRule="auto"/>
        <w:ind w:left="567" w:hanging="567"/>
        <w:jc w:val="both"/>
        <w:rPr>
          <w:rFonts w:eastAsia="Calibri" w:cs="Times New Roman"/>
          <w:color w:val="auto"/>
          <w:kern w:val="2"/>
          <w:sz w:val="24"/>
          <w:szCs w:val="24"/>
          <w14:ligatures w14:val="standardContextual"/>
        </w:rPr>
      </w:pPr>
      <w:r w:rsidRPr="000A40E6">
        <w:rPr>
          <w:rFonts w:cs="Times New Roman"/>
          <w:color w:val="auto"/>
          <w:sz w:val="24"/>
          <w:szCs w:val="24"/>
        </w:rPr>
        <w:t xml:space="preserve">Tablo </w:t>
      </w:r>
      <w:r w:rsidR="00577064" w:rsidRPr="000A40E6">
        <w:rPr>
          <w:rFonts w:cs="Times New Roman"/>
          <w:color w:val="auto"/>
          <w:sz w:val="24"/>
          <w:szCs w:val="24"/>
        </w:rPr>
        <w:t>8</w:t>
      </w:r>
      <w:r w:rsidR="00A52644" w:rsidRPr="000A40E6">
        <w:rPr>
          <w:rFonts w:cs="Times New Roman"/>
          <w:color w:val="auto"/>
          <w:sz w:val="24"/>
          <w:szCs w:val="24"/>
        </w:rPr>
        <w:t xml:space="preserve">. </w:t>
      </w:r>
      <w:r w:rsidR="000560F1" w:rsidRPr="000A40E6">
        <w:rPr>
          <w:rFonts w:eastAsia="Calibri" w:cs="Times New Roman"/>
          <w:b w:val="0"/>
          <w:color w:val="auto"/>
          <w:kern w:val="2"/>
          <w:sz w:val="24"/>
          <w:szCs w:val="24"/>
          <w14:ligatures w14:val="standardContextual"/>
        </w:rPr>
        <w:t>BALP düzeyinin</w:t>
      </w:r>
      <w:r w:rsidR="009B2AA4" w:rsidRPr="000A40E6">
        <w:rPr>
          <w:rFonts w:eastAsia="Calibri" w:cs="Times New Roman"/>
          <w:b w:val="0"/>
          <w:color w:val="auto"/>
          <w:kern w:val="2"/>
          <w:sz w:val="24"/>
          <w:szCs w:val="24"/>
          <w14:ligatures w14:val="standardContextual"/>
        </w:rPr>
        <w:t xml:space="preserve"> zamana ve bölgelere göre dağılımı</w:t>
      </w:r>
      <w:bookmarkEnd w:id="134"/>
      <w:r w:rsidR="00425728" w:rsidRPr="000A40E6">
        <w:rPr>
          <w:rFonts w:eastAsia="Calibri" w:cs="Times New Roman"/>
          <w:b w:val="0"/>
          <w:color w:val="auto"/>
          <w:kern w:val="2"/>
          <w:sz w:val="24"/>
          <w:szCs w:val="24"/>
          <w14:ligatures w14:val="standardContextual"/>
        </w:rPr>
        <w:t>.</w:t>
      </w:r>
    </w:p>
    <w:tbl>
      <w:tblPr>
        <w:tblStyle w:val="TabloKlavuzu2"/>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8"/>
        <w:gridCol w:w="2296"/>
        <w:gridCol w:w="2296"/>
        <w:gridCol w:w="1110"/>
        <w:gridCol w:w="1125"/>
      </w:tblGrid>
      <w:tr w:rsidR="009B2AA4" w:rsidRPr="000A40E6" w14:paraId="40C16D9E" w14:textId="77777777" w:rsidTr="00A3711B">
        <w:trPr>
          <w:jc w:val="center"/>
        </w:trPr>
        <w:tc>
          <w:tcPr>
            <w:tcW w:w="1620" w:type="dxa"/>
            <w:tcBorders>
              <w:top w:val="single" w:sz="4" w:space="0" w:color="auto"/>
            </w:tcBorders>
            <w:shd w:val="clear" w:color="auto" w:fill="auto"/>
            <w:vAlign w:val="center"/>
          </w:tcPr>
          <w:p w14:paraId="736ACA03" w14:textId="77777777" w:rsidR="009B2AA4" w:rsidRPr="000A40E6" w:rsidRDefault="009B2AA4"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t</w:t>
            </w:r>
            <w:proofErr w:type="gramEnd"/>
            <w:r w:rsidRPr="000A40E6">
              <w:rPr>
                <w:rFonts w:eastAsia="Calibri" w:cs="Times New Roman"/>
                <w:b/>
                <w:bCs/>
                <w:sz w:val="20"/>
                <w:szCs w:val="20"/>
              </w:rPr>
              <w:t>-BALP (IU/L)</w:t>
            </w:r>
          </w:p>
        </w:tc>
        <w:tc>
          <w:tcPr>
            <w:tcW w:w="4432" w:type="dxa"/>
            <w:gridSpan w:val="2"/>
            <w:tcBorders>
              <w:top w:val="single" w:sz="4" w:space="0" w:color="auto"/>
              <w:bottom w:val="single" w:sz="4" w:space="0" w:color="auto"/>
            </w:tcBorders>
            <w:shd w:val="clear" w:color="auto" w:fill="auto"/>
            <w:vAlign w:val="center"/>
          </w:tcPr>
          <w:p w14:paraId="62D4B885"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Bölge</w:t>
            </w:r>
          </w:p>
        </w:tc>
        <w:tc>
          <w:tcPr>
            <w:tcW w:w="2157" w:type="dxa"/>
            <w:gridSpan w:val="2"/>
            <w:tcBorders>
              <w:top w:val="single" w:sz="4" w:space="0" w:color="auto"/>
              <w:bottom w:val="single" w:sz="4" w:space="0" w:color="auto"/>
            </w:tcBorders>
            <w:shd w:val="clear" w:color="auto" w:fill="auto"/>
            <w:vAlign w:val="center"/>
          </w:tcPr>
          <w:p w14:paraId="15B7A1A8"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Karşılaştırma sonucu</w:t>
            </w:r>
          </w:p>
        </w:tc>
      </w:tr>
      <w:tr w:rsidR="009B2AA4" w:rsidRPr="000A40E6" w14:paraId="25A62B3A" w14:textId="77777777" w:rsidTr="00A3711B">
        <w:trPr>
          <w:jc w:val="center"/>
        </w:trPr>
        <w:tc>
          <w:tcPr>
            <w:tcW w:w="1620" w:type="dxa"/>
            <w:tcBorders>
              <w:bottom w:val="single" w:sz="4" w:space="0" w:color="auto"/>
            </w:tcBorders>
            <w:shd w:val="clear" w:color="auto" w:fill="auto"/>
            <w:vAlign w:val="center"/>
          </w:tcPr>
          <w:p w14:paraId="57971A18"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Ölçüm zamanı</w:t>
            </w:r>
          </w:p>
        </w:tc>
        <w:tc>
          <w:tcPr>
            <w:tcW w:w="2216" w:type="dxa"/>
            <w:tcBorders>
              <w:top w:val="single" w:sz="4" w:space="0" w:color="auto"/>
              <w:bottom w:val="single" w:sz="4" w:space="0" w:color="auto"/>
            </w:tcBorders>
            <w:shd w:val="clear" w:color="auto" w:fill="auto"/>
            <w:vAlign w:val="center"/>
          </w:tcPr>
          <w:p w14:paraId="1FCC6219"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Bukkal</w:t>
            </w:r>
          </w:p>
          <w:p w14:paraId="0150AAF3" w14:textId="77777777" w:rsidR="000D7FFD" w:rsidRPr="000A40E6" w:rsidRDefault="000D7FFD"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5AD0E06F" w14:textId="304362E9" w:rsidR="000D7FFD" w:rsidRPr="000A40E6" w:rsidRDefault="000D7FFD"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2216" w:type="dxa"/>
            <w:tcBorders>
              <w:top w:val="single" w:sz="4" w:space="0" w:color="auto"/>
              <w:bottom w:val="single" w:sz="4" w:space="0" w:color="auto"/>
            </w:tcBorders>
            <w:shd w:val="clear" w:color="auto" w:fill="auto"/>
            <w:vAlign w:val="center"/>
          </w:tcPr>
          <w:p w14:paraId="6E3E5752" w14:textId="243648AE" w:rsidR="000D7FFD" w:rsidRPr="000A40E6" w:rsidRDefault="000D7FFD" w:rsidP="00F756C3">
            <w:pPr>
              <w:suppressAutoHyphens/>
              <w:spacing w:line="240" w:lineRule="atLeast"/>
              <w:ind w:firstLine="0"/>
              <w:jc w:val="center"/>
              <w:rPr>
                <w:rFonts w:eastAsia="Calibri" w:cs="Times New Roman"/>
                <w:b/>
                <w:sz w:val="20"/>
                <w:szCs w:val="20"/>
              </w:rPr>
            </w:pPr>
            <w:r w:rsidRPr="000A40E6">
              <w:rPr>
                <w:rFonts w:eastAsia="Calibri" w:cs="Times New Roman"/>
                <w:b/>
                <w:sz w:val="20"/>
                <w:szCs w:val="20"/>
              </w:rPr>
              <w:t>Palatinal</w:t>
            </w:r>
          </w:p>
          <w:p w14:paraId="68A8CE10" w14:textId="518F125A" w:rsidR="000D7FFD" w:rsidRPr="000A40E6" w:rsidRDefault="000D7FFD" w:rsidP="00F756C3">
            <w:pPr>
              <w:suppressAutoHyphens/>
              <w:spacing w:line="240" w:lineRule="atLeast"/>
              <w:ind w:firstLine="0"/>
              <w:jc w:val="center"/>
              <w:rPr>
                <w:rFonts w:eastAsia="Calibri" w:cs="Times New Roman"/>
                <w:b/>
                <w:sz w:val="20"/>
                <w:szCs w:val="20"/>
              </w:rPr>
            </w:pPr>
            <w:r w:rsidRPr="000A40E6">
              <w:rPr>
                <w:rFonts w:eastAsia="Calibri" w:cs="Times New Roman"/>
                <w:b/>
                <w:sz w:val="20"/>
                <w:szCs w:val="20"/>
              </w:rPr>
              <w:t>Ort±SS</w:t>
            </w:r>
          </w:p>
          <w:p w14:paraId="1A3EFABD" w14:textId="7582C904" w:rsidR="000D7FFD" w:rsidRPr="000A40E6" w:rsidRDefault="000D7FFD" w:rsidP="00F756C3">
            <w:pPr>
              <w:suppressAutoHyphens/>
              <w:spacing w:line="240" w:lineRule="atLeast"/>
              <w:ind w:firstLine="0"/>
              <w:jc w:val="center"/>
              <w:rPr>
                <w:rFonts w:eastAsia="Calibri" w:cs="Times New Roman"/>
                <w:b/>
                <w:sz w:val="20"/>
                <w:szCs w:val="20"/>
              </w:rPr>
            </w:pPr>
            <w:r w:rsidRPr="000A40E6">
              <w:rPr>
                <w:rFonts w:eastAsia="Calibri" w:cs="Times New Roman"/>
                <w:b/>
                <w:sz w:val="20"/>
                <w:szCs w:val="20"/>
              </w:rPr>
              <w:t>Ortanca (ÇAG)</w:t>
            </w:r>
          </w:p>
        </w:tc>
        <w:tc>
          <w:tcPr>
            <w:tcW w:w="1071" w:type="dxa"/>
            <w:tcBorders>
              <w:top w:val="single" w:sz="4" w:space="0" w:color="auto"/>
              <w:bottom w:val="single" w:sz="4" w:space="0" w:color="auto"/>
            </w:tcBorders>
            <w:shd w:val="clear" w:color="auto" w:fill="auto"/>
            <w:vAlign w:val="center"/>
          </w:tcPr>
          <w:p w14:paraId="7D25D429"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Z</w:t>
            </w:r>
          </w:p>
        </w:tc>
        <w:tc>
          <w:tcPr>
            <w:tcW w:w="1086" w:type="dxa"/>
            <w:tcBorders>
              <w:top w:val="single" w:sz="4" w:space="0" w:color="auto"/>
              <w:bottom w:val="single" w:sz="4" w:space="0" w:color="auto"/>
            </w:tcBorders>
            <w:shd w:val="clear" w:color="auto" w:fill="auto"/>
            <w:vAlign w:val="center"/>
          </w:tcPr>
          <w:p w14:paraId="2F492F3E" w14:textId="77777777" w:rsidR="009B2AA4" w:rsidRPr="000A40E6" w:rsidRDefault="009B2AA4"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p</w:t>
            </w:r>
            <w:proofErr w:type="gramEnd"/>
            <w:r w:rsidRPr="000A40E6">
              <w:rPr>
                <w:rFonts w:eastAsia="Calibri" w:cs="Times New Roman"/>
                <w:b/>
                <w:bCs/>
                <w:sz w:val="20"/>
                <w:szCs w:val="20"/>
              </w:rPr>
              <w:t>-değeri</w:t>
            </w:r>
          </w:p>
        </w:tc>
      </w:tr>
      <w:tr w:rsidR="009B2AA4" w:rsidRPr="000A40E6" w14:paraId="53CC2166" w14:textId="77777777" w:rsidTr="00A3711B">
        <w:trPr>
          <w:jc w:val="center"/>
        </w:trPr>
        <w:tc>
          <w:tcPr>
            <w:tcW w:w="1620" w:type="dxa"/>
            <w:tcBorders>
              <w:top w:val="single" w:sz="4" w:space="0" w:color="auto"/>
            </w:tcBorders>
            <w:shd w:val="clear" w:color="auto" w:fill="auto"/>
            <w:vAlign w:val="center"/>
          </w:tcPr>
          <w:p w14:paraId="72D5116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T0</w:t>
            </w:r>
          </w:p>
        </w:tc>
        <w:tc>
          <w:tcPr>
            <w:tcW w:w="2216" w:type="dxa"/>
            <w:tcBorders>
              <w:top w:val="single" w:sz="4" w:space="0" w:color="auto"/>
            </w:tcBorders>
            <w:shd w:val="clear" w:color="auto" w:fill="auto"/>
            <w:vAlign w:val="center"/>
          </w:tcPr>
          <w:p w14:paraId="7309AB9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159.00±41.16</w:t>
            </w:r>
          </w:p>
        </w:tc>
        <w:tc>
          <w:tcPr>
            <w:tcW w:w="2216" w:type="dxa"/>
            <w:tcBorders>
              <w:top w:val="single" w:sz="4" w:space="0" w:color="auto"/>
            </w:tcBorders>
            <w:shd w:val="clear" w:color="auto" w:fill="auto"/>
            <w:vAlign w:val="center"/>
          </w:tcPr>
          <w:p w14:paraId="550937A4"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141.43±47.75</w:t>
            </w:r>
          </w:p>
        </w:tc>
        <w:tc>
          <w:tcPr>
            <w:tcW w:w="1071" w:type="dxa"/>
            <w:tcBorders>
              <w:top w:val="single" w:sz="4" w:space="0" w:color="auto"/>
            </w:tcBorders>
            <w:shd w:val="clear" w:color="auto" w:fill="auto"/>
            <w:vAlign w:val="center"/>
          </w:tcPr>
          <w:p w14:paraId="5DA882C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1.582</w:t>
            </w:r>
          </w:p>
        </w:tc>
        <w:tc>
          <w:tcPr>
            <w:tcW w:w="1086" w:type="dxa"/>
            <w:tcBorders>
              <w:top w:val="single" w:sz="4" w:space="0" w:color="auto"/>
            </w:tcBorders>
            <w:shd w:val="clear" w:color="auto" w:fill="auto"/>
            <w:vAlign w:val="center"/>
          </w:tcPr>
          <w:p w14:paraId="24AE7506"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0.114</w:t>
            </w:r>
          </w:p>
        </w:tc>
      </w:tr>
      <w:tr w:rsidR="009B2AA4" w:rsidRPr="000A40E6" w14:paraId="2F00906D" w14:textId="77777777" w:rsidTr="00A3711B">
        <w:trPr>
          <w:jc w:val="center"/>
        </w:trPr>
        <w:tc>
          <w:tcPr>
            <w:tcW w:w="1620" w:type="dxa"/>
            <w:shd w:val="clear" w:color="auto" w:fill="auto"/>
            <w:vAlign w:val="center"/>
          </w:tcPr>
          <w:p w14:paraId="592A2510"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40DCBCF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170.84 (</w:t>
            </w:r>
            <w:proofErr w:type="gramStart"/>
            <w:r w:rsidRPr="000A40E6">
              <w:rPr>
                <w:rFonts w:eastAsia="Calibri" w:cs="Times New Roman"/>
                <w:color w:val="000000"/>
                <w:sz w:val="20"/>
                <w:szCs w:val="20"/>
              </w:rPr>
              <w:t>128.92</w:t>
            </w:r>
            <w:proofErr w:type="gramEnd"/>
            <w:r w:rsidRPr="000A40E6">
              <w:rPr>
                <w:rFonts w:eastAsia="Calibri" w:cs="Times New Roman"/>
                <w:color w:val="000000"/>
                <w:sz w:val="20"/>
                <w:szCs w:val="20"/>
              </w:rPr>
              <w:t>-193.55)</w:t>
            </w:r>
          </w:p>
        </w:tc>
        <w:tc>
          <w:tcPr>
            <w:tcW w:w="2216" w:type="dxa"/>
            <w:shd w:val="clear" w:color="auto" w:fill="auto"/>
            <w:vAlign w:val="center"/>
          </w:tcPr>
          <w:p w14:paraId="6F49332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152.28 (98.24-</w:t>
            </w:r>
            <w:proofErr w:type="gramStart"/>
            <w:r w:rsidRPr="000A40E6">
              <w:rPr>
                <w:rFonts w:eastAsia="Calibri" w:cs="Times New Roman"/>
                <w:color w:val="000000"/>
                <w:sz w:val="20"/>
                <w:szCs w:val="20"/>
              </w:rPr>
              <w:t>176.88</w:t>
            </w:r>
            <w:proofErr w:type="gramEnd"/>
            <w:r w:rsidRPr="000A40E6">
              <w:rPr>
                <w:rFonts w:eastAsia="Calibri" w:cs="Times New Roman"/>
                <w:color w:val="000000"/>
                <w:sz w:val="20"/>
                <w:szCs w:val="20"/>
              </w:rPr>
              <w:t>)</w:t>
            </w:r>
          </w:p>
        </w:tc>
        <w:tc>
          <w:tcPr>
            <w:tcW w:w="1071" w:type="dxa"/>
            <w:shd w:val="clear" w:color="auto" w:fill="auto"/>
            <w:vAlign w:val="center"/>
          </w:tcPr>
          <w:p w14:paraId="663B6110"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0F078832"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1EF2F657" w14:textId="77777777" w:rsidTr="00A3711B">
        <w:trPr>
          <w:jc w:val="center"/>
        </w:trPr>
        <w:tc>
          <w:tcPr>
            <w:tcW w:w="1620" w:type="dxa"/>
            <w:shd w:val="clear" w:color="auto" w:fill="auto"/>
            <w:vAlign w:val="center"/>
          </w:tcPr>
          <w:p w14:paraId="43B16A2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T1</w:t>
            </w:r>
          </w:p>
        </w:tc>
        <w:tc>
          <w:tcPr>
            <w:tcW w:w="2216" w:type="dxa"/>
            <w:shd w:val="clear" w:color="auto" w:fill="auto"/>
            <w:vAlign w:val="center"/>
          </w:tcPr>
          <w:p w14:paraId="0842621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153.31±44.15</w:t>
            </w:r>
          </w:p>
        </w:tc>
        <w:tc>
          <w:tcPr>
            <w:tcW w:w="2216" w:type="dxa"/>
            <w:shd w:val="clear" w:color="auto" w:fill="auto"/>
            <w:vAlign w:val="center"/>
          </w:tcPr>
          <w:p w14:paraId="75B9D2DC"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142.75±32.21</w:t>
            </w:r>
          </w:p>
        </w:tc>
        <w:tc>
          <w:tcPr>
            <w:tcW w:w="1071" w:type="dxa"/>
            <w:shd w:val="clear" w:color="auto" w:fill="auto"/>
            <w:vAlign w:val="center"/>
          </w:tcPr>
          <w:p w14:paraId="74DB3F33"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0.882</w:t>
            </w:r>
          </w:p>
        </w:tc>
        <w:tc>
          <w:tcPr>
            <w:tcW w:w="1086" w:type="dxa"/>
            <w:shd w:val="clear" w:color="auto" w:fill="auto"/>
            <w:vAlign w:val="center"/>
          </w:tcPr>
          <w:p w14:paraId="1A147C5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0.378</w:t>
            </w:r>
          </w:p>
        </w:tc>
      </w:tr>
      <w:tr w:rsidR="009B2AA4" w:rsidRPr="000A40E6" w14:paraId="0DC81898" w14:textId="77777777" w:rsidTr="00A3711B">
        <w:trPr>
          <w:jc w:val="center"/>
        </w:trPr>
        <w:tc>
          <w:tcPr>
            <w:tcW w:w="1620" w:type="dxa"/>
            <w:shd w:val="clear" w:color="auto" w:fill="auto"/>
            <w:vAlign w:val="center"/>
          </w:tcPr>
          <w:p w14:paraId="69E12E30"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7EB5C552"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142.69 (</w:t>
            </w:r>
            <w:proofErr w:type="gramStart"/>
            <w:r w:rsidRPr="000A40E6">
              <w:rPr>
                <w:rFonts w:eastAsia="Calibri" w:cs="Times New Roman"/>
                <w:color w:val="000000"/>
                <w:sz w:val="20"/>
                <w:szCs w:val="20"/>
              </w:rPr>
              <w:t>117.45</w:t>
            </w:r>
            <w:proofErr w:type="gramEnd"/>
            <w:r w:rsidRPr="000A40E6">
              <w:rPr>
                <w:rFonts w:eastAsia="Calibri" w:cs="Times New Roman"/>
                <w:color w:val="000000"/>
                <w:sz w:val="20"/>
                <w:szCs w:val="20"/>
              </w:rPr>
              <w:t>-183.55)</w:t>
            </w:r>
          </w:p>
        </w:tc>
        <w:tc>
          <w:tcPr>
            <w:tcW w:w="2216" w:type="dxa"/>
            <w:shd w:val="clear" w:color="auto" w:fill="auto"/>
            <w:vAlign w:val="center"/>
          </w:tcPr>
          <w:p w14:paraId="1E5FCB7C"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151.87 (</w:t>
            </w:r>
            <w:proofErr w:type="gramStart"/>
            <w:r w:rsidRPr="000A40E6">
              <w:rPr>
                <w:rFonts w:eastAsia="Calibri" w:cs="Times New Roman"/>
                <w:color w:val="000000"/>
                <w:sz w:val="20"/>
                <w:szCs w:val="20"/>
              </w:rPr>
              <w:t>112.85</w:t>
            </w:r>
            <w:proofErr w:type="gramEnd"/>
            <w:r w:rsidRPr="000A40E6">
              <w:rPr>
                <w:rFonts w:eastAsia="Calibri" w:cs="Times New Roman"/>
                <w:color w:val="000000"/>
                <w:sz w:val="20"/>
                <w:szCs w:val="20"/>
              </w:rPr>
              <w:t>-169.80)</w:t>
            </w:r>
          </w:p>
        </w:tc>
        <w:tc>
          <w:tcPr>
            <w:tcW w:w="1071" w:type="dxa"/>
            <w:shd w:val="clear" w:color="auto" w:fill="auto"/>
            <w:vAlign w:val="center"/>
          </w:tcPr>
          <w:p w14:paraId="5C0E0EB7"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225764F0"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23A2BC4B" w14:textId="77777777" w:rsidTr="00A3711B">
        <w:trPr>
          <w:jc w:val="center"/>
        </w:trPr>
        <w:tc>
          <w:tcPr>
            <w:tcW w:w="1620" w:type="dxa"/>
            <w:shd w:val="clear" w:color="auto" w:fill="auto"/>
            <w:vAlign w:val="center"/>
          </w:tcPr>
          <w:p w14:paraId="506424A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T2</w:t>
            </w:r>
          </w:p>
        </w:tc>
        <w:tc>
          <w:tcPr>
            <w:tcW w:w="2216" w:type="dxa"/>
            <w:shd w:val="clear" w:color="auto" w:fill="auto"/>
            <w:vAlign w:val="center"/>
          </w:tcPr>
          <w:p w14:paraId="2CE0208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153.11±34.67</w:t>
            </w:r>
          </w:p>
        </w:tc>
        <w:tc>
          <w:tcPr>
            <w:tcW w:w="2216" w:type="dxa"/>
            <w:shd w:val="clear" w:color="auto" w:fill="auto"/>
            <w:vAlign w:val="center"/>
          </w:tcPr>
          <w:p w14:paraId="2D4C6B14"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153.80±24.14</w:t>
            </w:r>
          </w:p>
        </w:tc>
        <w:tc>
          <w:tcPr>
            <w:tcW w:w="1071" w:type="dxa"/>
            <w:shd w:val="clear" w:color="auto" w:fill="auto"/>
            <w:vAlign w:val="center"/>
          </w:tcPr>
          <w:p w14:paraId="67B4B32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0.061</w:t>
            </w:r>
          </w:p>
        </w:tc>
        <w:tc>
          <w:tcPr>
            <w:tcW w:w="1086" w:type="dxa"/>
            <w:shd w:val="clear" w:color="auto" w:fill="auto"/>
            <w:vAlign w:val="center"/>
          </w:tcPr>
          <w:p w14:paraId="1A49FE0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0.951</w:t>
            </w:r>
          </w:p>
        </w:tc>
      </w:tr>
      <w:tr w:rsidR="009B2AA4" w:rsidRPr="000A40E6" w14:paraId="207916C0" w14:textId="77777777" w:rsidTr="00A3711B">
        <w:trPr>
          <w:jc w:val="center"/>
        </w:trPr>
        <w:tc>
          <w:tcPr>
            <w:tcW w:w="1620" w:type="dxa"/>
            <w:shd w:val="clear" w:color="auto" w:fill="auto"/>
            <w:vAlign w:val="center"/>
          </w:tcPr>
          <w:p w14:paraId="351E3EBF"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6459F363"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147.49 (</w:t>
            </w:r>
            <w:proofErr w:type="gramStart"/>
            <w:r w:rsidRPr="000A40E6">
              <w:rPr>
                <w:rFonts w:eastAsia="Calibri" w:cs="Times New Roman"/>
                <w:color w:val="000000"/>
                <w:sz w:val="20"/>
                <w:szCs w:val="20"/>
              </w:rPr>
              <w:t>129.13</w:t>
            </w:r>
            <w:proofErr w:type="gramEnd"/>
            <w:r w:rsidRPr="000A40E6">
              <w:rPr>
                <w:rFonts w:eastAsia="Calibri" w:cs="Times New Roman"/>
                <w:color w:val="000000"/>
                <w:sz w:val="20"/>
                <w:szCs w:val="20"/>
              </w:rPr>
              <w:t>-185.01)</w:t>
            </w:r>
          </w:p>
        </w:tc>
        <w:tc>
          <w:tcPr>
            <w:tcW w:w="2216" w:type="dxa"/>
            <w:shd w:val="clear" w:color="auto" w:fill="auto"/>
            <w:vAlign w:val="center"/>
          </w:tcPr>
          <w:p w14:paraId="69DAFA2C"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153.65 (</w:t>
            </w:r>
            <w:proofErr w:type="gramStart"/>
            <w:r w:rsidRPr="000A40E6">
              <w:rPr>
                <w:rFonts w:eastAsia="Calibri" w:cs="Times New Roman"/>
                <w:color w:val="000000"/>
                <w:sz w:val="20"/>
                <w:szCs w:val="20"/>
              </w:rPr>
              <w:t>133.92</w:t>
            </w:r>
            <w:proofErr w:type="gramEnd"/>
            <w:r w:rsidRPr="000A40E6">
              <w:rPr>
                <w:rFonts w:eastAsia="Calibri" w:cs="Times New Roman"/>
                <w:color w:val="000000"/>
                <w:sz w:val="20"/>
                <w:szCs w:val="20"/>
              </w:rPr>
              <w:t>-172.09)</w:t>
            </w:r>
          </w:p>
        </w:tc>
        <w:tc>
          <w:tcPr>
            <w:tcW w:w="1071" w:type="dxa"/>
            <w:shd w:val="clear" w:color="auto" w:fill="auto"/>
            <w:vAlign w:val="center"/>
          </w:tcPr>
          <w:p w14:paraId="10BC68B1"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270907B3"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4192F887" w14:textId="77777777" w:rsidTr="00A3711B">
        <w:trPr>
          <w:jc w:val="center"/>
        </w:trPr>
        <w:tc>
          <w:tcPr>
            <w:tcW w:w="1620" w:type="dxa"/>
            <w:shd w:val="clear" w:color="auto" w:fill="auto"/>
            <w:vAlign w:val="center"/>
          </w:tcPr>
          <w:p w14:paraId="606A8A7B"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T3</w:t>
            </w:r>
          </w:p>
        </w:tc>
        <w:tc>
          <w:tcPr>
            <w:tcW w:w="2216" w:type="dxa"/>
            <w:shd w:val="clear" w:color="auto" w:fill="auto"/>
            <w:vAlign w:val="center"/>
          </w:tcPr>
          <w:p w14:paraId="724F7C8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150.45±29.60</w:t>
            </w:r>
          </w:p>
        </w:tc>
        <w:tc>
          <w:tcPr>
            <w:tcW w:w="2216" w:type="dxa"/>
            <w:shd w:val="clear" w:color="auto" w:fill="auto"/>
            <w:vAlign w:val="center"/>
          </w:tcPr>
          <w:p w14:paraId="6E68495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154.88±44.21</w:t>
            </w:r>
          </w:p>
        </w:tc>
        <w:tc>
          <w:tcPr>
            <w:tcW w:w="1071" w:type="dxa"/>
            <w:shd w:val="clear" w:color="auto" w:fill="auto"/>
            <w:vAlign w:val="center"/>
          </w:tcPr>
          <w:p w14:paraId="31D163D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0.213</w:t>
            </w:r>
          </w:p>
        </w:tc>
        <w:tc>
          <w:tcPr>
            <w:tcW w:w="1086" w:type="dxa"/>
            <w:shd w:val="clear" w:color="auto" w:fill="auto"/>
            <w:vAlign w:val="center"/>
          </w:tcPr>
          <w:p w14:paraId="48F030F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0.831</w:t>
            </w:r>
          </w:p>
        </w:tc>
      </w:tr>
      <w:tr w:rsidR="009B2AA4" w:rsidRPr="000A40E6" w14:paraId="36164C32" w14:textId="77777777" w:rsidTr="00A3711B">
        <w:trPr>
          <w:jc w:val="center"/>
        </w:trPr>
        <w:tc>
          <w:tcPr>
            <w:tcW w:w="1620" w:type="dxa"/>
            <w:shd w:val="clear" w:color="auto" w:fill="auto"/>
            <w:vAlign w:val="center"/>
          </w:tcPr>
          <w:p w14:paraId="3E551E7F"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627FC49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146.34 (</w:t>
            </w:r>
            <w:proofErr w:type="gramStart"/>
            <w:r w:rsidRPr="000A40E6">
              <w:rPr>
                <w:rFonts w:eastAsia="Calibri" w:cs="Times New Roman"/>
                <w:color w:val="000000"/>
                <w:sz w:val="20"/>
                <w:szCs w:val="20"/>
              </w:rPr>
              <w:t>124.54</w:t>
            </w:r>
            <w:proofErr w:type="gramEnd"/>
            <w:r w:rsidRPr="000A40E6">
              <w:rPr>
                <w:rFonts w:eastAsia="Calibri" w:cs="Times New Roman"/>
                <w:color w:val="000000"/>
                <w:sz w:val="20"/>
                <w:szCs w:val="20"/>
              </w:rPr>
              <w:t>-172.68)</w:t>
            </w:r>
          </w:p>
        </w:tc>
        <w:tc>
          <w:tcPr>
            <w:tcW w:w="2216" w:type="dxa"/>
            <w:shd w:val="clear" w:color="auto" w:fill="auto"/>
            <w:vAlign w:val="center"/>
          </w:tcPr>
          <w:p w14:paraId="5AA6394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151.66 (</w:t>
            </w:r>
            <w:proofErr w:type="gramStart"/>
            <w:r w:rsidRPr="000A40E6">
              <w:rPr>
                <w:rFonts w:eastAsia="Calibri" w:cs="Times New Roman"/>
                <w:color w:val="000000"/>
                <w:sz w:val="20"/>
                <w:szCs w:val="20"/>
              </w:rPr>
              <w:t>126.13</w:t>
            </w:r>
            <w:proofErr w:type="gramEnd"/>
            <w:r w:rsidRPr="000A40E6">
              <w:rPr>
                <w:rFonts w:eastAsia="Calibri" w:cs="Times New Roman"/>
                <w:color w:val="000000"/>
                <w:sz w:val="20"/>
                <w:szCs w:val="20"/>
              </w:rPr>
              <w:t>-163.13)</w:t>
            </w:r>
          </w:p>
        </w:tc>
        <w:tc>
          <w:tcPr>
            <w:tcW w:w="1071" w:type="dxa"/>
            <w:shd w:val="clear" w:color="auto" w:fill="auto"/>
            <w:vAlign w:val="center"/>
          </w:tcPr>
          <w:p w14:paraId="35F18516"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0D8B5A5D"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1C47F91A" w14:textId="77777777" w:rsidTr="00A3711B">
        <w:trPr>
          <w:jc w:val="center"/>
        </w:trPr>
        <w:tc>
          <w:tcPr>
            <w:tcW w:w="1620" w:type="dxa"/>
            <w:shd w:val="clear" w:color="auto" w:fill="auto"/>
            <w:vAlign w:val="center"/>
          </w:tcPr>
          <w:p w14:paraId="1075ECA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χ</w:t>
            </w:r>
            <w:r w:rsidRPr="000A40E6">
              <w:rPr>
                <w:rFonts w:eastAsia="Calibri" w:cs="Times New Roman"/>
                <w:b/>
                <w:bCs/>
                <w:sz w:val="20"/>
                <w:szCs w:val="20"/>
                <w:vertAlign w:val="superscript"/>
              </w:rPr>
              <w:t>2</w:t>
            </w:r>
            <w:r w:rsidRPr="000A40E6">
              <w:rPr>
                <w:rFonts w:eastAsia="Calibri" w:cs="Times New Roman"/>
                <w:b/>
                <w:bCs/>
                <w:sz w:val="20"/>
                <w:szCs w:val="20"/>
              </w:rPr>
              <w:t>, p-değeri</w:t>
            </w:r>
          </w:p>
        </w:tc>
        <w:tc>
          <w:tcPr>
            <w:tcW w:w="2216" w:type="dxa"/>
            <w:shd w:val="clear" w:color="auto" w:fill="auto"/>
            <w:vAlign w:val="center"/>
          </w:tcPr>
          <w:p w14:paraId="1704E8B6"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1.539, 0.673</w:t>
            </w:r>
          </w:p>
        </w:tc>
        <w:tc>
          <w:tcPr>
            <w:tcW w:w="2216" w:type="dxa"/>
            <w:shd w:val="clear" w:color="auto" w:fill="auto"/>
            <w:vAlign w:val="center"/>
          </w:tcPr>
          <w:p w14:paraId="3260556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0.852, 0.837</w:t>
            </w:r>
          </w:p>
        </w:tc>
        <w:tc>
          <w:tcPr>
            <w:tcW w:w="1071" w:type="dxa"/>
            <w:shd w:val="clear" w:color="auto" w:fill="auto"/>
            <w:vAlign w:val="center"/>
          </w:tcPr>
          <w:p w14:paraId="34B813C0"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14DA785B" w14:textId="77777777" w:rsidR="009B2AA4" w:rsidRPr="000A40E6" w:rsidRDefault="009B2AA4" w:rsidP="00F756C3">
            <w:pPr>
              <w:suppressAutoHyphens/>
              <w:spacing w:line="240" w:lineRule="atLeast"/>
              <w:ind w:firstLine="0"/>
              <w:jc w:val="center"/>
              <w:rPr>
                <w:rFonts w:eastAsia="Calibri" w:cs="Times New Roman"/>
                <w:sz w:val="20"/>
                <w:szCs w:val="20"/>
              </w:rPr>
            </w:pPr>
          </w:p>
        </w:tc>
      </w:tr>
    </w:tbl>
    <w:p w14:paraId="0D7E5881" w14:textId="77777777" w:rsidR="00F756C3" w:rsidRPr="000A40E6" w:rsidRDefault="00F756C3" w:rsidP="00F756C3">
      <w:pPr>
        <w:suppressAutoHyphens/>
        <w:spacing w:before="120" w:after="120" w:line="240" w:lineRule="auto"/>
        <w:ind w:firstLine="0"/>
        <w:rPr>
          <w:rFonts w:eastAsia="Calibri" w:cs="Times New Roman"/>
          <w:sz w:val="20"/>
          <w:szCs w:val="20"/>
        </w:rPr>
      </w:pPr>
      <w:r w:rsidRPr="000A40E6">
        <w:rPr>
          <w:rFonts w:eastAsia="Calibri" w:cs="Times New Roman"/>
          <w:sz w:val="20"/>
          <w:szCs w:val="20"/>
        </w:rPr>
        <w:t xml:space="preserve">Ort: Ortalama, SS: Standart sapma, </w:t>
      </w:r>
      <w:proofErr w:type="gramStart"/>
      <w:r w:rsidRPr="000A40E6">
        <w:rPr>
          <w:rFonts w:eastAsia="Calibri" w:cs="Times New Roman"/>
          <w:sz w:val="20"/>
          <w:szCs w:val="20"/>
        </w:rPr>
        <w:t>ÇAG : Çeyrekler</w:t>
      </w:r>
      <w:proofErr w:type="gramEnd"/>
      <w:r w:rsidRPr="000A40E6">
        <w:rPr>
          <w:rFonts w:eastAsia="Calibri" w:cs="Times New Roman"/>
          <w:sz w:val="20"/>
          <w:szCs w:val="20"/>
        </w:rPr>
        <w:t xml:space="preserve"> arası genişlik.</w:t>
      </w:r>
    </w:p>
    <w:p w14:paraId="79F94B0A" w14:textId="431617DE" w:rsidR="0008352B" w:rsidRPr="000A40E6" w:rsidRDefault="00F756C3" w:rsidP="00F756C3">
      <w:pPr>
        <w:suppressAutoHyphens/>
        <w:spacing w:before="120" w:after="120" w:line="240" w:lineRule="auto"/>
        <w:ind w:firstLine="0"/>
        <w:rPr>
          <w:rFonts w:eastAsia="Calibri" w:cs="Times New Roman"/>
          <w:kern w:val="2"/>
          <w:szCs w:val="24"/>
          <w14:ligatures w14:val="standardContextual"/>
        </w:rPr>
      </w:pPr>
      <w:r w:rsidRPr="000A40E6">
        <w:rPr>
          <w:rFonts w:eastAsia="Calibri" w:cs="Times New Roman"/>
          <w:sz w:val="20"/>
          <w:szCs w:val="20"/>
        </w:rPr>
        <w:t>Zaman x Bölge etkileşim etkisi için Anova-tipi test istatistiği=0.818, p=0.460</w:t>
      </w:r>
    </w:p>
    <w:p w14:paraId="3F595660" w14:textId="77777777" w:rsidR="00F756C3" w:rsidRPr="000A40E6" w:rsidRDefault="00F756C3" w:rsidP="00F756C3">
      <w:pPr>
        <w:suppressAutoHyphens/>
        <w:spacing w:after="120"/>
        <w:rPr>
          <w:rFonts w:eastAsia="Calibri" w:cs="Times New Roman"/>
          <w:kern w:val="2"/>
          <w:szCs w:val="24"/>
          <w14:ligatures w14:val="standardContextual"/>
        </w:rPr>
      </w:pPr>
    </w:p>
    <w:p w14:paraId="29913FA6" w14:textId="2510CC98" w:rsidR="009B2AA4" w:rsidRPr="000A40E6" w:rsidRDefault="009B2AA4" w:rsidP="00F756C3">
      <w:pPr>
        <w:suppressAutoHyphens/>
        <w:spacing w:after="120"/>
        <w:rPr>
          <w:rFonts w:eastAsia="Calibri" w:cs="Times New Roman"/>
          <w:kern w:val="2"/>
          <w:szCs w:val="24"/>
          <w14:ligatures w14:val="standardContextual"/>
        </w:rPr>
      </w:pPr>
      <w:r w:rsidRPr="000A40E6">
        <w:rPr>
          <w:rFonts w:eastAsia="Calibri" w:cs="Times New Roman"/>
          <w:noProof/>
          <w:kern w:val="2"/>
          <w:szCs w:val="24"/>
          <w:lang w:eastAsia="tr-TR"/>
          <w14:ligatures w14:val="standardContextual"/>
        </w:rPr>
        <w:drawing>
          <wp:inline distT="0" distB="0" distL="0" distR="0" wp14:anchorId="35D3DDCD" wp14:editId="453A11A5">
            <wp:extent cx="4320000" cy="3375484"/>
            <wp:effectExtent l="19050" t="19050" r="23495" b="158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0000" cy="3375484"/>
                    </a:xfrm>
                    <a:prstGeom prst="rect">
                      <a:avLst/>
                    </a:prstGeom>
                    <a:ln>
                      <a:solidFill>
                        <a:sysClr val="window" lastClr="FFFFFF">
                          <a:lumMod val="50000"/>
                        </a:sysClr>
                      </a:solidFill>
                    </a:ln>
                  </pic:spPr>
                </pic:pic>
              </a:graphicData>
            </a:graphic>
          </wp:inline>
        </w:drawing>
      </w:r>
    </w:p>
    <w:p w14:paraId="6B9543CD" w14:textId="4802350B" w:rsidR="009B2AA4" w:rsidRPr="000A40E6" w:rsidRDefault="0030314B" w:rsidP="00425728">
      <w:pPr>
        <w:pStyle w:val="ResimYazs"/>
        <w:suppressAutoHyphens/>
        <w:spacing w:before="120" w:after="120" w:line="360" w:lineRule="auto"/>
        <w:ind w:left="567" w:hanging="567"/>
        <w:rPr>
          <w:rFonts w:eastAsia="Calibri" w:cs="Times New Roman"/>
          <w:b w:val="0"/>
          <w:color w:val="auto"/>
          <w:kern w:val="2"/>
          <w:sz w:val="24"/>
          <w:szCs w:val="24"/>
          <w14:ligatures w14:val="standardContextual"/>
        </w:rPr>
      </w:pPr>
      <w:bookmarkStart w:id="135" w:name="_Toc136381299"/>
      <w:r w:rsidRPr="000A40E6">
        <w:rPr>
          <w:rFonts w:cs="Times New Roman"/>
          <w:color w:val="auto"/>
          <w:sz w:val="24"/>
          <w:szCs w:val="24"/>
        </w:rPr>
        <w:t xml:space="preserve">Şekil </w:t>
      </w:r>
      <w:r w:rsidR="003F42DA" w:rsidRPr="000A40E6">
        <w:rPr>
          <w:rFonts w:cs="Times New Roman"/>
          <w:noProof/>
          <w:color w:val="auto"/>
          <w:sz w:val="24"/>
          <w:szCs w:val="24"/>
        </w:rPr>
        <w:t>2</w:t>
      </w:r>
      <w:r w:rsidR="000079B7" w:rsidRPr="000A40E6">
        <w:rPr>
          <w:rFonts w:cs="Times New Roman"/>
          <w:color w:val="auto"/>
          <w:sz w:val="24"/>
          <w:szCs w:val="24"/>
        </w:rPr>
        <w:t xml:space="preserve">. </w:t>
      </w:r>
      <w:r w:rsidR="009B2AA4" w:rsidRPr="000A40E6">
        <w:rPr>
          <w:rFonts w:eastAsia="Calibri" w:cs="Times New Roman"/>
          <w:b w:val="0"/>
          <w:color w:val="auto"/>
          <w:kern w:val="2"/>
          <w:sz w:val="24"/>
          <w:szCs w:val="24"/>
          <w14:ligatures w14:val="standardContextual"/>
        </w:rPr>
        <w:t>BALP ölçümlerinin zamana ve bölgelere göre dağılımı</w:t>
      </w:r>
      <w:bookmarkEnd w:id="135"/>
      <w:r w:rsidR="00425728" w:rsidRPr="000A40E6">
        <w:rPr>
          <w:rFonts w:eastAsia="Calibri" w:cs="Times New Roman"/>
          <w:b w:val="0"/>
          <w:color w:val="auto"/>
          <w:kern w:val="2"/>
          <w:sz w:val="24"/>
          <w:szCs w:val="24"/>
          <w14:ligatures w14:val="standardContextual"/>
        </w:rPr>
        <w:t>.</w:t>
      </w:r>
    </w:p>
    <w:p w14:paraId="6CB81638" w14:textId="77777777" w:rsidR="00747EDE" w:rsidRPr="000A40E6" w:rsidRDefault="00747EDE" w:rsidP="00F756C3">
      <w:pPr>
        <w:suppressAutoHyphens/>
        <w:spacing w:after="120"/>
        <w:rPr>
          <w:rFonts w:cs="Times New Roman"/>
          <w:szCs w:val="24"/>
        </w:rPr>
      </w:pPr>
    </w:p>
    <w:p w14:paraId="4BDD4B6D" w14:textId="4124B1D0" w:rsidR="0096458C" w:rsidRPr="000A40E6" w:rsidRDefault="000079B7"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RANKL’ın</w:t>
      </w:r>
      <w:r w:rsidR="009B2AA4" w:rsidRPr="000A40E6">
        <w:rPr>
          <w:rFonts w:eastAsia="Calibri" w:cs="Times New Roman"/>
          <w:kern w:val="2"/>
          <w:szCs w:val="24"/>
          <w14:ligatures w14:val="standardContextual"/>
        </w:rPr>
        <w:t xml:space="preserve"> zamana ve</w:t>
      </w:r>
      <w:r w:rsidR="0008352B" w:rsidRPr="000A40E6">
        <w:rPr>
          <w:rFonts w:eastAsia="Calibri" w:cs="Times New Roman"/>
          <w:kern w:val="2"/>
          <w:szCs w:val="24"/>
          <w14:ligatures w14:val="standardContextual"/>
        </w:rPr>
        <w:t xml:space="preserve"> bölgelere göre dağılımı Tablo 9’da</w:t>
      </w:r>
      <w:r w:rsidR="009B2AA4" w:rsidRPr="000A40E6">
        <w:rPr>
          <w:rFonts w:eastAsia="Calibri" w:cs="Times New Roman"/>
          <w:kern w:val="2"/>
          <w:szCs w:val="24"/>
          <w14:ligatures w14:val="standardContextual"/>
        </w:rPr>
        <w:t xml:space="preserve"> verilmiştir. Bukk</w:t>
      </w:r>
      <w:r w:rsidRPr="000A40E6">
        <w:rPr>
          <w:rFonts w:eastAsia="Calibri" w:cs="Times New Roman"/>
          <w:kern w:val="2"/>
          <w:szCs w:val="24"/>
          <w14:ligatures w14:val="standardContextual"/>
        </w:rPr>
        <w:t xml:space="preserve">al ve palatinal bölgeler için </w:t>
      </w:r>
      <w:r w:rsidR="009B2AA4" w:rsidRPr="000A40E6">
        <w:rPr>
          <w:rFonts w:eastAsia="Calibri" w:cs="Times New Roman"/>
          <w:kern w:val="2"/>
          <w:szCs w:val="24"/>
          <w14:ligatures w14:val="standardContextual"/>
        </w:rPr>
        <w:t>RANKL ölçümlerinin zamanla değişmediği görülmüştür (sırasıyla p=0.509 ve p=0.860, Şekil 3). T0 zamanında bukkal v</w:t>
      </w:r>
      <w:r w:rsidRPr="000A40E6">
        <w:rPr>
          <w:rFonts w:eastAsia="Calibri" w:cs="Times New Roman"/>
          <w:kern w:val="2"/>
          <w:szCs w:val="24"/>
          <w14:ligatures w14:val="standardContextual"/>
        </w:rPr>
        <w:t xml:space="preserve">e palatinal bölgeler arasında </w:t>
      </w:r>
      <w:r w:rsidR="009B2AA4" w:rsidRPr="000A40E6">
        <w:rPr>
          <w:rFonts w:eastAsia="Calibri" w:cs="Times New Roman"/>
          <w:kern w:val="2"/>
          <w:szCs w:val="24"/>
          <w14:ligatures w14:val="standardContextual"/>
        </w:rPr>
        <w:t>RANKL ölçümlerinde istatistiksel olarak anlamlı bir fark bulunmazken (p=0.316);</w:t>
      </w:r>
      <w:r w:rsidRPr="000A40E6">
        <w:rPr>
          <w:rFonts w:eastAsia="Calibri" w:cs="Times New Roman"/>
          <w:kern w:val="2"/>
          <w:szCs w:val="24"/>
          <w14:ligatures w14:val="standardContextual"/>
        </w:rPr>
        <w:t xml:space="preserve"> T1 zamanında bukkal bölgenin </w:t>
      </w:r>
      <w:r w:rsidR="009B2AA4" w:rsidRPr="000A40E6">
        <w:rPr>
          <w:rFonts w:eastAsia="Calibri" w:cs="Times New Roman"/>
          <w:kern w:val="2"/>
          <w:szCs w:val="24"/>
          <w14:ligatures w14:val="standardContextual"/>
        </w:rPr>
        <w:t>RANKL düzeyi, palatinal bölgeye göre anlamlı düzeyde daha yüksektir (p=0.042). T2 ve T3 zamanlarında ise her iki bölge arasında anlamlı düzeyde bir far</w:t>
      </w:r>
      <w:r w:rsidR="0067658E" w:rsidRPr="000A40E6">
        <w:rPr>
          <w:rFonts w:eastAsia="Calibri" w:cs="Times New Roman"/>
          <w:kern w:val="2"/>
          <w:szCs w:val="24"/>
          <w14:ligatures w14:val="standardContextual"/>
        </w:rPr>
        <w:t>k olmadığı görülmüştür (p&gt;</w:t>
      </w:r>
      <w:r w:rsidR="009B2AA4" w:rsidRPr="000A40E6">
        <w:rPr>
          <w:rFonts w:eastAsia="Calibri" w:cs="Times New Roman"/>
          <w:kern w:val="2"/>
          <w:szCs w:val="24"/>
          <w14:ligatures w14:val="standardContextual"/>
        </w:rPr>
        <w:t>0.05).</w:t>
      </w:r>
      <w:bookmarkStart w:id="136" w:name="_Toc136383399"/>
    </w:p>
    <w:p w14:paraId="37C65FD1" w14:textId="77777777" w:rsidR="00981CFE" w:rsidRPr="000A40E6" w:rsidRDefault="00981CFE" w:rsidP="00F756C3">
      <w:pPr>
        <w:suppressAutoHyphens/>
        <w:spacing w:after="120"/>
        <w:rPr>
          <w:rFonts w:eastAsia="Calibri" w:cs="Times New Roman"/>
          <w:kern w:val="2"/>
          <w:szCs w:val="24"/>
          <w14:ligatures w14:val="standardContextual"/>
        </w:rPr>
      </w:pPr>
    </w:p>
    <w:p w14:paraId="653031E4" w14:textId="2C83668F" w:rsidR="009B2AA4" w:rsidRPr="000A40E6" w:rsidRDefault="002C0B37" w:rsidP="00F756C3">
      <w:pPr>
        <w:pStyle w:val="ResimYazs"/>
        <w:suppressAutoHyphens/>
        <w:spacing w:before="120" w:after="120" w:line="360" w:lineRule="auto"/>
        <w:ind w:left="567" w:hanging="567"/>
        <w:jc w:val="both"/>
        <w:rPr>
          <w:rFonts w:eastAsia="Calibri" w:cs="Times New Roman"/>
          <w:b w:val="0"/>
          <w:color w:val="auto"/>
          <w:kern w:val="2"/>
          <w:sz w:val="24"/>
          <w:szCs w:val="24"/>
          <w14:ligatures w14:val="standardContextual"/>
        </w:rPr>
      </w:pPr>
      <w:r w:rsidRPr="000A40E6">
        <w:rPr>
          <w:rFonts w:cs="Times New Roman"/>
          <w:color w:val="auto"/>
          <w:sz w:val="24"/>
          <w:szCs w:val="24"/>
        </w:rPr>
        <w:t xml:space="preserve">Tablo </w:t>
      </w:r>
      <w:r w:rsidR="0008352B" w:rsidRPr="000A40E6">
        <w:rPr>
          <w:rFonts w:cs="Times New Roman"/>
          <w:color w:val="auto"/>
          <w:sz w:val="24"/>
          <w:szCs w:val="24"/>
        </w:rPr>
        <w:t>9</w:t>
      </w:r>
      <w:r w:rsidR="000079B7" w:rsidRPr="000A40E6">
        <w:rPr>
          <w:rFonts w:cs="Times New Roman"/>
          <w:color w:val="auto"/>
          <w:sz w:val="24"/>
          <w:szCs w:val="24"/>
        </w:rPr>
        <w:t xml:space="preserve">. </w:t>
      </w:r>
      <w:r w:rsidR="009B2AA4" w:rsidRPr="000A40E6">
        <w:rPr>
          <w:rFonts w:eastAsia="Calibri" w:cs="Times New Roman"/>
          <w:b w:val="0"/>
          <w:color w:val="auto"/>
          <w:kern w:val="2"/>
          <w:sz w:val="24"/>
          <w:szCs w:val="24"/>
          <w14:ligatures w14:val="standardContextual"/>
        </w:rPr>
        <w:t>RANKL</w:t>
      </w:r>
      <w:r w:rsidR="00FC2C16" w:rsidRPr="000A40E6">
        <w:rPr>
          <w:rFonts w:eastAsia="Calibri" w:cs="Times New Roman"/>
          <w:b w:val="0"/>
          <w:color w:val="auto"/>
          <w:kern w:val="2"/>
          <w:sz w:val="24"/>
          <w:szCs w:val="24"/>
          <w14:ligatures w14:val="standardContextual"/>
        </w:rPr>
        <w:t xml:space="preserve"> düzeyinin </w:t>
      </w:r>
      <w:r w:rsidR="009B2AA4" w:rsidRPr="000A40E6">
        <w:rPr>
          <w:rFonts w:eastAsia="Calibri" w:cs="Times New Roman"/>
          <w:b w:val="0"/>
          <w:color w:val="auto"/>
          <w:kern w:val="2"/>
          <w:sz w:val="24"/>
          <w:szCs w:val="24"/>
          <w14:ligatures w14:val="standardContextual"/>
        </w:rPr>
        <w:t>zamana ve bölgelere göre dağılımı</w:t>
      </w:r>
      <w:bookmarkEnd w:id="136"/>
      <w:r w:rsidR="00425728" w:rsidRPr="000A40E6">
        <w:rPr>
          <w:rFonts w:eastAsia="Calibri" w:cs="Times New Roman"/>
          <w:b w:val="0"/>
          <w:color w:val="auto"/>
          <w:kern w:val="2"/>
          <w:sz w:val="24"/>
          <w:szCs w:val="24"/>
          <w14:ligatures w14:val="standardContextual"/>
        </w:rPr>
        <w:t>.</w:t>
      </w:r>
    </w:p>
    <w:tbl>
      <w:tblPr>
        <w:tblStyle w:val="TabloKlavuzu2"/>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0"/>
        <w:gridCol w:w="2004"/>
        <w:gridCol w:w="2004"/>
        <w:gridCol w:w="1190"/>
        <w:gridCol w:w="1207"/>
      </w:tblGrid>
      <w:tr w:rsidR="009B2AA4" w:rsidRPr="000A40E6" w14:paraId="20ECA322" w14:textId="77777777" w:rsidTr="00A3711B">
        <w:trPr>
          <w:jc w:val="center"/>
        </w:trPr>
        <w:tc>
          <w:tcPr>
            <w:tcW w:w="1890" w:type="dxa"/>
            <w:tcBorders>
              <w:top w:val="single" w:sz="4" w:space="0" w:color="auto"/>
            </w:tcBorders>
            <w:shd w:val="clear" w:color="auto" w:fill="auto"/>
            <w:vAlign w:val="center"/>
          </w:tcPr>
          <w:p w14:paraId="04F6F1E4" w14:textId="77777777" w:rsidR="009B2AA4" w:rsidRPr="000A40E6" w:rsidRDefault="009B2AA4"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t</w:t>
            </w:r>
            <w:proofErr w:type="gramEnd"/>
            <w:r w:rsidRPr="000A40E6">
              <w:rPr>
                <w:rFonts w:eastAsia="Calibri" w:cs="Times New Roman"/>
                <w:b/>
                <w:bCs/>
                <w:sz w:val="20"/>
                <w:szCs w:val="20"/>
              </w:rPr>
              <w:t>-RANKL (pg/mL)</w:t>
            </w:r>
          </w:p>
        </w:tc>
        <w:tc>
          <w:tcPr>
            <w:tcW w:w="3606" w:type="dxa"/>
            <w:gridSpan w:val="2"/>
            <w:tcBorders>
              <w:top w:val="single" w:sz="4" w:space="0" w:color="auto"/>
              <w:bottom w:val="single" w:sz="4" w:space="0" w:color="auto"/>
            </w:tcBorders>
            <w:shd w:val="clear" w:color="auto" w:fill="auto"/>
            <w:vAlign w:val="center"/>
          </w:tcPr>
          <w:p w14:paraId="10AA6730"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Bölge</w:t>
            </w:r>
          </w:p>
        </w:tc>
        <w:tc>
          <w:tcPr>
            <w:tcW w:w="2157" w:type="dxa"/>
            <w:gridSpan w:val="2"/>
            <w:tcBorders>
              <w:top w:val="single" w:sz="4" w:space="0" w:color="auto"/>
              <w:bottom w:val="single" w:sz="4" w:space="0" w:color="auto"/>
            </w:tcBorders>
            <w:shd w:val="clear" w:color="auto" w:fill="auto"/>
            <w:vAlign w:val="center"/>
          </w:tcPr>
          <w:p w14:paraId="7445481E"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Karşılaştırma sonucu</w:t>
            </w:r>
          </w:p>
        </w:tc>
      </w:tr>
      <w:tr w:rsidR="009B2AA4" w:rsidRPr="000A40E6" w14:paraId="37EAB199" w14:textId="77777777" w:rsidTr="00A3711B">
        <w:trPr>
          <w:jc w:val="center"/>
        </w:trPr>
        <w:tc>
          <w:tcPr>
            <w:tcW w:w="1890" w:type="dxa"/>
            <w:tcBorders>
              <w:bottom w:val="single" w:sz="4" w:space="0" w:color="auto"/>
            </w:tcBorders>
            <w:shd w:val="clear" w:color="auto" w:fill="auto"/>
            <w:vAlign w:val="center"/>
          </w:tcPr>
          <w:p w14:paraId="313B08F9"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Ölçüm zamanı</w:t>
            </w:r>
          </w:p>
        </w:tc>
        <w:tc>
          <w:tcPr>
            <w:tcW w:w="1803" w:type="dxa"/>
            <w:tcBorders>
              <w:top w:val="single" w:sz="4" w:space="0" w:color="auto"/>
              <w:bottom w:val="single" w:sz="4" w:space="0" w:color="auto"/>
            </w:tcBorders>
            <w:shd w:val="clear" w:color="auto" w:fill="auto"/>
            <w:vAlign w:val="center"/>
          </w:tcPr>
          <w:p w14:paraId="5E4836BE"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Bukkal</w:t>
            </w:r>
          </w:p>
          <w:p w14:paraId="3ABBBB3A" w14:textId="77777777" w:rsidR="00952E10" w:rsidRPr="000A40E6" w:rsidRDefault="00952E10"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40D40615" w14:textId="39214FF9" w:rsidR="00952E10" w:rsidRPr="000A40E6" w:rsidRDefault="00952E10"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1803" w:type="dxa"/>
            <w:tcBorders>
              <w:top w:val="single" w:sz="4" w:space="0" w:color="auto"/>
              <w:bottom w:val="single" w:sz="4" w:space="0" w:color="auto"/>
            </w:tcBorders>
            <w:shd w:val="clear" w:color="auto" w:fill="auto"/>
            <w:vAlign w:val="center"/>
          </w:tcPr>
          <w:p w14:paraId="4FD7A9B6" w14:textId="4E05DF2B" w:rsidR="00212986" w:rsidRPr="000A40E6" w:rsidRDefault="00212986" w:rsidP="00F756C3">
            <w:pPr>
              <w:suppressAutoHyphens/>
              <w:spacing w:line="240" w:lineRule="atLeast"/>
              <w:ind w:firstLine="0"/>
              <w:jc w:val="center"/>
              <w:rPr>
                <w:rFonts w:eastAsia="Calibri" w:cs="Times New Roman"/>
                <w:b/>
                <w:sz w:val="20"/>
                <w:szCs w:val="20"/>
              </w:rPr>
            </w:pPr>
            <w:r w:rsidRPr="000A40E6">
              <w:rPr>
                <w:rFonts w:eastAsia="Calibri" w:cs="Times New Roman"/>
                <w:b/>
                <w:sz w:val="20"/>
                <w:szCs w:val="20"/>
              </w:rPr>
              <w:t>Palatinal</w:t>
            </w:r>
          </w:p>
          <w:p w14:paraId="27ED56C3" w14:textId="524F5B0C" w:rsidR="00212986" w:rsidRPr="000A40E6" w:rsidRDefault="00212986"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20FA345D" w14:textId="3945C328" w:rsidR="00212986" w:rsidRPr="000A40E6" w:rsidRDefault="00212986" w:rsidP="00F756C3">
            <w:pPr>
              <w:suppressAutoHyphens/>
              <w:spacing w:line="240" w:lineRule="atLeast"/>
              <w:ind w:firstLine="0"/>
              <w:jc w:val="center"/>
              <w:rPr>
                <w:rFonts w:eastAsia="Calibri" w:cs="Times New Roman"/>
                <w:b/>
                <w:sz w:val="20"/>
                <w:szCs w:val="20"/>
              </w:rPr>
            </w:pPr>
            <w:r w:rsidRPr="000A40E6">
              <w:rPr>
                <w:rFonts w:eastAsia="Calibri" w:cs="Times New Roman"/>
                <w:b/>
                <w:sz w:val="20"/>
                <w:szCs w:val="20"/>
              </w:rPr>
              <w:t>Ortanca (ÇAG)</w:t>
            </w:r>
          </w:p>
        </w:tc>
        <w:tc>
          <w:tcPr>
            <w:tcW w:w="1071" w:type="dxa"/>
            <w:tcBorders>
              <w:top w:val="single" w:sz="4" w:space="0" w:color="auto"/>
              <w:bottom w:val="single" w:sz="4" w:space="0" w:color="auto"/>
            </w:tcBorders>
            <w:shd w:val="clear" w:color="auto" w:fill="auto"/>
            <w:vAlign w:val="center"/>
          </w:tcPr>
          <w:p w14:paraId="39B79A5E"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Z</w:t>
            </w:r>
          </w:p>
        </w:tc>
        <w:tc>
          <w:tcPr>
            <w:tcW w:w="1086" w:type="dxa"/>
            <w:tcBorders>
              <w:top w:val="single" w:sz="4" w:space="0" w:color="auto"/>
              <w:bottom w:val="single" w:sz="4" w:space="0" w:color="auto"/>
            </w:tcBorders>
            <w:shd w:val="clear" w:color="auto" w:fill="auto"/>
            <w:vAlign w:val="center"/>
          </w:tcPr>
          <w:p w14:paraId="53A9E608" w14:textId="77777777" w:rsidR="009B2AA4" w:rsidRPr="000A40E6" w:rsidRDefault="009B2AA4"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p</w:t>
            </w:r>
            <w:proofErr w:type="gramEnd"/>
            <w:r w:rsidRPr="000A40E6">
              <w:rPr>
                <w:rFonts w:eastAsia="Calibri" w:cs="Times New Roman"/>
                <w:b/>
                <w:bCs/>
                <w:sz w:val="20"/>
                <w:szCs w:val="20"/>
              </w:rPr>
              <w:t>-değeri</w:t>
            </w:r>
          </w:p>
        </w:tc>
      </w:tr>
      <w:tr w:rsidR="009B2AA4" w:rsidRPr="000A40E6" w14:paraId="7FDDBC4D" w14:textId="77777777" w:rsidTr="00A3711B">
        <w:trPr>
          <w:jc w:val="center"/>
        </w:trPr>
        <w:tc>
          <w:tcPr>
            <w:tcW w:w="1890" w:type="dxa"/>
            <w:tcBorders>
              <w:top w:val="single" w:sz="4" w:space="0" w:color="auto"/>
            </w:tcBorders>
            <w:shd w:val="clear" w:color="auto" w:fill="auto"/>
            <w:vAlign w:val="center"/>
          </w:tcPr>
          <w:p w14:paraId="41AC1B9D" w14:textId="1F969930"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T0</w:t>
            </w:r>
          </w:p>
        </w:tc>
        <w:tc>
          <w:tcPr>
            <w:tcW w:w="1803" w:type="dxa"/>
            <w:tcBorders>
              <w:top w:val="single" w:sz="4" w:space="0" w:color="auto"/>
            </w:tcBorders>
            <w:shd w:val="clear" w:color="auto" w:fill="auto"/>
            <w:vAlign w:val="center"/>
          </w:tcPr>
          <w:p w14:paraId="02AC387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6.68±1.38</w:t>
            </w:r>
          </w:p>
        </w:tc>
        <w:tc>
          <w:tcPr>
            <w:tcW w:w="1803" w:type="dxa"/>
            <w:tcBorders>
              <w:top w:val="single" w:sz="4" w:space="0" w:color="auto"/>
            </w:tcBorders>
            <w:shd w:val="clear" w:color="auto" w:fill="auto"/>
            <w:vAlign w:val="center"/>
          </w:tcPr>
          <w:p w14:paraId="2400072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6.34±1.57</w:t>
            </w:r>
          </w:p>
        </w:tc>
        <w:tc>
          <w:tcPr>
            <w:tcW w:w="1071" w:type="dxa"/>
            <w:tcBorders>
              <w:top w:val="single" w:sz="4" w:space="0" w:color="auto"/>
            </w:tcBorders>
            <w:shd w:val="clear" w:color="auto" w:fill="auto"/>
          </w:tcPr>
          <w:p w14:paraId="3020152E"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1.004</w:t>
            </w:r>
          </w:p>
        </w:tc>
        <w:tc>
          <w:tcPr>
            <w:tcW w:w="1086" w:type="dxa"/>
            <w:tcBorders>
              <w:top w:val="single" w:sz="4" w:space="0" w:color="auto"/>
            </w:tcBorders>
            <w:shd w:val="clear" w:color="auto" w:fill="auto"/>
          </w:tcPr>
          <w:p w14:paraId="59D9494C"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0.316</w:t>
            </w:r>
          </w:p>
        </w:tc>
      </w:tr>
      <w:tr w:rsidR="009B2AA4" w:rsidRPr="000A40E6" w14:paraId="0524A2E8" w14:textId="77777777" w:rsidTr="00A3711B">
        <w:trPr>
          <w:jc w:val="center"/>
        </w:trPr>
        <w:tc>
          <w:tcPr>
            <w:tcW w:w="1890" w:type="dxa"/>
            <w:shd w:val="clear" w:color="auto" w:fill="auto"/>
            <w:vAlign w:val="center"/>
          </w:tcPr>
          <w:p w14:paraId="788DD20D"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803" w:type="dxa"/>
            <w:shd w:val="clear" w:color="auto" w:fill="auto"/>
            <w:vAlign w:val="center"/>
          </w:tcPr>
          <w:p w14:paraId="73C0352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6.61 (5.56-7.65)</w:t>
            </w:r>
          </w:p>
        </w:tc>
        <w:tc>
          <w:tcPr>
            <w:tcW w:w="1803" w:type="dxa"/>
            <w:shd w:val="clear" w:color="auto" w:fill="auto"/>
            <w:vAlign w:val="center"/>
          </w:tcPr>
          <w:p w14:paraId="2FC32F4C"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6.7 (5.14-7.41)</w:t>
            </w:r>
          </w:p>
        </w:tc>
        <w:tc>
          <w:tcPr>
            <w:tcW w:w="1071" w:type="dxa"/>
            <w:shd w:val="clear" w:color="auto" w:fill="auto"/>
          </w:tcPr>
          <w:p w14:paraId="6DFA3745"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tcPr>
          <w:p w14:paraId="332748E7"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3765C8AE" w14:textId="77777777" w:rsidTr="00A3711B">
        <w:trPr>
          <w:jc w:val="center"/>
        </w:trPr>
        <w:tc>
          <w:tcPr>
            <w:tcW w:w="1890" w:type="dxa"/>
            <w:shd w:val="clear" w:color="auto" w:fill="auto"/>
            <w:vAlign w:val="center"/>
          </w:tcPr>
          <w:p w14:paraId="698A61B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T1</w:t>
            </w:r>
          </w:p>
        </w:tc>
        <w:tc>
          <w:tcPr>
            <w:tcW w:w="1803" w:type="dxa"/>
            <w:shd w:val="clear" w:color="auto" w:fill="auto"/>
            <w:vAlign w:val="center"/>
          </w:tcPr>
          <w:p w14:paraId="7CD39599"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6.88±1.03</w:t>
            </w:r>
          </w:p>
        </w:tc>
        <w:tc>
          <w:tcPr>
            <w:tcW w:w="1803" w:type="dxa"/>
            <w:shd w:val="clear" w:color="auto" w:fill="auto"/>
            <w:vAlign w:val="center"/>
          </w:tcPr>
          <w:p w14:paraId="5C1F12E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6.13±1.37</w:t>
            </w:r>
          </w:p>
        </w:tc>
        <w:tc>
          <w:tcPr>
            <w:tcW w:w="1071" w:type="dxa"/>
            <w:shd w:val="clear" w:color="auto" w:fill="auto"/>
          </w:tcPr>
          <w:p w14:paraId="2F251F94"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2.038</w:t>
            </w:r>
          </w:p>
        </w:tc>
        <w:tc>
          <w:tcPr>
            <w:tcW w:w="1086" w:type="dxa"/>
            <w:shd w:val="clear" w:color="auto" w:fill="auto"/>
          </w:tcPr>
          <w:p w14:paraId="3E394DA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0.042</w:t>
            </w:r>
          </w:p>
        </w:tc>
      </w:tr>
      <w:tr w:rsidR="009B2AA4" w:rsidRPr="000A40E6" w14:paraId="48ABD2F8" w14:textId="77777777" w:rsidTr="00A3711B">
        <w:trPr>
          <w:jc w:val="center"/>
        </w:trPr>
        <w:tc>
          <w:tcPr>
            <w:tcW w:w="1890" w:type="dxa"/>
            <w:shd w:val="clear" w:color="auto" w:fill="auto"/>
            <w:vAlign w:val="center"/>
          </w:tcPr>
          <w:p w14:paraId="56D08517"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803" w:type="dxa"/>
            <w:shd w:val="clear" w:color="auto" w:fill="auto"/>
            <w:vAlign w:val="center"/>
          </w:tcPr>
          <w:p w14:paraId="188EA0F2"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6.69 (6.04-7.70)</w:t>
            </w:r>
          </w:p>
        </w:tc>
        <w:tc>
          <w:tcPr>
            <w:tcW w:w="1803" w:type="dxa"/>
            <w:shd w:val="clear" w:color="auto" w:fill="auto"/>
            <w:vAlign w:val="center"/>
          </w:tcPr>
          <w:p w14:paraId="32C1125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6.24 (4.80-7.23)</w:t>
            </w:r>
          </w:p>
        </w:tc>
        <w:tc>
          <w:tcPr>
            <w:tcW w:w="1071" w:type="dxa"/>
            <w:shd w:val="clear" w:color="auto" w:fill="auto"/>
          </w:tcPr>
          <w:p w14:paraId="33EA91AA"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tcPr>
          <w:p w14:paraId="48E307B7"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5A3A2F31" w14:textId="77777777" w:rsidTr="00A3711B">
        <w:trPr>
          <w:jc w:val="center"/>
        </w:trPr>
        <w:tc>
          <w:tcPr>
            <w:tcW w:w="1890" w:type="dxa"/>
            <w:shd w:val="clear" w:color="auto" w:fill="auto"/>
            <w:vAlign w:val="center"/>
          </w:tcPr>
          <w:p w14:paraId="02C9459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T2</w:t>
            </w:r>
          </w:p>
        </w:tc>
        <w:tc>
          <w:tcPr>
            <w:tcW w:w="1803" w:type="dxa"/>
            <w:shd w:val="clear" w:color="auto" w:fill="auto"/>
            <w:vAlign w:val="center"/>
          </w:tcPr>
          <w:p w14:paraId="7E8089D9"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6.44±1.67</w:t>
            </w:r>
          </w:p>
        </w:tc>
        <w:tc>
          <w:tcPr>
            <w:tcW w:w="1803" w:type="dxa"/>
            <w:shd w:val="clear" w:color="auto" w:fill="auto"/>
            <w:vAlign w:val="center"/>
          </w:tcPr>
          <w:p w14:paraId="243546AB"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6.21±1.58</w:t>
            </w:r>
          </w:p>
        </w:tc>
        <w:tc>
          <w:tcPr>
            <w:tcW w:w="1071" w:type="dxa"/>
            <w:shd w:val="clear" w:color="auto" w:fill="auto"/>
          </w:tcPr>
          <w:p w14:paraId="2AE4C9B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0.578</w:t>
            </w:r>
          </w:p>
        </w:tc>
        <w:tc>
          <w:tcPr>
            <w:tcW w:w="1086" w:type="dxa"/>
            <w:shd w:val="clear" w:color="auto" w:fill="auto"/>
          </w:tcPr>
          <w:p w14:paraId="261A4E4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0.563</w:t>
            </w:r>
          </w:p>
        </w:tc>
      </w:tr>
      <w:tr w:rsidR="009B2AA4" w:rsidRPr="000A40E6" w14:paraId="07A38FD1" w14:textId="77777777" w:rsidTr="00A3711B">
        <w:trPr>
          <w:jc w:val="center"/>
        </w:trPr>
        <w:tc>
          <w:tcPr>
            <w:tcW w:w="1890" w:type="dxa"/>
            <w:shd w:val="clear" w:color="auto" w:fill="auto"/>
            <w:vAlign w:val="center"/>
          </w:tcPr>
          <w:p w14:paraId="0531617E"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803" w:type="dxa"/>
            <w:shd w:val="clear" w:color="auto" w:fill="auto"/>
            <w:vAlign w:val="center"/>
          </w:tcPr>
          <w:p w14:paraId="5275C77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6.55 (5.58-7.63)</w:t>
            </w:r>
          </w:p>
        </w:tc>
        <w:tc>
          <w:tcPr>
            <w:tcW w:w="1803" w:type="dxa"/>
            <w:shd w:val="clear" w:color="auto" w:fill="auto"/>
            <w:vAlign w:val="center"/>
          </w:tcPr>
          <w:p w14:paraId="0B71C58C"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6.54 (5.29-7.23)</w:t>
            </w:r>
          </w:p>
        </w:tc>
        <w:tc>
          <w:tcPr>
            <w:tcW w:w="1071" w:type="dxa"/>
            <w:shd w:val="clear" w:color="auto" w:fill="auto"/>
            <w:vAlign w:val="center"/>
          </w:tcPr>
          <w:p w14:paraId="26B450DF"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6E8F39A6"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4553E300" w14:textId="77777777" w:rsidTr="00A3711B">
        <w:trPr>
          <w:jc w:val="center"/>
        </w:trPr>
        <w:tc>
          <w:tcPr>
            <w:tcW w:w="1890" w:type="dxa"/>
            <w:shd w:val="clear" w:color="auto" w:fill="auto"/>
            <w:vAlign w:val="center"/>
          </w:tcPr>
          <w:p w14:paraId="28D0F7CE"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T3</w:t>
            </w:r>
          </w:p>
        </w:tc>
        <w:tc>
          <w:tcPr>
            <w:tcW w:w="1803" w:type="dxa"/>
            <w:shd w:val="clear" w:color="auto" w:fill="auto"/>
            <w:vAlign w:val="center"/>
          </w:tcPr>
          <w:p w14:paraId="73BF5A1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6.15±2.14</w:t>
            </w:r>
          </w:p>
        </w:tc>
        <w:tc>
          <w:tcPr>
            <w:tcW w:w="1803" w:type="dxa"/>
            <w:shd w:val="clear" w:color="auto" w:fill="auto"/>
            <w:vAlign w:val="center"/>
          </w:tcPr>
          <w:p w14:paraId="0EF1519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6.26±1.22</w:t>
            </w:r>
          </w:p>
        </w:tc>
        <w:tc>
          <w:tcPr>
            <w:tcW w:w="1071" w:type="dxa"/>
            <w:shd w:val="clear" w:color="auto" w:fill="auto"/>
          </w:tcPr>
          <w:p w14:paraId="5AD50C1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0.274</w:t>
            </w:r>
          </w:p>
        </w:tc>
        <w:tc>
          <w:tcPr>
            <w:tcW w:w="1086" w:type="dxa"/>
            <w:shd w:val="clear" w:color="auto" w:fill="auto"/>
          </w:tcPr>
          <w:p w14:paraId="3A3CB0B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0.784</w:t>
            </w:r>
          </w:p>
        </w:tc>
      </w:tr>
      <w:tr w:rsidR="009B2AA4" w:rsidRPr="000A40E6" w14:paraId="4BA64A7F" w14:textId="77777777" w:rsidTr="00A3711B">
        <w:trPr>
          <w:jc w:val="center"/>
        </w:trPr>
        <w:tc>
          <w:tcPr>
            <w:tcW w:w="1890" w:type="dxa"/>
            <w:shd w:val="clear" w:color="auto" w:fill="auto"/>
            <w:vAlign w:val="center"/>
          </w:tcPr>
          <w:p w14:paraId="3E384946"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803" w:type="dxa"/>
            <w:shd w:val="clear" w:color="auto" w:fill="auto"/>
            <w:vAlign w:val="center"/>
          </w:tcPr>
          <w:p w14:paraId="105FC6D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6.63 (4.07-7.76)</w:t>
            </w:r>
          </w:p>
        </w:tc>
        <w:tc>
          <w:tcPr>
            <w:tcW w:w="1803" w:type="dxa"/>
            <w:shd w:val="clear" w:color="auto" w:fill="auto"/>
            <w:vAlign w:val="center"/>
          </w:tcPr>
          <w:p w14:paraId="455BF9B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6.47 (5.18-7.25)</w:t>
            </w:r>
          </w:p>
        </w:tc>
        <w:tc>
          <w:tcPr>
            <w:tcW w:w="1071" w:type="dxa"/>
            <w:shd w:val="clear" w:color="auto" w:fill="auto"/>
            <w:vAlign w:val="center"/>
          </w:tcPr>
          <w:p w14:paraId="74882351"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25BFD6F5"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62A4B261" w14:textId="77777777" w:rsidTr="00A3711B">
        <w:trPr>
          <w:jc w:val="center"/>
        </w:trPr>
        <w:tc>
          <w:tcPr>
            <w:tcW w:w="1890" w:type="dxa"/>
            <w:shd w:val="clear" w:color="auto" w:fill="auto"/>
            <w:vAlign w:val="center"/>
          </w:tcPr>
          <w:p w14:paraId="4584CDA4"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χ</w:t>
            </w:r>
            <w:r w:rsidRPr="000A40E6">
              <w:rPr>
                <w:rFonts w:eastAsia="Calibri" w:cs="Times New Roman"/>
                <w:b/>
                <w:bCs/>
                <w:sz w:val="20"/>
                <w:szCs w:val="20"/>
                <w:vertAlign w:val="superscript"/>
              </w:rPr>
              <w:t>2</w:t>
            </w:r>
            <w:r w:rsidRPr="000A40E6">
              <w:rPr>
                <w:rFonts w:eastAsia="Calibri" w:cs="Times New Roman"/>
                <w:b/>
                <w:bCs/>
                <w:sz w:val="20"/>
                <w:szCs w:val="20"/>
              </w:rPr>
              <w:t>, p-değeri</w:t>
            </w:r>
          </w:p>
        </w:tc>
        <w:tc>
          <w:tcPr>
            <w:tcW w:w="1803" w:type="dxa"/>
            <w:shd w:val="clear" w:color="auto" w:fill="auto"/>
            <w:vAlign w:val="center"/>
          </w:tcPr>
          <w:p w14:paraId="12D1EED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2.319, 0.509</w:t>
            </w:r>
          </w:p>
        </w:tc>
        <w:tc>
          <w:tcPr>
            <w:tcW w:w="1803" w:type="dxa"/>
            <w:shd w:val="clear" w:color="auto" w:fill="auto"/>
            <w:vAlign w:val="center"/>
          </w:tcPr>
          <w:p w14:paraId="1AC35A1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0.757, 0.860</w:t>
            </w:r>
          </w:p>
        </w:tc>
        <w:tc>
          <w:tcPr>
            <w:tcW w:w="1071" w:type="dxa"/>
            <w:shd w:val="clear" w:color="auto" w:fill="auto"/>
            <w:vAlign w:val="center"/>
          </w:tcPr>
          <w:p w14:paraId="5362C9A4"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0FDE6A67" w14:textId="77777777" w:rsidR="009B2AA4" w:rsidRPr="000A40E6" w:rsidRDefault="009B2AA4" w:rsidP="00F756C3">
            <w:pPr>
              <w:suppressAutoHyphens/>
              <w:spacing w:line="240" w:lineRule="atLeast"/>
              <w:ind w:firstLine="0"/>
              <w:jc w:val="center"/>
              <w:rPr>
                <w:rFonts w:eastAsia="Calibri" w:cs="Times New Roman"/>
                <w:sz w:val="20"/>
                <w:szCs w:val="20"/>
              </w:rPr>
            </w:pPr>
          </w:p>
        </w:tc>
      </w:tr>
    </w:tbl>
    <w:p w14:paraId="1C948793" w14:textId="77777777" w:rsidR="000C2659" w:rsidRPr="000A40E6" w:rsidRDefault="000C2659" w:rsidP="00F756C3">
      <w:pPr>
        <w:suppressAutoHyphens/>
        <w:spacing w:before="120" w:after="120" w:line="240" w:lineRule="auto"/>
        <w:ind w:firstLine="0"/>
        <w:rPr>
          <w:rFonts w:eastAsia="Calibri" w:cs="Times New Roman"/>
          <w:sz w:val="20"/>
          <w:szCs w:val="24"/>
        </w:rPr>
      </w:pPr>
      <w:bookmarkStart w:id="137" w:name="_Toc136381300"/>
      <w:r w:rsidRPr="000A40E6">
        <w:rPr>
          <w:rFonts w:eastAsia="Calibri" w:cs="Times New Roman"/>
          <w:sz w:val="20"/>
          <w:szCs w:val="24"/>
        </w:rPr>
        <w:t xml:space="preserve">Ort: Ortalama, SS: Standart sapma, </w:t>
      </w:r>
      <w:proofErr w:type="gramStart"/>
      <w:r w:rsidRPr="000A40E6">
        <w:rPr>
          <w:rFonts w:eastAsia="Calibri" w:cs="Times New Roman"/>
          <w:sz w:val="20"/>
          <w:szCs w:val="24"/>
        </w:rPr>
        <w:t>ÇAG : Çeyrekler</w:t>
      </w:r>
      <w:proofErr w:type="gramEnd"/>
      <w:r w:rsidRPr="000A40E6">
        <w:rPr>
          <w:rFonts w:eastAsia="Calibri" w:cs="Times New Roman"/>
          <w:sz w:val="20"/>
          <w:szCs w:val="24"/>
        </w:rPr>
        <w:t xml:space="preserve"> arası genişlik.</w:t>
      </w:r>
    </w:p>
    <w:p w14:paraId="0921E3B4" w14:textId="77777777" w:rsidR="000C2659" w:rsidRPr="000A40E6" w:rsidRDefault="000C2659" w:rsidP="00F756C3">
      <w:pPr>
        <w:suppressAutoHyphens/>
        <w:spacing w:before="120" w:after="120" w:line="240" w:lineRule="auto"/>
        <w:ind w:firstLine="0"/>
        <w:rPr>
          <w:rFonts w:eastAsia="Calibri" w:cs="Times New Roman"/>
          <w:sz w:val="20"/>
          <w:szCs w:val="24"/>
        </w:rPr>
      </w:pPr>
      <w:r w:rsidRPr="000A40E6">
        <w:rPr>
          <w:rFonts w:eastAsia="Calibri" w:cs="Times New Roman"/>
          <w:sz w:val="20"/>
          <w:szCs w:val="24"/>
        </w:rPr>
        <w:t>Zaman x Bölge etkileşim etkisi için Anova-tipi test istatistiği=0.636, p=0.584</w:t>
      </w:r>
    </w:p>
    <w:p w14:paraId="73363257" w14:textId="77777777" w:rsidR="000C2659" w:rsidRPr="000A40E6" w:rsidRDefault="000C2659" w:rsidP="00F756C3">
      <w:pPr>
        <w:pStyle w:val="ResimYazs"/>
        <w:suppressAutoHyphens/>
        <w:spacing w:after="120" w:line="360" w:lineRule="auto"/>
        <w:jc w:val="both"/>
        <w:rPr>
          <w:rFonts w:cs="Times New Roman"/>
          <w:color w:val="auto"/>
          <w:sz w:val="24"/>
          <w:szCs w:val="24"/>
        </w:rPr>
      </w:pPr>
    </w:p>
    <w:p w14:paraId="120BDDBB" w14:textId="343CB069" w:rsidR="000C2659" w:rsidRPr="000A40E6" w:rsidRDefault="000C2659" w:rsidP="00F756C3">
      <w:pPr>
        <w:pStyle w:val="ResimYazs"/>
        <w:suppressAutoHyphens/>
        <w:spacing w:after="0" w:line="240" w:lineRule="atLeast"/>
        <w:ind w:firstLine="0"/>
        <w:rPr>
          <w:rFonts w:cs="Times New Roman"/>
          <w:color w:val="auto"/>
          <w:sz w:val="24"/>
          <w:szCs w:val="24"/>
        </w:rPr>
      </w:pPr>
      <w:r w:rsidRPr="000A40E6">
        <w:rPr>
          <w:rFonts w:eastAsia="Calibri" w:cs="Times New Roman"/>
          <w:b w:val="0"/>
          <w:bCs w:val="0"/>
          <w:noProof/>
          <w:color w:val="auto"/>
          <w:sz w:val="24"/>
          <w:szCs w:val="24"/>
          <w:lang w:eastAsia="tr-TR"/>
        </w:rPr>
        <w:drawing>
          <wp:inline distT="0" distB="0" distL="0" distR="0" wp14:anchorId="174869BD" wp14:editId="6C66A104">
            <wp:extent cx="4320000" cy="3375484"/>
            <wp:effectExtent l="19050" t="19050" r="23495" b="1587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3375484"/>
                    </a:xfrm>
                    <a:prstGeom prst="rect">
                      <a:avLst/>
                    </a:prstGeom>
                    <a:ln>
                      <a:solidFill>
                        <a:sysClr val="window" lastClr="FFFFFF">
                          <a:lumMod val="50000"/>
                        </a:sysClr>
                      </a:solidFill>
                    </a:ln>
                  </pic:spPr>
                </pic:pic>
              </a:graphicData>
            </a:graphic>
          </wp:inline>
        </w:drawing>
      </w:r>
    </w:p>
    <w:p w14:paraId="26D9F55A" w14:textId="55EAD1E7" w:rsidR="009B2AA4" w:rsidRPr="000A40E6" w:rsidRDefault="0096458C" w:rsidP="00425728">
      <w:pPr>
        <w:pStyle w:val="ResimYazs"/>
        <w:suppressAutoHyphens/>
        <w:spacing w:before="120" w:after="120" w:line="360" w:lineRule="auto"/>
        <w:ind w:left="567" w:hanging="567"/>
        <w:rPr>
          <w:rFonts w:eastAsia="Calibri" w:cs="Times New Roman"/>
          <w:color w:val="auto"/>
          <w:kern w:val="2"/>
          <w:sz w:val="24"/>
          <w:szCs w:val="24"/>
          <w14:ligatures w14:val="standardContextual"/>
        </w:rPr>
      </w:pPr>
      <w:r w:rsidRPr="000A40E6">
        <w:rPr>
          <w:rFonts w:cs="Times New Roman"/>
          <w:color w:val="auto"/>
          <w:sz w:val="24"/>
          <w:szCs w:val="24"/>
        </w:rPr>
        <w:t xml:space="preserve">Şekil </w:t>
      </w:r>
      <w:r w:rsidR="003F42DA" w:rsidRPr="000A40E6">
        <w:rPr>
          <w:rFonts w:cs="Times New Roman"/>
          <w:noProof/>
          <w:color w:val="auto"/>
          <w:sz w:val="24"/>
          <w:szCs w:val="24"/>
        </w:rPr>
        <w:t>3</w:t>
      </w:r>
      <w:r w:rsidRPr="000A40E6">
        <w:rPr>
          <w:rFonts w:cs="Times New Roman"/>
          <w:color w:val="auto"/>
          <w:sz w:val="24"/>
          <w:szCs w:val="24"/>
        </w:rPr>
        <w:t xml:space="preserve">. </w:t>
      </w:r>
      <w:r w:rsidRPr="000A40E6">
        <w:rPr>
          <w:rFonts w:eastAsia="Calibri" w:cs="Times New Roman"/>
          <w:b w:val="0"/>
          <w:color w:val="auto"/>
          <w:kern w:val="2"/>
          <w:sz w:val="24"/>
          <w:szCs w:val="24"/>
          <w14:ligatures w14:val="standardContextual"/>
        </w:rPr>
        <w:t>RANKL ölçümlerinin zamana ve bölgelere göre dağılımı</w:t>
      </w:r>
      <w:bookmarkEnd w:id="137"/>
      <w:r w:rsidR="00425728" w:rsidRPr="000A40E6">
        <w:rPr>
          <w:rFonts w:eastAsia="Calibri" w:cs="Times New Roman"/>
          <w:b w:val="0"/>
          <w:color w:val="auto"/>
          <w:kern w:val="2"/>
          <w:sz w:val="24"/>
          <w:szCs w:val="24"/>
          <w14:ligatures w14:val="standardContextual"/>
        </w:rPr>
        <w:t>.</w:t>
      </w:r>
    </w:p>
    <w:p w14:paraId="1BAAF6A3" w14:textId="77777777" w:rsidR="00A3711B" w:rsidRPr="000A40E6" w:rsidRDefault="00A3711B" w:rsidP="00F756C3">
      <w:pPr>
        <w:suppressAutoHyphens/>
        <w:spacing w:after="120"/>
        <w:rPr>
          <w:rFonts w:eastAsia="Calibri" w:cs="Times New Roman"/>
          <w:kern w:val="2"/>
          <w:szCs w:val="24"/>
          <w14:ligatures w14:val="standardContextual"/>
        </w:rPr>
      </w:pPr>
    </w:p>
    <w:p w14:paraId="12A6440E" w14:textId="11E2FD0D" w:rsidR="009B2AA4" w:rsidRPr="000A40E6" w:rsidRDefault="009B2AA4"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OPG ölçümleri ele alındığında, iki bölge için de ölçümlerin zamanla değişmediği (sıra</w:t>
      </w:r>
      <w:r w:rsidR="00A833DF" w:rsidRPr="000A40E6">
        <w:rPr>
          <w:rFonts w:eastAsia="Calibri" w:cs="Times New Roman"/>
          <w:kern w:val="2"/>
          <w:szCs w:val="24"/>
          <w14:ligatures w14:val="standardContextual"/>
        </w:rPr>
        <w:t xml:space="preserve">sıyla p=0.311 ve p=0.622, Şekil </w:t>
      </w:r>
      <w:r w:rsidRPr="000A40E6">
        <w:rPr>
          <w:rFonts w:eastAsia="Calibri" w:cs="Times New Roman"/>
          <w:kern w:val="2"/>
          <w:szCs w:val="24"/>
          <w14:ligatures w14:val="standardContextual"/>
        </w:rPr>
        <w:t xml:space="preserve">4) ve her bir zaman noktasında </w:t>
      </w:r>
      <w:r w:rsidR="00F720A9" w:rsidRPr="000A40E6">
        <w:rPr>
          <w:rFonts w:eastAsia="Calibri" w:cs="Times New Roman"/>
          <w:kern w:val="2"/>
          <w:szCs w:val="24"/>
          <w14:ligatures w14:val="standardContextual"/>
        </w:rPr>
        <w:t>bölgeler arasında istatistiksel</w:t>
      </w:r>
      <w:r w:rsidR="002018A3" w:rsidRPr="000A40E6">
        <w:rPr>
          <w:rFonts w:eastAsia="Calibri" w:cs="Times New Roman"/>
          <w:kern w:val="2"/>
          <w:szCs w:val="24"/>
          <w14:ligatures w14:val="standardContextual"/>
        </w:rPr>
        <w:t xml:space="preserve"> </w:t>
      </w:r>
      <w:r w:rsidR="00D41AB1" w:rsidRPr="000A40E6">
        <w:rPr>
          <w:rFonts w:eastAsia="Calibri" w:cs="Times New Roman"/>
          <w:kern w:val="2"/>
          <w:szCs w:val="24"/>
          <w14:ligatures w14:val="standardContextual"/>
        </w:rPr>
        <w:t xml:space="preserve">olarak </w:t>
      </w:r>
      <w:r w:rsidRPr="000A40E6">
        <w:rPr>
          <w:rFonts w:eastAsia="Calibri" w:cs="Times New Roman"/>
          <w:kern w:val="2"/>
          <w:szCs w:val="24"/>
          <w14:ligatures w14:val="standardContextual"/>
        </w:rPr>
        <w:t>anlamlı bir fark olmad</w:t>
      </w:r>
      <w:r w:rsidR="00E312F6" w:rsidRPr="000A40E6">
        <w:rPr>
          <w:rFonts w:eastAsia="Calibri" w:cs="Times New Roman"/>
          <w:kern w:val="2"/>
          <w:szCs w:val="24"/>
          <w14:ligatures w14:val="standardContextual"/>
        </w:rPr>
        <w:t>ığı görülmüştür (p&gt;0.05, Tablo 10</w:t>
      </w:r>
      <w:r w:rsidRPr="000A40E6">
        <w:rPr>
          <w:rFonts w:eastAsia="Calibri" w:cs="Times New Roman"/>
          <w:kern w:val="2"/>
          <w:szCs w:val="24"/>
          <w14:ligatures w14:val="standardContextual"/>
        </w:rPr>
        <w:t>).</w:t>
      </w:r>
    </w:p>
    <w:p w14:paraId="0F8D9612" w14:textId="77777777" w:rsidR="009B2AA4" w:rsidRPr="000A40E6" w:rsidRDefault="009B2AA4" w:rsidP="00F756C3">
      <w:pPr>
        <w:suppressAutoHyphens/>
        <w:spacing w:after="120"/>
        <w:rPr>
          <w:rFonts w:eastAsia="Calibri" w:cs="Times New Roman"/>
          <w:kern w:val="2"/>
          <w:szCs w:val="24"/>
          <w14:ligatures w14:val="standardContextual"/>
        </w:rPr>
      </w:pPr>
    </w:p>
    <w:p w14:paraId="45C2E0DE" w14:textId="706E6377" w:rsidR="009B2AA4" w:rsidRPr="000A40E6" w:rsidRDefault="00E30879" w:rsidP="00F756C3">
      <w:pPr>
        <w:pStyle w:val="ResimYazs"/>
        <w:suppressAutoHyphens/>
        <w:spacing w:before="120" w:after="120" w:line="360" w:lineRule="auto"/>
        <w:ind w:left="567" w:hanging="567"/>
        <w:jc w:val="both"/>
        <w:rPr>
          <w:rFonts w:eastAsia="Calibri" w:cs="Times New Roman"/>
          <w:color w:val="auto"/>
          <w:kern w:val="2"/>
          <w:sz w:val="24"/>
          <w:szCs w:val="24"/>
          <w14:ligatures w14:val="standardContextual"/>
        </w:rPr>
      </w:pPr>
      <w:bookmarkStart w:id="138" w:name="_Toc136383400"/>
      <w:r w:rsidRPr="000A40E6">
        <w:rPr>
          <w:rFonts w:cs="Times New Roman"/>
          <w:color w:val="auto"/>
          <w:sz w:val="24"/>
          <w:szCs w:val="24"/>
        </w:rPr>
        <w:t xml:space="preserve">Tablo </w:t>
      </w:r>
      <w:r w:rsidR="00E312F6" w:rsidRPr="000A40E6">
        <w:rPr>
          <w:rFonts w:cs="Times New Roman"/>
          <w:color w:val="auto"/>
          <w:sz w:val="24"/>
          <w:szCs w:val="24"/>
        </w:rPr>
        <w:t>10</w:t>
      </w:r>
      <w:r w:rsidRPr="000A40E6">
        <w:rPr>
          <w:rFonts w:cs="Times New Roman"/>
          <w:color w:val="auto"/>
          <w:sz w:val="24"/>
          <w:szCs w:val="24"/>
        </w:rPr>
        <w:t xml:space="preserve">. </w:t>
      </w:r>
      <w:r w:rsidR="009B2AA4" w:rsidRPr="000A40E6">
        <w:rPr>
          <w:rFonts w:eastAsia="Calibri" w:cs="Times New Roman"/>
          <w:b w:val="0"/>
          <w:color w:val="auto"/>
          <w:kern w:val="2"/>
          <w:sz w:val="24"/>
          <w:szCs w:val="24"/>
          <w14:ligatures w14:val="standardContextual"/>
        </w:rPr>
        <w:t>OPG</w:t>
      </w:r>
      <w:r w:rsidR="00812ECE" w:rsidRPr="000A40E6">
        <w:rPr>
          <w:rFonts w:eastAsia="Calibri" w:cs="Times New Roman"/>
          <w:b w:val="0"/>
          <w:color w:val="auto"/>
          <w:kern w:val="2"/>
          <w:sz w:val="24"/>
          <w:szCs w:val="24"/>
          <w14:ligatures w14:val="standardContextual"/>
        </w:rPr>
        <w:t xml:space="preserve"> düzeyinin </w:t>
      </w:r>
      <w:r w:rsidR="009B2AA4" w:rsidRPr="000A40E6">
        <w:rPr>
          <w:rFonts w:eastAsia="Calibri" w:cs="Times New Roman"/>
          <w:b w:val="0"/>
          <w:color w:val="auto"/>
          <w:kern w:val="2"/>
          <w:sz w:val="24"/>
          <w:szCs w:val="24"/>
          <w14:ligatures w14:val="standardContextual"/>
        </w:rPr>
        <w:t>zamana ve bölgelere göre dağılımı</w:t>
      </w:r>
      <w:bookmarkEnd w:id="138"/>
      <w:r w:rsidR="00425728" w:rsidRPr="000A40E6">
        <w:rPr>
          <w:rFonts w:eastAsia="Calibri" w:cs="Times New Roman"/>
          <w:b w:val="0"/>
          <w:color w:val="auto"/>
          <w:kern w:val="2"/>
          <w:sz w:val="24"/>
          <w:szCs w:val="24"/>
          <w14:ligatures w14:val="standardContextual"/>
        </w:rPr>
        <w:t>.</w:t>
      </w:r>
    </w:p>
    <w:tbl>
      <w:tblPr>
        <w:tblStyle w:val="TabloKlavuzu2"/>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8"/>
        <w:gridCol w:w="2296"/>
        <w:gridCol w:w="2296"/>
        <w:gridCol w:w="1110"/>
        <w:gridCol w:w="1125"/>
      </w:tblGrid>
      <w:tr w:rsidR="009B2AA4" w:rsidRPr="000A40E6" w14:paraId="4A4ABC77" w14:textId="77777777" w:rsidTr="00A3711B">
        <w:trPr>
          <w:jc w:val="center"/>
        </w:trPr>
        <w:tc>
          <w:tcPr>
            <w:tcW w:w="1620" w:type="dxa"/>
            <w:tcBorders>
              <w:top w:val="single" w:sz="4" w:space="0" w:color="auto"/>
            </w:tcBorders>
            <w:shd w:val="clear" w:color="auto" w:fill="auto"/>
            <w:vAlign w:val="center"/>
          </w:tcPr>
          <w:p w14:paraId="6039848E" w14:textId="77777777" w:rsidR="009B2AA4" w:rsidRPr="000A40E6" w:rsidRDefault="009B2AA4"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t</w:t>
            </w:r>
            <w:proofErr w:type="gramEnd"/>
            <w:r w:rsidRPr="000A40E6">
              <w:rPr>
                <w:rFonts w:eastAsia="Calibri" w:cs="Times New Roman"/>
                <w:b/>
                <w:bCs/>
                <w:sz w:val="20"/>
                <w:szCs w:val="20"/>
              </w:rPr>
              <w:t>-OPG (ng/mL)</w:t>
            </w:r>
          </w:p>
        </w:tc>
        <w:tc>
          <w:tcPr>
            <w:tcW w:w="4432" w:type="dxa"/>
            <w:gridSpan w:val="2"/>
            <w:tcBorders>
              <w:top w:val="single" w:sz="4" w:space="0" w:color="auto"/>
              <w:bottom w:val="single" w:sz="4" w:space="0" w:color="auto"/>
            </w:tcBorders>
            <w:shd w:val="clear" w:color="auto" w:fill="auto"/>
            <w:vAlign w:val="center"/>
          </w:tcPr>
          <w:p w14:paraId="199F289C"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Bölge</w:t>
            </w:r>
          </w:p>
        </w:tc>
        <w:tc>
          <w:tcPr>
            <w:tcW w:w="2157" w:type="dxa"/>
            <w:gridSpan w:val="2"/>
            <w:tcBorders>
              <w:top w:val="single" w:sz="4" w:space="0" w:color="auto"/>
              <w:bottom w:val="single" w:sz="4" w:space="0" w:color="auto"/>
            </w:tcBorders>
            <w:shd w:val="clear" w:color="auto" w:fill="auto"/>
            <w:vAlign w:val="center"/>
          </w:tcPr>
          <w:p w14:paraId="09E5A72A"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Karşılaştırma sonucu</w:t>
            </w:r>
          </w:p>
        </w:tc>
      </w:tr>
      <w:tr w:rsidR="009B2AA4" w:rsidRPr="000A40E6" w14:paraId="47F60238" w14:textId="77777777" w:rsidTr="00A3711B">
        <w:trPr>
          <w:jc w:val="center"/>
        </w:trPr>
        <w:tc>
          <w:tcPr>
            <w:tcW w:w="1620" w:type="dxa"/>
            <w:tcBorders>
              <w:bottom w:val="single" w:sz="4" w:space="0" w:color="auto"/>
            </w:tcBorders>
            <w:shd w:val="clear" w:color="auto" w:fill="auto"/>
            <w:vAlign w:val="center"/>
          </w:tcPr>
          <w:p w14:paraId="302D02A3"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Ölçüm zamanı</w:t>
            </w:r>
          </w:p>
        </w:tc>
        <w:tc>
          <w:tcPr>
            <w:tcW w:w="2216" w:type="dxa"/>
            <w:tcBorders>
              <w:top w:val="single" w:sz="4" w:space="0" w:color="auto"/>
              <w:bottom w:val="single" w:sz="4" w:space="0" w:color="auto"/>
            </w:tcBorders>
            <w:shd w:val="clear" w:color="auto" w:fill="auto"/>
            <w:vAlign w:val="center"/>
          </w:tcPr>
          <w:p w14:paraId="5CD23019"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Bukkal</w:t>
            </w:r>
          </w:p>
          <w:p w14:paraId="1F8C7EB7" w14:textId="77777777" w:rsidR="00A4184C" w:rsidRPr="000A40E6" w:rsidRDefault="00A4184C"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49CB0626" w14:textId="6BE5EA3A" w:rsidR="00A4184C" w:rsidRPr="000A40E6" w:rsidRDefault="00A4184C"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2216" w:type="dxa"/>
            <w:tcBorders>
              <w:top w:val="single" w:sz="4" w:space="0" w:color="auto"/>
              <w:bottom w:val="single" w:sz="4" w:space="0" w:color="auto"/>
            </w:tcBorders>
            <w:shd w:val="clear" w:color="auto" w:fill="auto"/>
            <w:vAlign w:val="center"/>
          </w:tcPr>
          <w:p w14:paraId="17533CCF" w14:textId="1BB62888" w:rsidR="00A4184C" w:rsidRPr="000A40E6" w:rsidRDefault="00A4184C"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Palatinal</w:t>
            </w:r>
          </w:p>
          <w:p w14:paraId="729FD05C" w14:textId="363DABB8" w:rsidR="00A4184C" w:rsidRPr="000A40E6" w:rsidRDefault="00A4184C"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0CB7BEF8" w14:textId="76F1822A" w:rsidR="009B2AA4" w:rsidRPr="000A40E6" w:rsidRDefault="00A4184C"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1071" w:type="dxa"/>
            <w:tcBorders>
              <w:top w:val="single" w:sz="4" w:space="0" w:color="auto"/>
              <w:bottom w:val="single" w:sz="4" w:space="0" w:color="auto"/>
            </w:tcBorders>
            <w:shd w:val="clear" w:color="auto" w:fill="auto"/>
            <w:vAlign w:val="center"/>
          </w:tcPr>
          <w:p w14:paraId="0025D76F"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Z</w:t>
            </w:r>
          </w:p>
        </w:tc>
        <w:tc>
          <w:tcPr>
            <w:tcW w:w="1086" w:type="dxa"/>
            <w:tcBorders>
              <w:top w:val="single" w:sz="4" w:space="0" w:color="auto"/>
              <w:bottom w:val="single" w:sz="4" w:space="0" w:color="auto"/>
            </w:tcBorders>
            <w:shd w:val="clear" w:color="auto" w:fill="auto"/>
            <w:vAlign w:val="center"/>
          </w:tcPr>
          <w:p w14:paraId="46C67EA9" w14:textId="77777777" w:rsidR="009B2AA4" w:rsidRPr="000A40E6" w:rsidRDefault="009B2AA4"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p</w:t>
            </w:r>
            <w:proofErr w:type="gramEnd"/>
            <w:r w:rsidRPr="000A40E6">
              <w:rPr>
                <w:rFonts w:eastAsia="Calibri" w:cs="Times New Roman"/>
                <w:b/>
                <w:bCs/>
                <w:sz w:val="20"/>
                <w:szCs w:val="20"/>
              </w:rPr>
              <w:t>-değeri</w:t>
            </w:r>
          </w:p>
        </w:tc>
      </w:tr>
      <w:tr w:rsidR="009B2AA4" w:rsidRPr="000A40E6" w14:paraId="2B8FB5E8" w14:textId="77777777" w:rsidTr="00A3711B">
        <w:trPr>
          <w:jc w:val="center"/>
        </w:trPr>
        <w:tc>
          <w:tcPr>
            <w:tcW w:w="1620" w:type="dxa"/>
            <w:tcBorders>
              <w:top w:val="single" w:sz="4" w:space="0" w:color="auto"/>
            </w:tcBorders>
            <w:shd w:val="clear" w:color="auto" w:fill="auto"/>
            <w:vAlign w:val="center"/>
          </w:tcPr>
          <w:p w14:paraId="43C00AF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T0</w:t>
            </w:r>
          </w:p>
        </w:tc>
        <w:tc>
          <w:tcPr>
            <w:tcW w:w="2216" w:type="dxa"/>
            <w:tcBorders>
              <w:top w:val="single" w:sz="4" w:space="0" w:color="auto"/>
            </w:tcBorders>
            <w:shd w:val="clear" w:color="auto" w:fill="auto"/>
            <w:vAlign w:val="center"/>
          </w:tcPr>
          <w:p w14:paraId="39727449"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220.63±53.19</w:t>
            </w:r>
          </w:p>
        </w:tc>
        <w:tc>
          <w:tcPr>
            <w:tcW w:w="2216" w:type="dxa"/>
            <w:tcBorders>
              <w:top w:val="single" w:sz="4" w:space="0" w:color="auto"/>
            </w:tcBorders>
            <w:shd w:val="clear" w:color="auto" w:fill="auto"/>
            <w:vAlign w:val="center"/>
          </w:tcPr>
          <w:p w14:paraId="76E3EF54"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222.60±52.70</w:t>
            </w:r>
          </w:p>
        </w:tc>
        <w:tc>
          <w:tcPr>
            <w:tcW w:w="1071" w:type="dxa"/>
            <w:tcBorders>
              <w:top w:val="single" w:sz="4" w:space="0" w:color="auto"/>
            </w:tcBorders>
            <w:shd w:val="clear" w:color="auto" w:fill="auto"/>
          </w:tcPr>
          <w:p w14:paraId="21616F6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0.639</w:t>
            </w:r>
          </w:p>
        </w:tc>
        <w:tc>
          <w:tcPr>
            <w:tcW w:w="1086" w:type="dxa"/>
            <w:tcBorders>
              <w:top w:val="single" w:sz="4" w:space="0" w:color="auto"/>
            </w:tcBorders>
            <w:shd w:val="clear" w:color="auto" w:fill="auto"/>
          </w:tcPr>
          <w:p w14:paraId="31FBFFC3"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0.523</w:t>
            </w:r>
          </w:p>
        </w:tc>
      </w:tr>
      <w:tr w:rsidR="009B2AA4" w:rsidRPr="000A40E6" w14:paraId="2D1D66C7" w14:textId="77777777" w:rsidTr="00A3711B">
        <w:trPr>
          <w:jc w:val="center"/>
        </w:trPr>
        <w:tc>
          <w:tcPr>
            <w:tcW w:w="1620" w:type="dxa"/>
            <w:shd w:val="clear" w:color="auto" w:fill="auto"/>
            <w:vAlign w:val="center"/>
          </w:tcPr>
          <w:p w14:paraId="4342457F"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6070E629"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224.48 (</w:t>
            </w:r>
            <w:proofErr w:type="gramStart"/>
            <w:r w:rsidRPr="000A40E6">
              <w:rPr>
                <w:rFonts w:eastAsia="Calibri" w:cs="Times New Roman"/>
                <w:color w:val="000000"/>
                <w:sz w:val="20"/>
                <w:szCs w:val="20"/>
              </w:rPr>
              <w:t>174.12</w:t>
            </w:r>
            <w:proofErr w:type="gramEnd"/>
            <w:r w:rsidRPr="000A40E6">
              <w:rPr>
                <w:rFonts w:eastAsia="Calibri" w:cs="Times New Roman"/>
                <w:color w:val="000000"/>
                <w:sz w:val="20"/>
                <w:szCs w:val="20"/>
              </w:rPr>
              <w:t>-268.25)</w:t>
            </w:r>
          </w:p>
        </w:tc>
        <w:tc>
          <w:tcPr>
            <w:tcW w:w="2216" w:type="dxa"/>
            <w:shd w:val="clear" w:color="auto" w:fill="auto"/>
            <w:vAlign w:val="center"/>
          </w:tcPr>
          <w:p w14:paraId="663AA89B"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227.47 (</w:t>
            </w:r>
            <w:proofErr w:type="gramStart"/>
            <w:r w:rsidRPr="000A40E6">
              <w:rPr>
                <w:rFonts w:eastAsia="Calibri" w:cs="Times New Roman"/>
                <w:color w:val="000000"/>
                <w:sz w:val="20"/>
                <w:szCs w:val="20"/>
              </w:rPr>
              <w:t>182.95</w:t>
            </w:r>
            <w:proofErr w:type="gramEnd"/>
            <w:r w:rsidRPr="000A40E6">
              <w:rPr>
                <w:rFonts w:eastAsia="Calibri" w:cs="Times New Roman"/>
                <w:color w:val="000000"/>
                <w:sz w:val="20"/>
                <w:szCs w:val="20"/>
              </w:rPr>
              <w:t>-272.26)</w:t>
            </w:r>
          </w:p>
        </w:tc>
        <w:tc>
          <w:tcPr>
            <w:tcW w:w="1071" w:type="dxa"/>
            <w:shd w:val="clear" w:color="auto" w:fill="auto"/>
          </w:tcPr>
          <w:p w14:paraId="736329DB"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tcPr>
          <w:p w14:paraId="3E49B7CF"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67D28D7A" w14:textId="77777777" w:rsidTr="00A3711B">
        <w:trPr>
          <w:jc w:val="center"/>
        </w:trPr>
        <w:tc>
          <w:tcPr>
            <w:tcW w:w="1620" w:type="dxa"/>
            <w:shd w:val="clear" w:color="auto" w:fill="auto"/>
            <w:vAlign w:val="center"/>
          </w:tcPr>
          <w:p w14:paraId="5BFCAD5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T1</w:t>
            </w:r>
          </w:p>
        </w:tc>
        <w:tc>
          <w:tcPr>
            <w:tcW w:w="2216" w:type="dxa"/>
            <w:shd w:val="clear" w:color="auto" w:fill="auto"/>
            <w:vAlign w:val="center"/>
          </w:tcPr>
          <w:p w14:paraId="0791F224"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224.45±63.68</w:t>
            </w:r>
          </w:p>
        </w:tc>
        <w:tc>
          <w:tcPr>
            <w:tcW w:w="2216" w:type="dxa"/>
            <w:shd w:val="clear" w:color="auto" w:fill="auto"/>
            <w:vAlign w:val="center"/>
          </w:tcPr>
          <w:p w14:paraId="0503104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226.22±51.03</w:t>
            </w:r>
          </w:p>
        </w:tc>
        <w:tc>
          <w:tcPr>
            <w:tcW w:w="1071" w:type="dxa"/>
            <w:shd w:val="clear" w:color="auto" w:fill="auto"/>
          </w:tcPr>
          <w:p w14:paraId="6193DB9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0.243</w:t>
            </w:r>
          </w:p>
        </w:tc>
        <w:tc>
          <w:tcPr>
            <w:tcW w:w="1086" w:type="dxa"/>
            <w:shd w:val="clear" w:color="auto" w:fill="auto"/>
          </w:tcPr>
          <w:p w14:paraId="005C165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0.808</w:t>
            </w:r>
          </w:p>
        </w:tc>
      </w:tr>
      <w:tr w:rsidR="009B2AA4" w:rsidRPr="000A40E6" w14:paraId="297595DC" w14:textId="77777777" w:rsidTr="00A3711B">
        <w:trPr>
          <w:jc w:val="center"/>
        </w:trPr>
        <w:tc>
          <w:tcPr>
            <w:tcW w:w="1620" w:type="dxa"/>
            <w:shd w:val="clear" w:color="auto" w:fill="auto"/>
            <w:vAlign w:val="center"/>
          </w:tcPr>
          <w:p w14:paraId="138A7B29"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42A37CBB"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255.81 (</w:t>
            </w:r>
            <w:proofErr w:type="gramStart"/>
            <w:r w:rsidRPr="000A40E6">
              <w:rPr>
                <w:rFonts w:eastAsia="Calibri" w:cs="Times New Roman"/>
                <w:color w:val="000000"/>
                <w:sz w:val="20"/>
                <w:szCs w:val="20"/>
              </w:rPr>
              <w:t>178.70</w:t>
            </w:r>
            <w:proofErr w:type="gramEnd"/>
            <w:r w:rsidRPr="000A40E6">
              <w:rPr>
                <w:rFonts w:eastAsia="Calibri" w:cs="Times New Roman"/>
                <w:color w:val="000000"/>
                <w:sz w:val="20"/>
                <w:szCs w:val="20"/>
              </w:rPr>
              <w:t>-273.72)</w:t>
            </w:r>
          </w:p>
        </w:tc>
        <w:tc>
          <w:tcPr>
            <w:tcW w:w="2216" w:type="dxa"/>
            <w:shd w:val="clear" w:color="auto" w:fill="auto"/>
            <w:vAlign w:val="center"/>
          </w:tcPr>
          <w:p w14:paraId="14F4EB8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209.09 (</w:t>
            </w:r>
            <w:proofErr w:type="gramStart"/>
            <w:r w:rsidRPr="000A40E6">
              <w:rPr>
                <w:rFonts w:eastAsia="Calibri" w:cs="Times New Roman"/>
                <w:color w:val="000000"/>
                <w:sz w:val="20"/>
                <w:szCs w:val="20"/>
              </w:rPr>
              <w:t>186.88</w:t>
            </w:r>
            <w:proofErr w:type="gramEnd"/>
            <w:r w:rsidRPr="000A40E6">
              <w:rPr>
                <w:rFonts w:eastAsia="Calibri" w:cs="Times New Roman"/>
                <w:color w:val="000000"/>
                <w:sz w:val="20"/>
                <w:szCs w:val="20"/>
              </w:rPr>
              <w:t>-271.63)</w:t>
            </w:r>
          </w:p>
        </w:tc>
        <w:tc>
          <w:tcPr>
            <w:tcW w:w="1071" w:type="dxa"/>
            <w:shd w:val="clear" w:color="auto" w:fill="auto"/>
          </w:tcPr>
          <w:p w14:paraId="12FD3CFE"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tcPr>
          <w:p w14:paraId="18199BAA"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76219EED" w14:textId="77777777" w:rsidTr="00A3711B">
        <w:trPr>
          <w:jc w:val="center"/>
        </w:trPr>
        <w:tc>
          <w:tcPr>
            <w:tcW w:w="1620" w:type="dxa"/>
            <w:shd w:val="clear" w:color="auto" w:fill="auto"/>
            <w:vAlign w:val="center"/>
          </w:tcPr>
          <w:p w14:paraId="1F02EF3E"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T2</w:t>
            </w:r>
          </w:p>
        </w:tc>
        <w:tc>
          <w:tcPr>
            <w:tcW w:w="2216" w:type="dxa"/>
            <w:shd w:val="clear" w:color="auto" w:fill="auto"/>
            <w:vAlign w:val="center"/>
          </w:tcPr>
          <w:p w14:paraId="4EA0DA9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224.69±45.94</w:t>
            </w:r>
          </w:p>
        </w:tc>
        <w:tc>
          <w:tcPr>
            <w:tcW w:w="2216" w:type="dxa"/>
            <w:shd w:val="clear" w:color="auto" w:fill="auto"/>
            <w:vAlign w:val="center"/>
          </w:tcPr>
          <w:p w14:paraId="0BEEAE1F"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227.68±44.17</w:t>
            </w:r>
          </w:p>
        </w:tc>
        <w:tc>
          <w:tcPr>
            <w:tcW w:w="1071" w:type="dxa"/>
            <w:shd w:val="clear" w:color="auto" w:fill="auto"/>
          </w:tcPr>
          <w:p w14:paraId="5E9A97E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1.247</w:t>
            </w:r>
          </w:p>
        </w:tc>
        <w:tc>
          <w:tcPr>
            <w:tcW w:w="1086" w:type="dxa"/>
            <w:shd w:val="clear" w:color="auto" w:fill="auto"/>
          </w:tcPr>
          <w:p w14:paraId="6BC16A8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0.212</w:t>
            </w:r>
          </w:p>
        </w:tc>
      </w:tr>
      <w:tr w:rsidR="009B2AA4" w:rsidRPr="000A40E6" w14:paraId="02209B56" w14:textId="77777777" w:rsidTr="00A3711B">
        <w:trPr>
          <w:jc w:val="center"/>
        </w:trPr>
        <w:tc>
          <w:tcPr>
            <w:tcW w:w="1620" w:type="dxa"/>
            <w:shd w:val="clear" w:color="auto" w:fill="auto"/>
            <w:vAlign w:val="center"/>
          </w:tcPr>
          <w:p w14:paraId="02DAE61C"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22BA64F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243.41 (</w:t>
            </w:r>
            <w:proofErr w:type="gramStart"/>
            <w:r w:rsidRPr="000A40E6">
              <w:rPr>
                <w:rFonts w:eastAsia="Calibri" w:cs="Times New Roman"/>
                <w:color w:val="000000"/>
                <w:sz w:val="20"/>
                <w:szCs w:val="20"/>
              </w:rPr>
              <w:t>183.80</w:t>
            </w:r>
            <w:proofErr w:type="gramEnd"/>
            <w:r w:rsidRPr="000A40E6">
              <w:rPr>
                <w:rFonts w:eastAsia="Calibri" w:cs="Times New Roman"/>
                <w:color w:val="000000"/>
                <w:sz w:val="20"/>
                <w:szCs w:val="20"/>
              </w:rPr>
              <w:t>-268.04)</w:t>
            </w:r>
          </w:p>
        </w:tc>
        <w:tc>
          <w:tcPr>
            <w:tcW w:w="2216" w:type="dxa"/>
            <w:shd w:val="clear" w:color="auto" w:fill="auto"/>
            <w:vAlign w:val="center"/>
          </w:tcPr>
          <w:p w14:paraId="63C01253"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232.15 (</w:t>
            </w:r>
            <w:proofErr w:type="gramStart"/>
            <w:r w:rsidRPr="000A40E6">
              <w:rPr>
                <w:rFonts w:eastAsia="Calibri" w:cs="Times New Roman"/>
                <w:color w:val="000000"/>
                <w:sz w:val="20"/>
                <w:szCs w:val="20"/>
              </w:rPr>
              <w:t>193.52</w:t>
            </w:r>
            <w:proofErr w:type="gramEnd"/>
            <w:r w:rsidRPr="000A40E6">
              <w:rPr>
                <w:rFonts w:eastAsia="Calibri" w:cs="Times New Roman"/>
                <w:color w:val="000000"/>
                <w:sz w:val="20"/>
                <w:szCs w:val="20"/>
              </w:rPr>
              <w:t>-268.47)</w:t>
            </w:r>
          </w:p>
        </w:tc>
        <w:tc>
          <w:tcPr>
            <w:tcW w:w="1071" w:type="dxa"/>
            <w:shd w:val="clear" w:color="auto" w:fill="auto"/>
            <w:vAlign w:val="center"/>
          </w:tcPr>
          <w:p w14:paraId="5A8BECA4"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45023E66"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140EF45E" w14:textId="77777777" w:rsidTr="00A3711B">
        <w:trPr>
          <w:jc w:val="center"/>
        </w:trPr>
        <w:tc>
          <w:tcPr>
            <w:tcW w:w="1620" w:type="dxa"/>
            <w:shd w:val="clear" w:color="auto" w:fill="auto"/>
            <w:vAlign w:val="center"/>
          </w:tcPr>
          <w:p w14:paraId="37F3E246"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T3</w:t>
            </w:r>
          </w:p>
        </w:tc>
        <w:tc>
          <w:tcPr>
            <w:tcW w:w="2216" w:type="dxa"/>
            <w:shd w:val="clear" w:color="auto" w:fill="auto"/>
            <w:vAlign w:val="center"/>
          </w:tcPr>
          <w:p w14:paraId="223C5B7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227.64±41.54</w:t>
            </w:r>
          </w:p>
        </w:tc>
        <w:tc>
          <w:tcPr>
            <w:tcW w:w="2216" w:type="dxa"/>
            <w:shd w:val="clear" w:color="auto" w:fill="auto"/>
            <w:vAlign w:val="center"/>
          </w:tcPr>
          <w:p w14:paraId="008DD26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227.87±49.96</w:t>
            </w:r>
          </w:p>
        </w:tc>
        <w:tc>
          <w:tcPr>
            <w:tcW w:w="1071" w:type="dxa"/>
            <w:shd w:val="clear" w:color="auto" w:fill="auto"/>
          </w:tcPr>
          <w:p w14:paraId="5BCC872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0.213</w:t>
            </w:r>
          </w:p>
        </w:tc>
        <w:tc>
          <w:tcPr>
            <w:tcW w:w="1086" w:type="dxa"/>
            <w:shd w:val="clear" w:color="auto" w:fill="auto"/>
          </w:tcPr>
          <w:p w14:paraId="506A2B6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0.831</w:t>
            </w:r>
          </w:p>
        </w:tc>
      </w:tr>
      <w:tr w:rsidR="009B2AA4" w:rsidRPr="000A40E6" w14:paraId="5B892002" w14:textId="77777777" w:rsidTr="00A3711B">
        <w:trPr>
          <w:jc w:val="center"/>
        </w:trPr>
        <w:tc>
          <w:tcPr>
            <w:tcW w:w="1620" w:type="dxa"/>
            <w:shd w:val="clear" w:color="auto" w:fill="auto"/>
            <w:vAlign w:val="center"/>
          </w:tcPr>
          <w:p w14:paraId="1CC1829B"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46BC4096"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236.76 (</w:t>
            </w:r>
            <w:proofErr w:type="gramStart"/>
            <w:r w:rsidRPr="000A40E6">
              <w:rPr>
                <w:rFonts w:eastAsia="Calibri" w:cs="Times New Roman"/>
                <w:color w:val="000000"/>
                <w:sz w:val="20"/>
                <w:szCs w:val="20"/>
              </w:rPr>
              <w:t>186.32</w:t>
            </w:r>
            <w:proofErr w:type="gramEnd"/>
            <w:r w:rsidRPr="000A40E6">
              <w:rPr>
                <w:rFonts w:eastAsia="Calibri" w:cs="Times New Roman"/>
                <w:color w:val="000000"/>
                <w:sz w:val="20"/>
                <w:szCs w:val="20"/>
              </w:rPr>
              <w:t>-270.79)</w:t>
            </w:r>
          </w:p>
        </w:tc>
        <w:tc>
          <w:tcPr>
            <w:tcW w:w="2216" w:type="dxa"/>
            <w:shd w:val="clear" w:color="auto" w:fill="auto"/>
            <w:vAlign w:val="center"/>
          </w:tcPr>
          <w:p w14:paraId="3F0690E3"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243.18 (</w:t>
            </w:r>
            <w:proofErr w:type="gramStart"/>
            <w:r w:rsidRPr="000A40E6">
              <w:rPr>
                <w:rFonts w:eastAsia="Calibri" w:cs="Times New Roman"/>
                <w:color w:val="000000"/>
                <w:sz w:val="20"/>
                <w:szCs w:val="20"/>
              </w:rPr>
              <w:t>185.39</w:t>
            </w:r>
            <w:proofErr w:type="gramEnd"/>
            <w:r w:rsidRPr="000A40E6">
              <w:rPr>
                <w:rFonts w:eastAsia="Calibri" w:cs="Times New Roman"/>
                <w:color w:val="000000"/>
                <w:sz w:val="20"/>
                <w:szCs w:val="20"/>
              </w:rPr>
              <w:t>-279.04)</w:t>
            </w:r>
          </w:p>
        </w:tc>
        <w:tc>
          <w:tcPr>
            <w:tcW w:w="1071" w:type="dxa"/>
            <w:shd w:val="clear" w:color="auto" w:fill="auto"/>
            <w:vAlign w:val="center"/>
          </w:tcPr>
          <w:p w14:paraId="79F1187F"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3145BDA5"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72643C76" w14:textId="77777777" w:rsidTr="00A3711B">
        <w:trPr>
          <w:jc w:val="center"/>
        </w:trPr>
        <w:tc>
          <w:tcPr>
            <w:tcW w:w="1620" w:type="dxa"/>
            <w:tcBorders>
              <w:bottom w:val="single" w:sz="4" w:space="0" w:color="auto"/>
            </w:tcBorders>
            <w:shd w:val="clear" w:color="auto" w:fill="auto"/>
            <w:vAlign w:val="center"/>
          </w:tcPr>
          <w:p w14:paraId="369DC7F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χ</w:t>
            </w:r>
            <w:r w:rsidRPr="000A40E6">
              <w:rPr>
                <w:rFonts w:eastAsia="Calibri" w:cs="Times New Roman"/>
                <w:b/>
                <w:bCs/>
                <w:sz w:val="20"/>
                <w:szCs w:val="20"/>
                <w:vertAlign w:val="superscript"/>
              </w:rPr>
              <w:t>2</w:t>
            </w:r>
            <w:r w:rsidRPr="000A40E6">
              <w:rPr>
                <w:rFonts w:eastAsia="Calibri" w:cs="Times New Roman"/>
                <w:b/>
                <w:bCs/>
                <w:sz w:val="20"/>
                <w:szCs w:val="20"/>
              </w:rPr>
              <w:t>, p-değeri</w:t>
            </w:r>
          </w:p>
        </w:tc>
        <w:tc>
          <w:tcPr>
            <w:tcW w:w="2216" w:type="dxa"/>
            <w:tcBorders>
              <w:bottom w:val="single" w:sz="4" w:space="0" w:color="auto"/>
            </w:tcBorders>
            <w:shd w:val="clear" w:color="auto" w:fill="auto"/>
            <w:vAlign w:val="center"/>
          </w:tcPr>
          <w:p w14:paraId="5E0E17E4"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3.574, 0.311</w:t>
            </w:r>
          </w:p>
        </w:tc>
        <w:tc>
          <w:tcPr>
            <w:tcW w:w="2216" w:type="dxa"/>
            <w:tcBorders>
              <w:bottom w:val="single" w:sz="4" w:space="0" w:color="auto"/>
            </w:tcBorders>
            <w:shd w:val="clear" w:color="auto" w:fill="auto"/>
            <w:vAlign w:val="center"/>
          </w:tcPr>
          <w:p w14:paraId="5DB75DA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1.769, 0.622</w:t>
            </w:r>
          </w:p>
        </w:tc>
        <w:tc>
          <w:tcPr>
            <w:tcW w:w="1071" w:type="dxa"/>
            <w:tcBorders>
              <w:bottom w:val="single" w:sz="4" w:space="0" w:color="auto"/>
            </w:tcBorders>
            <w:shd w:val="clear" w:color="auto" w:fill="auto"/>
            <w:vAlign w:val="center"/>
          </w:tcPr>
          <w:p w14:paraId="5E905848"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tcBorders>
              <w:bottom w:val="single" w:sz="4" w:space="0" w:color="auto"/>
            </w:tcBorders>
            <w:shd w:val="clear" w:color="auto" w:fill="auto"/>
            <w:vAlign w:val="center"/>
          </w:tcPr>
          <w:p w14:paraId="6297BE16" w14:textId="77777777" w:rsidR="009B2AA4" w:rsidRPr="000A40E6" w:rsidRDefault="009B2AA4" w:rsidP="00F756C3">
            <w:pPr>
              <w:suppressAutoHyphens/>
              <w:spacing w:line="240" w:lineRule="atLeast"/>
              <w:ind w:firstLine="0"/>
              <w:jc w:val="center"/>
              <w:rPr>
                <w:rFonts w:eastAsia="Calibri" w:cs="Times New Roman"/>
                <w:sz w:val="20"/>
                <w:szCs w:val="20"/>
              </w:rPr>
            </w:pPr>
          </w:p>
        </w:tc>
      </w:tr>
    </w:tbl>
    <w:p w14:paraId="7937CA5B" w14:textId="77777777" w:rsidR="00F756C3" w:rsidRPr="000A40E6" w:rsidRDefault="00F756C3" w:rsidP="00F756C3">
      <w:pPr>
        <w:suppressAutoHyphens/>
        <w:spacing w:before="120" w:after="120" w:line="240" w:lineRule="auto"/>
        <w:ind w:firstLine="0"/>
        <w:rPr>
          <w:rFonts w:eastAsia="Calibri" w:cs="Times New Roman"/>
          <w:sz w:val="20"/>
          <w:szCs w:val="20"/>
        </w:rPr>
      </w:pPr>
      <w:r w:rsidRPr="000A40E6">
        <w:rPr>
          <w:rFonts w:eastAsia="Calibri" w:cs="Times New Roman"/>
          <w:sz w:val="20"/>
          <w:szCs w:val="20"/>
        </w:rPr>
        <w:t xml:space="preserve">Ort: Ortalama, SS: Standart sapma, </w:t>
      </w:r>
      <w:proofErr w:type="gramStart"/>
      <w:r w:rsidRPr="000A40E6">
        <w:rPr>
          <w:rFonts w:eastAsia="Calibri" w:cs="Times New Roman"/>
          <w:sz w:val="20"/>
          <w:szCs w:val="20"/>
        </w:rPr>
        <w:t>ÇAG : Çeyrekler</w:t>
      </w:r>
      <w:proofErr w:type="gramEnd"/>
      <w:r w:rsidRPr="000A40E6">
        <w:rPr>
          <w:rFonts w:eastAsia="Calibri" w:cs="Times New Roman"/>
          <w:sz w:val="20"/>
          <w:szCs w:val="20"/>
        </w:rPr>
        <w:t xml:space="preserve"> arası genişlik.</w:t>
      </w:r>
    </w:p>
    <w:p w14:paraId="6C5AF573" w14:textId="77777777" w:rsidR="00F756C3" w:rsidRPr="000A40E6" w:rsidRDefault="00F756C3" w:rsidP="00F756C3">
      <w:pPr>
        <w:suppressAutoHyphens/>
        <w:spacing w:before="120" w:after="120" w:line="240" w:lineRule="auto"/>
        <w:ind w:firstLine="0"/>
        <w:rPr>
          <w:rFonts w:eastAsia="Calibri" w:cs="Times New Roman"/>
          <w:sz w:val="20"/>
          <w:szCs w:val="20"/>
        </w:rPr>
      </w:pPr>
      <w:r w:rsidRPr="000A40E6">
        <w:rPr>
          <w:rFonts w:eastAsia="Calibri" w:cs="Times New Roman"/>
          <w:sz w:val="20"/>
          <w:szCs w:val="20"/>
        </w:rPr>
        <w:t>Zaman x Bölge etkileşim etkisi için Anova-tipi test istatistiği=0.219, p=0.848</w:t>
      </w:r>
    </w:p>
    <w:p w14:paraId="3679B6D7" w14:textId="77777777" w:rsidR="00F756C3" w:rsidRPr="000A40E6" w:rsidRDefault="00F756C3" w:rsidP="00F756C3">
      <w:pPr>
        <w:suppressAutoHyphens/>
        <w:spacing w:before="120" w:after="120" w:line="240" w:lineRule="auto"/>
        <w:ind w:firstLine="0"/>
        <w:rPr>
          <w:rFonts w:eastAsia="Calibri" w:cs="Times New Roman"/>
          <w:noProof/>
          <w:kern w:val="2"/>
          <w:szCs w:val="24"/>
          <w:lang w:eastAsia="tr-TR"/>
          <w14:ligatures w14:val="standardContextual"/>
        </w:rPr>
      </w:pPr>
    </w:p>
    <w:p w14:paraId="15604FF6" w14:textId="2C263FA4" w:rsidR="00F756C3" w:rsidRPr="000A40E6" w:rsidRDefault="00F756C3" w:rsidP="00F756C3">
      <w:pPr>
        <w:suppressAutoHyphens/>
        <w:spacing w:line="240" w:lineRule="atLeast"/>
        <w:ind w:firstLine="0"/>
        <w:jc w:val="center"/>
        <w:rPr>
          <w:rFonts w:eastAsia="Calibri" w:cs="Times New Roman"/>
          <w:noProof/>
          <w:kern w:val="2"/>
          <w:szCs w:val="24"/>
          <w:lang w:eastAsia="tr-TR"/>
          <w14:ligatures w14:val="standardContextual"/>
        </w:rPr>
      </w:pPr>
      <w:r w:rsidRPr="000A40E6">
        <w:rPr>
          <w:rFonts w:eastAsia="Calibri" w:cs="Times New Roman"/>
          <w:noProof/>
          <w:kern w:val="2"/>
          <w:szCs w:val="24"/>
          <w:lang w:eastAsia="tr-TR"/>
          <w14:ligatures w14:val="standardContextual"/>
        </w:rPr>
        <w:drawing>
          <wp:inline distT="0" distB="0" distL="0" distR="0" wp14:anchorId="52644720" wp14:editId="6845A523">
            <wp:extent cx="4320000" cy="3375481"/>
            <wp:effectExtent l="19050" t="19050" r="23495" b="1587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3375481"/>
                    </a:xfrm>
                    <a:prstGeom prst="rect">
                      <a:avLst/>
                    </a:prstGeom>
                    <a:ln>
                      <a:solidFill>
                        <a:sysClr val="window" lastClr="FFFFFF">
                          <a:lumMod val="50000"/>
                        </a:sysClr>
                      </a:solidFill>
                    </a:ln>
                  </pic:spPr>
                </pic:pic>
              </a:graphicData>
            </a:graphic>
          </wp:inline>
        </w:drawing>
      </w:r>
    </w:p>
    <w:p w14:paraId="2AE84831" w14:textId="77777777" w:rsidR="00F756C3" w:rsidRPr="000A40E6" w:rsidRDefault="00F756C3" w:rsidP="00F756C3">
      <w:pPr>
        <w:suppressAutoHyphens/>
        <w:spacing w:line="240" w:lineRule="atLeast"/>
        <w:ind w:firstLine="0"/>
        <w:jc w:val="center"/>
        <w:rPr>
          <w:rFonts w:eastAsia="Calibri" w:cs="Times New Roman"/>
          <w:kern w:val="2"/>
          <w:szCs w:val="24"/>
          <w14:ligatures w14:val="standardContextual"/>
        </w:rPr>
      </w:pPr>
    </w:p>
    <w:p w14:paraId="78E00255" w14:textId="137AFDFC" w:rsidR="009B2AA4" w:rsidRPr="000A40E6" w:rsidRDefault="0030314B" w:rsidP="00425728">
      <w:pPr>
        <w:suppressAutoHyphens/>
        <w:spacing w:before="120" w:after="120"/>
        <w:ind w:left="567" w:hanging="567"/>
        <w:jc w:val="center"/>
        <w:rPr>
          <w:rFonts w:eastAsia="Calibri" w:cs="Times New Roman"/>
          <w:kern w:val="2"/>
          <w:szCs w:val="24"/>
          <w14:ligatures w14:val="standardContextual"/>
        </w:rPr>
      </w:pPr>
      <w:bookmarkStart w:id="139" w:name="_Toc136381301"/>
      <w:r w:rsidRPr="000A40E6">
        <w:rPr>
          <w:rFonts w:cs="Times New Roman"/>
          <w:b/>
          <w:szCs w:val="24"/>
        </w:rPr>
        <w:t xml:space="preserve">Şekil </w:t>
      </w:r>
      <w:r w:rsidR="003F42DA" w:rsidRPr="000A40E6">
        <w:rPr>
          <w:rFonts w:cs="Times New Roman"/>
          <w:b/>
          <w:noProof/>
          <w:szCs w:val="24"/>
        </w:rPr>
        <w:t>4</w:t>
      </w:r>
      <w:r w:rsidRPr="000A40E6">
        <w:rPr>
          <w:rFonts w:cs="Times New Roman"/>
          <w:b/>
          <w:szCs w:val="24"/>
        </w:rPr>
        <w:t>.</w:t>
      </w:r>
      <w:r w:rsidRPr="000A40E6">
        <w:rPr>
          <w:rFonts w:cs="Times New Roman"/>
          <w:szCs w:val="24"/>
        </w:rPr>
        <w:t xml:space="preserve"> </w:t>
      </w:r>
      <w:r w:rsidR="009B2AA4" w:rsidRPr="000A40E6">
        <w:rPr>
          <w:rFonts w:eastAsia="Calibri" w:cs="Times New Roman"/>
          <w:kern w:val="2"/>
          <w:szCs w:val="24"/>
          <w14:ligatures w14:val="standardContextual"/>
        </w:rPr>
        <w:t>OPG ölçümlerinin zamana ve bölgelere göre dağılımı</w:t>
      </w:r>
      <w:bookmarkEnd w:id="139"/>
      <w:r w:rsidR="00425728" w:rsidRPr="000A40E6">
        <w:rPr>
          <w:rFonts w:eastAsia="Calibri" w:cs="Times New Roman"/>
          <w:kern w:val="2"/>
          <w:szCs w:val="24"/>
          <w14:ligatures w14:val="standardContextual"/>
        </w:rPr>
        <w:t>.</w:t>
      </w:r>
    </w:p>
    <w:p w14:paraId="76CF8BDD" w14:textId="77777777" w:rsidR="00A3711B" w:rsidRPr="000A40E6" w:rsidRDefault="00A3711B">
      <w:pPr>
        <w:spacing w:after="200" w:line="276" w:lineRule="auto"/>
        <w:ind w:firstLine="0"/>
        <w:jc w:val="left"/>
        <w:rPr>
          <w:rFonts w:eastAsia="Calibri" w:cs="Times New Roman"/>
          <w:kern w:val="2"/>
          <w:szCs w:val="24"/>
          <w14:ligatures w14:val="standardContextual"/>
        </w:rPr>
      </w:pPr>
      <w:r w:rsidRPr="000A40E6">
        <w:rPr>
          <w:rFonts w:eastAsia="Calibri" w:cs="Times New Roman"/>
          <w:kern w:val="2"/>
          <w:szCs w:val="24"/>
          <w14:ligatures w14:val="standardContextual"/>
        </w:rPr>
        <w:br w:type="page"/>
      </w:r>
    </w:p>
    <w:p w14:paraId="0CA53473" w14:textId="08C4892F" w:rsidR="009B2AA4" w:rsidRPr="000A40E6" w:rsidRDefault="009B2AA4"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Bukk</w:t>
      </w:r>
      <w:r w:rsidR="004926C4" w:rsidRPr="000A40E6">
        <w:rPr>
          <w:rFonts w:eastAsia="Calibri" w:cs="Times New Roman"/>
          <w:kern w:val="2"/>
          <w:szCs w:val="24"/>
          <w14:ligatures w14:val="standardContextual"/>
        </w:rPr>
        <w:t xml:space="preserve">al ve palatinal bölgeler için </w:t>
      </w:r>
      <w:r w:rsidRPr="000A40E6">
        <w:rPr>
          <w:rFonts w:eastAsia="Calibri" w:cs="Times New Roman"/>
          <w:kern w:val="2"/>
          <w:szCs w:val="24"/>
          <w14:ligatures w14:val="standardContextual"/>
        </w:rPr>
        <w:t>TNF-α ölçümlerinin zamanla değişmediği görülmüştür (sıras</w:t>
      </w:r>
      <w:r w:rsidR="00E463A1" w:rsidRPr="000A40E6">
        <w:rPr>
          <w:rFonts w:eastAsia="Calibri" w:cs="Times New Roman"/>
          <w:kern w:val="2"/>
          <w:szCs w:val="24"/>
          <w14:ligatures w14:val="standardContextual"/>
        </w:rPr>
        <w:t>ıyla p=0.216 ve p=0.931, Tablo 11</w:t>
      </w:r>
      <w:r w:rsidRPr="000A40E6">
        <w:rPr>
          <w:rFonts w:eastAsia="Calibri" w:cs="Times New Roman"/>
          <w:kern w:val="2"/>
          <w:szCs w:val="24"/>
          <w14:ligatures w14:val="standardContextual"/>
        </w:rPr>
        <w:t>, Şekil 5). T0, T2 ve T3 zamanlarında palatinal bölgenin t-TNF-α düzeyi, bukkal bölgeye göre</w:t>
      </w:r>
      <w:r w:rsidR="00E12E46" w:rsidRPr="000A40E6">
        <w:rPr>
          <w:rFonts w:eastAsia="Calibri" w:cs="Times New Roman"/>
          <w:kern w:val="2"/>
          <w:szCs w:val="24"/>
          <w14:ligatures w14:val="standardContextual"/>
        </w:rPr>
        <w:t xml:space="preserve"> istatistiksel olarak</w:t>
      </w:r>
      <w:r w:rsidRPr="000A40E6">
        <w:rPr>
          <w:rFonts w:eastAsia="Calibri" w:cs="Times New Roman"/>
          <w:kern w:val="2"/>
          <w:szCs w:val="24"/>
          <w14:ligatures w14:val="standardContextual"/>
        </w:rPr>
        <w:t xml:space="preserve"> anlamlı düzeyde daha yüksektir (sırasıyla p=0.005, p=0.042 ve p=0.006). T1 zamanında ise bukkal v</w:t>
      </w:r>
      <w:r w:rsidR="004926C4" w:rsidRPr="000A40E6">
        <w:rPr>
          <w:rFonts w:eastAsia="Calibri" w:cs="Times New Roman"/>
          <w:kern w:val="2"/>
          <w:szCs w:val="24"/>
          <w14:ligatures w14:val="standardContextual"/>
        </w:rPr>
        <w:t xml:space="preserve">e palatinal bölgeler arasında </w:t>
      </w:r>
      <w:r w:rsidRPr="000A40E6">
        <w:rPr>
          <w:rFonts w:eastAsia="Calibri" w:cs="Times New Roman"/>
          <w:kern w:val="2"/>
          <w:szCs w:val="24"/>
          <w14:ligatures w14:val="standardContextual"/>
        </w:rPr>
        <w:t>TNF-α düzeyi bakımından istatistiksel olarak anlamlı bir fark görülmemiştir (p=0.248).</w:t>
      </w:r>
    </w:p>
    <w:p w14:paraId="38D9CEFC" w14:textId="77777777" w:rsidR="009B2AA4" w:rsidRPr="000A40E6" w:rsidRDefault="009B2AA4" w:rsidP="00F756C3">
      <w:pPr>
        <w:suppressAutoHyphens/>
        <w:spacing w:after="120"/>
        <w:rPr>
          <w:rFonts w:eastAsia="Calibri" w:cs="Times New Roman"/>
          <w:kern w:val="2"/>
          <w:szCs w:val="24"/>
          <w14:ligatures w14:val="standardContextual"/>
        </w:rPr>
      </w:pPr>
    </w:p>
    <w:p w14:paraId="16E65DA9" w14:textId="10A48B26" w:rsidR="009B2AA4" w:rsidRPr="000A40E6" w:rsidRDefault="00E30879" w:rsidP="00F756C3">
      <w:pPr>
        <w:pStyle w:val="ResimYazs"/>
        <w:suppressAutoHyphens/>
        <w:spacing w:before="120" w:after="120" w:line="360" w:lineRule="auto"/>
        <w:ind w:left="567" w:hanging="567"/>
        <w:jc w:val="both"/>
        <w:rPr>
          <w:rFonts w:eastAsia="Calibri" w:cs="Times New Roman"/>
          <w:b w:val="0"/>
          <w:color w:val="auto"/>
          <w:kern w:val="2"/>
          <w:sz w:val="24"/>
          <w:szCs w:val="24"/>
          <w14:ligatures w14:val="standardContextual"/>
        </w:rPr>
      </w:pPr>
      <w:bookmarkStart w:id="140" w:name="_Toc136383401"/>
      <w:r w:rsidRPr="000A40E6">
        <w:rPr>
          <w:rFonts w:cs="Times New Roman"/>
          <w:color w:val="auto"/>
          <w:sz w:val="24"/>
          <w:szCs w:val="24"/>
        </w:rPr>
        <w:t>Tablo</w:t>
      </w:r>
      <w:r w:rsidR="00E463A1" w:rsidRPr="000A40E6">
        <w:rPr>
          <w:rFonts w:cs="Times New Roman"/>
          <w:color w:val="auto"/>
          <w:sz w:val="24"/>
          <w:szCs w:val="24"/>
        </w:rPr>
        <w:t xml:space="preserve"> 11</w:t>
      </w:r>
      <w:r w:rsidR="004926C4" w:rsidRPr="000A40E6">
        <w:rPr>
          <w:rFonts w:cs="Times New Roman"/>
          <w:color w:val="auto"/>
          <w:sz w:val="24"/>
          <w:szCs w:val="24"/>
        </w:rPr>
        <w:t xml:space="preserve">. </w:t>
      </w:r>
      <w:r w:rsidR="009B2AA4" w:rsidRPr="000A40E6">
        <w:rPr>
          <w:rFonts w:eastAsia="Calibri" w:cs="Times New Roman"/>
          <w:b w:val="0"/>
          <w:color w:val="auto"/>
          <w:kern w:val="2"/>
          <w:sz w:val="24"/>
          <w:szCs w:val="24"/>
          <w14:ligatures w14:val="standardContextual"/>
        </w:rPr>
        <w:t>TNF-α</w:t>
      </w:r>
      <w:r w:rsidR="002E1B3F" w:rsidRPr="000A40E6">
        <w:rPr>
          <w:rFonts w:eastAsia="Calibri" w:cs="Times New Roman"/>
          <w:b w:val="0"/>
          <w:color w:val="auto"/>
          <w:kern w:val="2"/>
          <w:sz w:val="24"/>
          <w:szCs w:val="24"/>
          <w14:ligatures w14:val="standardContextual"/>
        </w:rPr>
        <w:t xml:space="preserve"> düzeyinin</w:t>
      </w:r>
      <w:r w:rsidR="009B2AA4" w:rsidRPr="000A40E6">
        <w:rPr>
          <w:rFonts w:eastAsia="Calibri" w:cs="Times New Roman"/>
          <w:b w:val="0"/>
          <w:color w:val="auto"/>
          <w:kern w:val="2"/>
          <w:sz w:val="24"/>
          <w:szCs w:val="24"/>
          <w14:ligatures w14:val="standardContextual"/>
        </w:rPr>
        <w:t xml:space="preserve"> zamana ve bölgelere göre dağılımı</w:t>
      </w:r>
      <w:bookmarkEnd w:id="140"/>
      <w:r w:rsidR="00425728" w:rsidRPr="000A40E6">
        <w:rPr>
          <w:rFonts w:eastAsia="Calibri" w:cs="Times New Roman"/>
          <w:b w:val="0"/>
          <w:color w:val="auto"/>
          <w:kern w:val="2"/>
          <w:sz w:val="24"/>
          <w:szCs w:val="24"/>
          <w14:ligatures w14:val="standardContextual"/>
        </w:rPr>
        <w:t>.</w:t>
      </w:r>
    </w:p>
    <w:tbl>
      <w:tblPr>
        <w:tblStyle w:val="TabloKlavuzu2"/>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8"/>
        <w:gridCol w:w="2296"/>
        <w:gridCol w:w="2296"/>
        <w:gridCol w:w="1110"/>
        <w:gridCol w:w="1125"/>
      </w:tblGrid>
      <w:tr w:rsidR="009B2AA4" w:rsidRPr="000A40E6" w14:paraId="6E915E83" w14:textId="77777777" w:rsidTr="00A3711B">
        <w:trPr>
          <w:jc w:val="center"/>
        </w:trPr>
        <w:tc>
          <w:tcPr>
            <w:tcW w:w="1620" w:type="dxa"/>
            <w:tcBorders>
              <w:top w:val="single" w:sz="4" w:space="0" w:color="auto"/>
            </w:tcBorders>
            <w:shd w:val="clear" w:color="auto" w:fill="auto"/>
            <w:vAlign w:val="center"/>
          </w:tcPr>
          <w:p w14:paraId="1EA3D425" w14:textId="77777777" w:rsidR="009B2AA4" w:rsidRPr="000A40E6" w:rsidRDefault="009B2AA4"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t</w:t>
            </w:r>
            <w:proofErr w:type="gramEnd"/>
            <w:r w:rsidRPr="000A40E6">
              <w:rPr>
                <w:rFonts w:eastAsia="Calibri" w:cs="Times New Roman"/>
                <w:b/>
                <w:bCs/>
                <w:sz w:val="20"/>
                <w:szCs w:val="20"/>
              </w:rPr>
              <w:t>-TNF-α (ng/L)</w:t>
            </w:r>
          </w:p>
        </w:tc>
        <w:tc>
          <w:tcPr>
            <w:tcW w:w="4432" w:type="dxa"/>
            <w:gridSpan w:val="2"/>
            <w:tcBorders>
              <w:top w:val="single" w:sz="4" w:space="0" w:color="auto"/>
              <w:bottom w:val="single" w:sz="4" w:space="0" w:color="auto"/>
            </w:tcBorders>
            <w:shd w:val="clear" w:color="auto" w:fill="auto"/>
            <w:vAlign w:val="center"/>
          </w:tcPr>
          <w:p w14:paraId="0E0E4851"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Bölge</w:t>
            </w:r>
          </w:p>
        </w:tc>
        <w:tc>
          <w:tcPr>
            <w:tcW w:w="2157" w:type="dxa"/>
            <w:gridSpan w:val="2"/>
            <w:tcBorders>
              <w:top w:val="single" w:sz="4" w:space="0" w:color="auto"/>
              <w:bottom w:val="single" w:sz="4" w:space="0" w:color="auto"/>
            </w:tcBorders>
            <w:shd w:val="clear" w:color="auto" w:fill="auto"/>
            <w:vAlign w:val="center"/>
          </w:tcPr>
          <w:p w14:paraId="54F8F9BB"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Karşılaştırma sonucu</w:t>
            </w:r>
          </w:p>
        </w:tc>
      </w:tr>
      <w:tr w:rsidR="009B2AA4" w:rsidRPr="000A40E6" w14:paraId="604CC3A9" w14:textId="77777777" w:rsidTr="00A3711B">
        <w:trPr>
          <w:jc w:val="center"/>
        </w:trPr>
        <w:tc>
          <w:tcPr>
            <w:tcW w:w="1620" w:type="dxa"/>
            <w:tcBorders>
              <w:bottom w:val="single" w:sz="4" w:space="0" w:color="auto"/>
            </w:tcBorders>
            <w:shd w:val="clear" w:color="auto" w:fill="auto"/>
            <w:vAlign w:val="center"/>
          </w:tcPr>
          <w:p w14:paraId="59E3B0CA"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Ölçüm zamanı</w:t>
            </w:r>
          </w:p>
        </w:tc>
        <w:tc>
          <w:tcPr>
            <w:tcW w:w="2216" w:type="dxa"/>
            <w:tcBorders>
              <w:top w:val="single" w:sz="4" w:space="0" w:color="auto"/>
              <w:bottom w:val="single" w:sz="4" w:space="0" w:color="auto"/>
            </w:tcBorders>
            <w:shd w:val="clear" w:color="auto" w:fill="auto"/>
            <w:vAlign w:val="center"/>
          </w:tcPr>
          <w:p w14:paraId="0C93F30A"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Bukkal</w:t>
            </w:r>
          </w:p>
          <w:p w14:paraId="17768E8C" w14:textId="77777777" w:rsidR="00A460B2" w:rsidRPr="000A40E6" w:rsidRDefault="00A460B2"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0F021020" w14:textId="3A4761B5" w:rsidR="00A460B2" w:rsidRPr="000A40E6" w:rsidRDefault="00A460B2"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2216" w:type="dxa"/>
            <w:tcBorders>
              <w:top w:val="single" w:sz="4" w:space="0" w:color="auto"/>
              <w:bottom w:val="single" w:sz="4" w:space="0" w:color="auto"/>
            </w:tcBorders>
            <w:shd w:val="clear" w:color="auto" w:fill="auto"/>
            <w:vAlign w:val="center"/>
          </w:tcPr>
          <w:p w14:paraId="0E5DAA24" w14:textId="5617A8D7" w:rsidR="00A460B2" w:rsidRPr="000A40E6" w:rsidRDefault="00A460B2"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Palatinal</w:t>
            </w:r>
          </w:p>
          <w:p w14:paraId="3E60764C" w14:textId="3A54E831" w:rsidR="00A460B2" w:rsidRPr="000A40E6" w:rsidRDefault="00A460B2" w:rsidP="00F756C3">
            <w:pPr>
              <w:suppressAutoHyphens/>
              <w:spacing w:line="240" w:lineRule="atLeast"/>
              <w:ind w:firstLine="0"/>
              <w:jc w:val="center"/>
              <w:rPr>
                <w:rFonts w:eastAsia="Calibri" w:cs="Times New Roman"/>
                <w:b/>
                <w:sz w:val="20"/>
                <w:szCs w:val="20"/>
              </w:rPr>
            </w:pPr>
            <w:r w:rsidRPr="000A40E6">
              <w:rPr>
                <w:rFonts w:eastAsia="Calibri" w:cs="Times New Roman"/>
                <w:b/>
                <w:bCs/>
                <w:sz w:val="20"/>
                <w:szCs w:val="20"/>
              </w:rPr>
              <w:t>Ort</w:t>
            </w:r>
            <w:r w:rsidRPr="000A40E6">
              <w:rPr>
                <w:rFonts w:eastAsia="Calibri" w:cs="Times New Roman"/>
                <w:b/>
                <w:sz w:val="20"/>
                <w:szCs w:val="20"/>
              </w:rPr>
              <w:t>±SS</w:t>
            </w:r>
          </w:p>
          <w:p w14:paraId="5D314DD3" w14:textId="64B533DE" w:rsidR="009B2AA4" w:rsidRPr="000A40E6" w:rsidRDefault="00A460B2" w:rsidP="00F756C3">
            <w:pPr>
              <w:suppressAutoHyphens/>
              <w:spacing w:line="240" w:lineRule="atLeast"/>
              <w:ind w:firstLine="0"/>
              <w:jc w:val="center"/>
              <w:rPr>
                <w:rFonts w:eastAsia="Calibri" w:cs="Times New Roman"/>
                <w:b/>
                <w:bCs/>
                <w:sz w:val="20"/>
                <w:szCs w:val="20"/>
              </w:rPr>
            </w:pPr>
            <w:r w:rsidRPr="000A40E6">
              <w:rPr>
                <w:rFonts w:eastAsia="Calibri" w:cs="Times New Roman"/>
                <w:b/>
                <w:sz w:val="20"/>
                <w:szCs w:val="20"/>
              </w:rPr>
              <w:t>Ortanca (ÇAG)</w:t>
            </w:r>
          </w:p>
        </w:tc>
        <w:tc>
          <w:tcPr>
            <w:tcW w:w="1071" w:type="dxa"/>
            <w:tcBorders>
              <w:top w:val="single" w:sz="4" w:space="0" w:color="auto"/>
              <w:bottom w:val="single" w:sz="4" w:space="0" w:color="auto"/>
            </w:tcBorders>
            <w:shd w:val="clear" w:color="auto" w:fill="auto"/>
            <w:vAlign w:val="center"/>
          </w:tcPr>
          <w:p w14:paraId="47838C51"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Z</w:t>
            </w:r>
          </w:p>
        </w:tc>
        <w:tc>
          <w:tcPr>
            <w:tcW w:w="1086" w:type="dxa"/>
            <w:tcBorders>
              <w:top w:val="single" w:sz="4" w:space="0" w:color="auto"/>
              <w:bottom w:val="single" w:sz="4" w:space="0" w:color="auto"/>
            </w:tcBorders>
            <w:shd w:val="clear" w:color="auto" w:fill="auto"/>
            <w:vAlign w:val="center"/>
          </w:tcPr>
          <w:p w14:paraId="1CAAD226" w14:textId="77777777" w:rsidR="009B2AA4" w:rsidRPr="000A40E6" w:rsidRDefault="009B2AA4" w:rsidP="00F756C3">
            <w:pPr>
              <w:suppressAutoHyphens/>
              <w:spacing w:line="240" w:lineRule="atLeast"/>
              <w:ind w:firstLine="0"/>
              <w:jc w:val="center"/>
              <w:rPr>
                <w:rFonts w:eastAsia="Calibri" w:cs="Times New Roman"/>
                <w:b/>
                <w:bCs/>
                <w:sz w:val="20"/>
                <w:szCs w:val="20"/>
              </w:rPr>
            </w:pPr>
            <w:proofErr w:type="gramStart"/>
            <w:r w:rsidRPr="000A40E6">
              <w:rPr>
                <w:rFonts w:eastAsia="Calibri" w:cs="Times New Roman"/>
                <w:b/>
                <w:bCs/>
                <w:sz w:val="20"/>
                <w:szCs w:val="20"/>
              </w:rPr>
              <w:t>p</w:t>
            </w:r>
            <w:proofErr w:type="gramEnd"/>
            <w:r w:rsidRPr="000A40E6">
              <w:rPr>
                <w:rFonts w:eastAsia="Calibri" w:cs="Times New Roman"/>
                <w:b/>
                <w:bCs/>
                <w:sz w:val="20"/>
                <w:szCs w:val="20"/>
              </w:rPr>
              <w:t>-değeri</w:t>
            </w:r>
          </w:p>
        </w:tc>
      </w:tr>
      <w:tr w:rsidR="009B2AA4" w:rsidRPr="000A40E6" w14:paraId="1B7B2092" w14:textId="77777777" w:rsidTr="00A3711B">
        <w:trPr>
          <w:jc w:val="center"/>
        </w:trPr>
        <w:tc>
          <w:tcPr>
            <w:tcW w:w="1620" w:type="dxa"/>
            <w:tcBorders>
              <w:top w:val="single" w:sz="4" w:space="0" w:color="auto"/>
            </w:tcBorders>
            <w:shd w:val="clear" w:color="auto" w:fill="auto"/>
            <w:vAlign w:val="center"/>
          </w:tcPr>
          <w:p w14:paraId="7BFB0BA6"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T0</w:t>
            </w:r>
          </w:p>
        </w:tc>
        <w:tc>
          <w:tcPr>
            <w:tcW w:w="2216" w:type="dxa"/>
            <w:tcBorders>
              <w:top w:val="single" w:sz="4" w:space="0" w:color="auto"/>
            </w:tcBorders>
            <w:shd w:val="clear" w:color="auto" w:fill="auto"/>
            <w:vAlign w:val="center"/>
          </w:tcPr>
          <w:p w14:paraId="68FAD6A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282.52±</w:t>
            </w:r>
            <w:proofErr w:type="gramStart"/>
            <w:r w:rsidRPr="000A40E6">
              <w:rPr>
                <w:rFonts w:eastAsia="Calibri" w:cs="Times New Roman"/>
                <w:color w:val="000000"/>
                <w:sz w:val="20"/>
                <w:szCs w:val="20"/>
              </w:rPr>
              <w:t>104.42</w:t>
            </w:r>
            <w:proofErr w:type="gramEnd"/>
          </w:p>
        </w:tc>
        <w:tc>
          <w:tcPr>
            <w:tcW w:w="2216" w:type="dxa"/>
            <w:tcBorders>
              <w:top w:val="single" w:sz="4" w:space="0" w:color="auto"/>
            </w:tcBorders>
            <w:shd w:val="clear" w:color="auto" w:fill="auto"/>
            <w:vAlign w:val="center"/>
          </w:tcPr>
          <w:p w14:paraId="7A0A1F3B"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343.98±</w:t>
            </w:r>
            <w:proofErr w:type="gramStart"/>
            <w:r w:rsidRPr="000A40E6">
              <w:rPr>
                <w:rFonts w:eastAsia="Calibri" w:cs="Times New Roman"/>
                <w:color w:val="000000"/>
                <w:sz w:val="20"/>
                <w:szCs w:val="20"/>
              </w:rPr>
              <w:t>78.2</w:t>
            </w:r>
            <w:proofErr w:type="gramEnd"/>
          </w:p>
        </w:tc>
        <w:tc>
          <w:tcPr>
            <w:tcW w:w="1071" w:type="dxa"/>
            <w:tcBorders>
              <w:top w:val="single" w:sz="4" w:space="0" w:color="auto"/>
            </w:tcBorders>
            <w:shd w:val="clear" w:color="auto" w:fill="auto"/>
          </w:tcPr>
          <w:p w14:paraId="715D14B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2.829</w:t>
            </w:r>
          </w:p>
        </w:tc>
        <w:tc>
          <w:tcPr>
            <w:tcW w:w="1086" w:type="dxa"/>
            <w:tcBorders>
              <w:top w:val="single" w:sz="4" w:space="0" w:color="auto"/>
            </w:tcBorders>
            <w:shd w:val="clear" w:color="auto" w:fill="auto"/>
          </w:tcPr>
          <w:p w14:paraId="1AF09B1B"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0.005</w:t>
            </w:r>
          </w:p>
        </w:tc>
      </w:tr>
      <w:tr w:rsidR="009B2AA4" w:rsidRPr="000A40E6" w14:paraId="3E26E310" w14:textId="77777777" w:rsidTr="00A3711B">
        <w:trPr>
          <w:jc w:val="center"/>
        </w:trPr>
        <w:tc>
          <w:tcPr>
            <w:tcW w:w="1620" w:type="dxa"/>
            <w:shd w:val="clear" w:color="auto" w:fill="auto"/>
            <w:vAlign w:val="center"/>
          </w:tcPr>
          <w:p w14:paraId="5D9D38A2"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73929682"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296.45 (</w:t>
            </w:r>
            <w:proofErr w:type="gramStart"/>
            <w:r w:rsidRPr="000A40E6">
              <w:rPr>
                <w:rFonts w:eastAsia="Calibri" w:cs="Times New Roman"/>
                <w:color w:val="000000"/>
                <w:sz w:val="20"/>
                <w:szCs w:val="20"/>
              </w:rPr>
              <w:t>173.77</w:t>
            </w:r>
            <w:proofErr w:type="gramEnd"/>
            <w:r w:rsidRPr="000A40E6">
              <w:rPr>
                <w:rFonts w:eastAsia="Calibri" w:cs="Times New Roman"/>
                <w:color w:val="000000"/>
                <w:sz w:val="20"/>
                <w:szCs w:val="20"/>
              </w:rPr>
              <w:t>-366.80)</w:t>
            </w:r>
          </w:p>
        </w:tc>
        <w:tc>
          <w:tcPr>
            <w:tcW w:w="2216" w:type="dxa"/>
            <w:shd w:val="clear" w:color="auto" w:fill="auto"/>
            <w:vAlign w:val="center"/>
          </w:tcPr>
          <w:p w14:paraId="59A4FC8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339.25 (</w:t>
            </w:r>
            <w:proofErr w:type="gramStart"/>
            <w:r w:rsidRPr="000A40E6">
              <w:rPr>
                <w:rFonts w:eastAsia="Calibri" w:cs="Times New Roman"/>
                <w:color w:val="000000"/>
                <w:sz w:val="20"/>
                <w:szCs w:val="20"/>
              </w:rPr>
              <w:t>288.76</w:t>
            </w:r>
            <w:proofErr w:type="gramEnd"/>
            <w:r w:rsidRPr="000A40E6">
              <w:rPr>
                <w:rFonts w:eastAsia="Calibri" w:cs="Times New Roman"/>
                <w:color w:val="000000"/>
                <w:sz w:val="20"/>
                <w:szCs w:val="20"/>
              </w:rPr>
              <w:t>-373.82)</w:t>
            </w:r>
          </w:p>
        </w:tc>
        <w:tc>
          <w:tcPr>
            <w:tcW w:w="1071" w:type="dxa"/>
            <w:shd w:val="clear" w:color="auto" w:fill="auto"/>
          </w:tcPr>
          <w:p w14:paraId="29779D55"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tcPr>
          <w:p w14:paraId="6CDB8FC1"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369971DC" w14:textId="77777777" w:rsidTr="00A3711B">
        <w:trPr>
          <w:jc w:val="center"/>
        </w:trPr>
        <w:tc>
          <w:tcPr>
            <w:tcW w:w="1620" w:type="dxa"/>
            <w:shd w:val="clear" w:color="auto" w:fill="auto"/>
            <w:vAlign w:val="center"/>
          </w:tcPr>
          <w:p w14:paraId="74E1B1B4"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T1</w:t>
            </w:r>
          </w:p>
        </w:tc>
        <w:tc>
          <w:tcPr>
            <w:tcW w:w="2216" w:type="dxa"/>
            <w:shd w:val="clear" w:color="auto" w:fill="auto"/>
            <w:vAlign w:val="center"/>
          </w:tcPr>
          <w:p w14:paraId="116B3EE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331.99±78.33</w:t>
            </w:r>
          </w:p>
        </w:tc>
        <w:tc>
          <w:tcPr>
            <w:tcW w:w="2216" w:type="dxa"/>
            <w:shd w:val="clear" w:color="auto" w:fill="auto"/>
            <w:vAlign w:val="center"/>
          </w:tcPr>
          <w:p w14:paraId="5A57F436"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349.10±70.37</w:t>
            </w:r>
          </w:p>
        </w:tc>
        <w:tc>
          <w:tcPr>
            <w:tcW w:w="1071" w:type="dxa"/>
            <w:shd w:val="clear" w:color="auto" w:fill="auto"/>
          </w:tcPr>
          <w:p w14:paraId="7B40977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1.156</w:t>
            </w:r>
          </w:p>
        </w:tc>
        <w:tc>
          <w:tcPr>
            <w:tcW w:w="1086" w:type="dxa"/>
            <w:shd w:val="clear" w:color="auto" w:fill="auto"/>
          </w:tcPr>
          <w:p w14:paraId="780017AE"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0.248</w:t>
            </w:r>
          </w:p>
        </w:tc>
      </w:tr>
      <w:tr w:rsidR="009B2AA4" w:rsidRPr="000A40E6" w14:paraId="65B7BA9B" w14:textId="77777777" w:rsidTr="00A3711B">
        <w:trPr>
          <w:jc w:val="center"/>
        </w:trPr>
        <w:tc>
          <w:tcPr>
            <w:tcW w:w="1620" w:type="dxa"/>
            <w:shd w:val="clear" w:color="auto" w:fill="auto"/>
            <w:vAlign w:val="center"/>
          </w:tcPr>
          <w:p w14:paraId="37B1E44E"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3E9066F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318.50 (</w:t>
            </w:r>
            <w:proofErr w:type="gramStart"/>
            <w:r w:rsidRPr="000A40E6">
              <w:rPr>
                <w:rFonts w:eastAsia="Calibri" w:cs="Times New Roman"/>
                <w:color w:val="000000"/>
                <w:sz w:val="20"/>
                <w:szCs w:val="20"/>
              </w:rPr>
              <w:t>281.31</w:t>
            </w:r>
            <w:proofErr w:type="gramEnd"/>
            <w:r w:rsidRPr="000A40E6">
              <w:rPr>
                <w:rFonts w:eastAsia="Calibri" w:cs="Times New Roman"/>
                <w:color w:val="000000"/>
                <w:sz w:val="20"/>
                <w:szCs w:val="20"/>
              </w:rPr>
              <w:t>-376.71)</w:t>
            </w:r>
          </w:p>
        </w:tc>
        <w:tc>
          <w:tcPr>
            <w:tcW w:w="2216" w:type="dxa"/>
            <w:shd w:val="clear" w:color="auto" w:fill="auto"/>
            <w:vAlign w:val="center"/>
          </w:tcPr>
          <w:p w14:paraId="44CA06E3"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365.61 (</w:t>
            </w:r>
            <w:proofErr w:type="gramStart"/>
            <w:r w:rsidRPr="000A40E6">
              <w:rPr>
                <w:rFonts w:eastAsia="Calibri" w:cs="Times New Roman"/>
                <w:color w:val="000000"/>
                <w:sz w:val="20"/>
                <w:szCs w:val="20"/>
              </w:rPr>
              <w:t>312.83</w:t>
            </w:r>
            <w:proofErr w:type="gramEnd"/>
            <w:r w:rsidRPr="000A40E6">
              <w:rPr>
                <w:rFonts w:eastAsia="Calibri" w:cs="Times New Roman"/>
                <w:color w:val="000000"/>
                <w:sz w:val="20"/>
                <w:szCs w:val="20"/>
              </w:rPr>
              <w:t>-391.62)</w:t>
            </w:r>
          </w:p>
        </w:tc>
        <w:tc>
          <w:tcPr>
            <w:tcW w:w="1071" w:type="dxa"/>
            <w:shd w:val="clear" w:color="auto" w:fill="auto"/>
          </w:tcPr>
          <w:p w14:paraId="15771C6B"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tcPr>
          <w:p w14:paraId="1589E235"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0F6E5004" w14:textId="77777777" w:rsidTr="00A3711B">
        <w:trPr>
          <w:jc w:val="center"/>
        </w:trPr>
        <w:tc>
          <w:tcPr>
            <w:tcW w:w="1620" w:type="dxa"/>
            <w:shd w:val="clear" w:color="auto" w:fill="auto"/>
            <w:vAlign w:val="center"/>
          </w:tcPr>
          <w:p w14:paraId="547EC4B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T2</w:t>
            </w:r>
          </w:p>
        </w:tc>
        <w:tc>
          <w:tcPr>
            <w:tcW w:w="2216" w:type="dxa"/>
            <w:shd w:val="clear" w:color="auto" w:fill="auto"/>
            <w:vAlign w:val="center"/>
          </w:tcPr>
          <w:p w14:paraId="1E4D9CB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305.74±70.92</w:t>
            </w:r>
          </w:p>
        </w:tc>
        <w:tc>
          <w:tcPr>
            <w:tcW w:w="2216" w:type="dxa"/>
            <w:shd w:val="clear" w:color="auto" w:fill="auto"/>
            <w:vAlign w:val="center"/>
          </w:tcPr>
          <w:p w14:paraId="2281D21A"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352.92±71.47</w:t>
            </w:r>
          </w:p>
        </w:tc>
        <w:tc>
          <w:tcPr>
            <w:tcW w:w="1071" w:type="dxa"/>
            <w:shd w:val="clear" w:color="auto" w:fill="auto"/>
          </w:tcPr>
          <w:p w14:paraId="6965FD12"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2.038</w:t>
            </w:r>
          </w:p>
        </w:tc>
        <w:tc>
          <w:tcPr>
            <w:tcW w:w="1086" w:type="dxa"/>
            <w:shd w:val="clear" w:color="auto" w:fill="auto"/>
          </w:tcPr>
          <w:p w14:paraId="08AA7C46"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0.042</w:t>
            </w:r>
          </w:p>
        </w:tc>
      </w:tr>
      <w:tr w:rsidR="009B2AA4" w:rsidRPr="000A40E6" w14:paraId="5D46E25D" w14:textId="77777777" w:rsidTr="00A3711B">
        <w:trPr>
          <w:jc w:val="center"/>
        </w:trPr>
        <w:tc>
          <w:tcPr>
            <w:tcW w:w="1620" w:type="dxa"/>
            <w:shd w:val="clear" w:color="auto" w:fill="auto"/>
            <w:vAlign w:val="center"/>
          </w:tcPr>
          <w:p w14:paraId="160060FA"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2795212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294.36 (</w:t>
            </w:r>
            <w:proofErr w:type="gramStart"/>
            <w:r w:rsidRPr="000A40E6">
              <w:rPr>
                <w:rFonts w:eastAsia="Calibri" w:cs="Times New Roman"/>
                <w:color w:val="000000"/>
                <w:sz w:val="20"/>
                <w:szCs w:val="20"/>
              </w:rPr>
              <w:t>248.23</w:t>
            </w:r>
            <w:proofErr w:type="gramEnd"/>
            <w:r w:rsidRPr="000A40E6">
              <w:rPr>
                <w:rFonts w:eastAsia="Calibri" w:cs="Times New Roman"/>
                <w:color w:val="000000"/>
                <w:sz w:val="20"/>
                <w:szCs w:val="20"/>
              </w:rPr>
              <w:t>-356.61)</w:t>
            </w:r>
          </w:p>
        </w:tc>
        <w:tc>
          <w:tcPr>
            <w:tcW w:w="2216" w:type="dxa"/>
            <w:shd w:val="clear" w:color="auto" w:fill="auto"/>
            <w:vAlign w:val="center"/>
          </w:tcPr>
          <w:p w14:paraId="1F258FD7"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335.62 (</w:t>
            </w:r>
            <w:proofErr w:type="gramStart"/>
            <w:r w:rsidRPr="000A40E6">
              <w:rPr>
                <w:rFonts w:eastAsia="Calibri" w:cs="Times New Roman"/>
                <w:color w:val="000000"/>
                <w:sz w:val="20"/>
                <w:szCs w:val="20"/>
              </w:rPr>
              <w:t>308.45</w:t>
            </w:r>
            <w:proofErr w:type="gramEnd"/>
            <w:r w:rsidRPr="000A40E6">
              <w:rPr>
                <w:rFonts w:eastAsia="Calibri" w:cs="Times New Roman"/>
                <w:color w:val="000000"/>
                <w:sz w:val="20"/>
                <w:szCs w:val="20"/>
              </w:rPr>
              <w:t>-397.62)</w:t>
            </w:r>
          </w:p>
        </w:tc>
        <w:tc>
          <w:tcPr>
            <w:tcW w:w="1071" w:type="dxa"/>
            <w:shd w:val="clear" w:color="auto" w:fill="auto"/>
            <w:vAlign w:val="center"/>
          </w:tcPr>
          <w:p w14:paraId="7F0BE732"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06B15CEF"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31EC730A" w14:textId="77777777" w:rsidTr="00A3711B">
        <w:trPr>
          <w:jc w:val="center"/>
        </w:trPr>
        <w:tc>
          <w:tcPr>
            <w:tcW w:w="1620" w:type="dxa"/>
            <w:shd w:val="clear" w:color="auto" w:fill="auto"/>
            <w:vAlign w:val="center"/>
          </w:tcPr>
          <w:p w14:paraId="0366E3B4"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T3</w:t>
            </w:r>
          </w:p>
        </w:tc>
        <w:tc>
          <w:tcPr>
            <w:tcW w:w="2216" w:type="dxa"/>
            <w:shd w:val="clear" w:color="auto" w:fill="auto"/>
            <w:vAlign w:val="center"/>
          </w:tcPr>
          <w:p w14:paraId="1D3A22AC"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308.67±48.07</w:t>
            </w:r>
          </w:p>
        </w:tc>
        <w:tc>
          <w:tcPr>
            <w:tcW w:w="2216" w:type="dxa"/>
            <w:shd w:val="clear" w:color="auto" w:fill="auto"/>
            <w:vAlign w:val="center"/>
          </w:tcPr>
          <w:p w14:paraId="5A50CF63"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353.46±46.32</w:t>
            </w:r>
          </w:p>
        </w:tc>
        <w:tc>
          <w:tcPr>
            <w:tcW w:w="1071" w:type="dxa"/>
            <w:shd w:val="clear" w:color="auto" w:fill="auto"/>
          </w:tcPr>
          <w:p w14:paraId="6930FDED"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2.737</w:t>
            </w:r>
          </w:p>
        </w:tc>
        <w:tc>
          <w:tcPr>
            <w:tcW w:w="1086" w:type="dxa"/>
            <w:shd w:val="clear" w:color="auto" w:fill="auto"/>
          </w:tcPr>
          <w:p w14:paraId="178A5BB2" w14:textId="77777777" w:rsidR="009B2AA4" w:rsidRPr="000A40E6" w:rsidRDefault="009B2AA4" w:rsidP="00F756C3">
            <w:pPr>
              <w:suppressAutoHyphens/>
              <w:spacing w:line="240" w:lineRule="atLeast"/>
              <w:ind w:firstLine="0"/>
              <w:jc w:val="center"/>
              <w:rPr>
                <w:rFonts w:eastAsia="Calibri" w:cs="Times New Roman"/>
                <w:b/>
                <w:bCs/>
                <w:sz w:val="20"/>
                <w:szCs w:val="20"/>
              </w:rPr>
            </w:pPr>
            <w:r w:rsidRPr="000A40E6">
              <w:rPr>
                <w:rFonts w:eastAsia="Calibri" w:cs="Times New Roman"/>
                <w:b/>
                <w:bCs/>
                <w:sz w:val="20"/>
                <w:szCs w:val="20"/>
              </w:rPr>
              <w:t>0.006</w:t>
            </w:r>
          </w:p>
        </w:tc>
      </w:tr>
      <w:tr w:rsidR="009B2AA4" w:rsidRPr="000A40E6" w14:paraId="14250AAB" w14:textId="77777777" w:rsidTr="00A3711B">
        <w:trPr>
          <w:jc w:val="center"/>
        </w:trPr>
        <w:tc>
          <w:tcPr>
            <w:tcW w:w="1620" w:type="dxa"/>
            <w:shd w:val="clear" w:color="auto" w:fill="auto"/>
            <w:vAlign w:val="center"/>
          </w:tcPr>
          <w:p w14:paraId="57060306"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2216" w:type="dxa"/>
            <w:shd w:val="clear" w:color="auto" w:fill="auto"/>
            <w:vAlign w:val="center"/>
          </w:tcPr>
          <w:p w14:paraId="1CAEE675"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313.17 (</w:t>
            </w:r>
            <w:proofErr w:type="gramStart"/>
            <w:r w:rsidRPr="000A40E6">
              <w:rPr>
                <w:rFonts w:eastAsia="Calibri" w:cs="Times New Roman"/>
                <w:color w:val="000000"/>
                <w:sz w:val="20"/>
                <w:szCs w:val="20"/>
              </w:rPr>
              <w:t>257.52</w:t>
            </w:r>
            <w:proofErr w:type="gramEnd"/>
            <w:r w:rsidRPr="000A40E6">
              <w:rPr>
                <w:rFonts w:eastAsia="Calibri" w:cs="Times New Roman"/>
                <w:color w:val="000000"/>
                <w:sz w:val="20"/>
                <w:szCs w:val="20"/>
              </w:rPr>
              <w:t>-342.63)</w:t>
            </w:r>
          </w:p>
        </w:tc>
        <w:tc>
          <w:tcPr>
            <w:tcW w:w="2216" w:type="dxa"/>
            <w:shd w:val="clear" w:color="auto" w:fill="auto"/>
            <w:vAlign w:val="center"/>
          </w:tcPr>
          <w:p w14:paraId="7CCBD1D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color w:val="000000"/>
                <w:sz w:val="20"/>
                <w:szCs w:val="20"/>
              </w:rPr>
              <w:t>355.09 (</w:t>
            </w:r>
            <w:proofErr w:type="gramStart"/>
            <w:r w:rsidRPr="000A40E6">
              <w:rPr>
                <w:rFonts w:eastAsia="Calibri" w:cs="Times New Roman"/>
                <w:color w:val="000000"/>
                <w:sz w:val="20"/>
                <w:szCs w:val="20"/>
              </w:rPr>
              <w:t>306.41</w:t>
            </w:r>
            <w:proofErr w:type="gramEnd"/>
            <w:r w:rsidRPr="000A40E6">
              <w:rPr>
                <w:rFonts w:eastAsia="Calibri" w:cs="Times New Roman"/>
                <w:color w:val="000000"/>
                <w:sz w:val="20"/>
                <w:szCs w:val="20"/>
              </w:rPr>
              <w:t>-390.52)</w:t>
            </w:r>
          </w:p>
        </w:tc>
        <w:tc>
          <w:tcPr>
            <w:tcW w:w="1071" w:type="dxa"/>
            <w:shd w:val="clear" w:color="auto" w:fill="auto"/>
            <w:vAlign w:val="center"/>
          </w:tcPr>
          <w:p w14:paraId="323E4647"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1A1AE08C" w14:textId="77777777" w:rsidR="009B2AA4" w:rsidRPr="000A40E6" w:rsidRDefault="009B2AA4" w:rsidP="00F756C3">
            <w:pPr>
              <w:suppressAutoHyphens/>
              <w:spacing w:line="240" w:lineRule="atLeast"/>
              <w:ind w:firstLine="0"/>
              <w:jc w:val="center"/>
              <w:rPr>
                <w:rFonts w:eastAsia="Calibri" w:cs="Times New Roman"/>
                <w:sz w:val="20"/>
                <w:szCs w:val="20"/>
              </w:rPr>
            </w:pPr>
          </w:p>
        </w:tc>
      </w:tr>
      <w:tr w:rsidR="009B2AA4" w:rsidRPr="000A40E6" w14:paraId="2ACC8714" w14:textId="77777777" w:rsidTr="00A3711B">
        <w:trPr>
          <w:jc w:val="center"/>
        </w:trPr>
        <w:tc>
          <w:tcPr>
            <w:tcW w:w="1620" w:type="dxa"/>
            <w:shd w:val="clear" w:color="auto" w:fill="auto"/>
            <w:vAlign w:val="center"/>
          </w:tcPr>
          <w:p w14:paraId="6C16F140"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b/>
                <w:bCs/>
                <w:sz w:val="20"/>
                <w:szCs w:val="20"/>
              </w:rPr>
              <w:t>χ</w:t>
            </w:r>
            <w:r w:rsidRPr="000A40E6">
              <w:rPr>
                <w:rFonts w:eastAsia="Calibri" w:cs="Times New Roman"/>
                <w:b/>
                <w:bCs/>
                <w:sz w:val="20"/>
                <w:szCs w:val="20"/>
                <w:vertAlign w:val="superscript"/>
              </w:rPr>
              <w:t>2</w:t>
            </w:r>
            <w:r w:rsidRPr="000A40E6">
              <w:rPr>
                <w:rFonts w:eastAsia="Calibri" w:cs="Times New Roman"/>
                <w:b/>
                <w:bCs/>
                <w:sz w:val="20"/>
                <w:szCs w:val="20"/>
              </w:rPr>
              <w:t>, p-değeri</w:t>
            </w:r>
          </w:p>
        </w:tc>
        <w:tc>
          <w:tcPr>
            <w:tcW w:w="2216" w:type="dxa"/>
            <w:shd w:val="clear" w:color="auto" w:fill="auto"/>
            <w:vAlign w:val="center"/>
          </w:tcPr>
          <w:p w14:paraId="473207C1"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4.461, 0.216</w:t>
            </w:r>
          </w:p>
        </w:tc>
        <w:tc>
          <w:tcPr>
            <w:tcW w:w="2216" w:type="dxa"/>
            <w:shd w:val="clear" w:color="auto" w:fill="auto"/>
            <w:vAlign w:val="center"/>
          </w:tcPr>
          <w:p w14:paraId="65605958" w14:textId="77777777" w:rsidR="009B2AA4" w:rsidRPr="000A40E6" w:rsidRDefault="009B2AA4" w:rsidP="00F756C3">
            <w:pPr>
              <w:suppressAutoHyphens/>
              <w:spacing w:line="240" w:lineRule="atLeast"/>
              <w:ind w:firstLine="0"/>
              <w:jc w:val="center"/>
              <w:rPr>
                <w:rFonts w:eastAsia="Calibri" w:cs="Times New Roman"/>
                <w:sz w:val="20"/>
                <w:szCs w:val="20"/>
              </w:rPr>
            </w:pPr>
            <w:r w:rsidRPr="000A40E6">
              <w:rPr>
                <w:rFonts w:eastAsia="Calibri" w:cs="Times New Roman"/>
                <w:sz w:val="20"/>
                <w:szCs w:val="20"/>
              </w:rPr>
              <w:t>0.443, 0.931</w:t>
            </w:r>
          </w:p>
        </w:tc>
        <w:tc>
          <w:tcPr>
            <w:tcW w:w="1071" w:type="dxa"/>
            <w:shd w:val="clear" w:color="auto" w:fill="auto"/>
            <w:vAlign w:val="center"/>
          </w:tcPr>
          <w:p w14:paraId="3C5063D4" w14:textId="77777777" w:rsidR="009B2AA4" w:rsidRPr="000A40E6" w:rsidRDefault="009B2AA4" w:rsidP="00F756C3">
            <w:pPr>
              <w:suppressAutoHyphens/>
              <w:spacing w:line="240" w:lineRule="atLeast"/>
              <w:ind w:firstLine="0"/>
              <w:jc w:val="center"/>
              <w:rPr>
                <w:rFonts w:eastAsia="Calibri" w:cs="Times New Roman"/>
                <w:sz w:val="20"/>
                <w:szCs w:val="20"/>
              </w:rPr>
            </w:pPr>
          </w:p>
        </w:tc>
        <w:tc>
          <w:tcPr>
            <w:tcW w:w="1086" w:type="dxa"/>
            <w:shd w:val="clear" w:color="auto" w:fill="auto"/>
            <w:vAlign w:val="center"/>
          </w:tcPr>
          <w:p w14:paraId="73129434" w14:textId="77777777" w:rsidR="009B2AA4" w:rsidRPr="000A40E6" w:rsidRDefault="009B2AA4" w:rsidP="00F756C3">
            <w:pPr>
              <w:suppressAutoHyphens/>
              <w:spacing w:line="240" w:lineRule="atLeast"/>
              <w:ind w:firstLine="0"/>
              <w:jc w:val="center"/>
              <w:rPr>
                <w:rFonts w:eastAsia="Calibri" w:cs="Times New Roman"/>
                <w:sz w:val="20"/>
                <w:szCs w:val="20"/>
              </w:rPr>
            </w:pPr>
          </w:p>
        </w:tc>
      </w:tr>
    </w:tbl>
    <w:p w14:paraId="0E037364" w14:textId="77777777" w:rsidR="00F756C3" w:rsidRPr="000A40E6" w:rsidRDefault="00F756C3" w:rsidP="00F756C3">
      <w:pPr>
        <w:suppressAutoHyphens/>
        <w:spacing w:before="120" w:after="120" w:line="240" w:lineRule="auto"/>
        <w:ind w:firstLine="0"/>
        <w:rPr>
          <w:rFonts w:eastAsia="Calibri" w:cs="Times New Roman"/>
          <w:sz w:val="20"/>
          <w:szCs w:val="20"/>
        </w:rPr>
      </w:pPr>
      <w:r w:rsidRPr="000A40E6">
        <w:rPr>
          <w:rFonts w:eastAsia="Calibri" w:cs="Times New Roman"/>
          <w:sz w:val="20"/>
          <w:szCs w:val="20"/>
        </w:rPr>
        <w:t xml:space="preserve">Ort: Ortalama, SS: Standart sapma, </w:t>
      </w:r>
      <w:proofErr w:type="gramStart"/>
      <w:r w:rsidRPr="000A40E6">
        <w:rPr>
          <w:rFonts w:eastAsia="Calibri" w:cs="Times New Roman"/>
          <w:sz w:val="20"/>
          <w:szCs w:val="20"/>
        </w:rPr>
        <w:t>ÇAG : Çeyrekler</w:t>
      </w:r>
      <w:proofErr w:type="gramEnd"/>
      <w:r w:rsidRPr="000A40E6">
        <w:rPr>
          <w:rFonts w:eastAsia="Calibri" w:cs="Times New Roman"/>
          <w:sz w:val="20"/>
          <w:szCs w:val="20"/>
        </w:rPr>
        <w:t xml:space="preserve"> arası genişlik.</w:t>
      </w:r>
    </w:p>
    <w:p w14:paraId="356E802C" w14:textId="77777777" w:rsidR="00F756C3" w:rsidRPr="000A40E6" w:rsidRDefault="00F756C3" w:rsidP="00F756C3">
      <w:pPr>
        <w:suppressAutoHyphens/>
        <w:spacing w:before="120" w:after="120" w:line="240" w:lineRule="auto"/>
        <w:ind w:firstLine="0"/>
        <w:rPr>
          <w:rFonts w:eastAsia="Calibri" w:cs="Times New Roman"/>
          <w:sz w:val="20"/>
          <w:szCs w:val="20"/>
        </w:rPr>
      </w:pPr>
      <w:r w:rsidRPr="000A40E6">
        <w:rPr>
          <w:rFonts w:eastAsia="Calibri" w:cs="Times New Roman"/>
          <w:sz w:val="20"/>
          <w:szCs w:val="20"/>
        </w:rPr>
        <w:t>Zaman x Bölge etkileşim etkisi için Anova-tipi test istatistiği=0.360, p=0.763</w:t>
      </w:r>
    </w:p>
    <w:p w14:paraId="646CBBDE" w14:textId="77777777" w:rsidR="00F756C3" w:rsidRPr="000A40E6" w:rsidRDefault="00F756C3" w:rsidP="00F756C3">
      <w:pPr>
        <w:suppressAutoHyphens/>
        <w:spacing w:line="240" w:lineRule="atLeast"/>
        <w:ind w:firstLine="0"/>
        <w:jc w:val="center"/>
        <w:rPr>
          <w:rFonts w:eastAsia="Calibri" w:cs="Times New Roman"/>
          <w:noProof/>
          <w:kern w:val="2"/>
          <w:szCs w:val="24"/>
          <w:lang w:eastAsia="tr-TR"/>
          <w14:ligatures w14:val="standardContextual"/>
        </w:rPr>
      </w:pPr>
    </w:p>
    <w:p w14:paraId="3A701009" w14:textId="782401AF" w:rsidR="00F756C3" w:rsidRPr="000A40E6" w:rsidRDefault="00F756C3" w:rsidP="00F756C3">
      <w:pPr>
        <w:suppressAutoHyphens/>
        <w:spacing w:line="240" w:lineRule="atLeast"/>
        <w:ind w:firstLine="0"/>
        <w:jc w:val="center"/>
        <w:rPr>
          <w:rFonts w:eastAsia="Calibri" w:cs="Times New Roman"/>
          <w:kern w:val="2"/>
          <w:szCs w:val="24"/>
          <w14:ligatures w14:val="standardContextual"/>
        </w:rPr>
      </w:pPr>
      <w:r w:rsidRPr="000A40E6">
        <w:rPr>
          <w:rFonts w:eastAsia="Calibri" w:cs="Times New Roman"/>
          <w:noProof/>
          <w:kern w:val="2"/>
          <w:szCs w:val="24"/>
          <w:lang w:eastAsia="tr-TR"/>
          <w14:ligatures w14:val="standardContextual"/>
        </w:rPr>
        <w:drawing>
          <wp:inline distT="0" distB="0" distL="0" distR="0" wp14:anchorId="18617D4E" wp14:editId="7261FA9E">
            <wp:extent cx="4320000" cy="3375483"/>
            <wp:effectExtent l="19050" t="19050" r="23495" b="1587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3375483"/>
                    </a:xfrm>
                    <a:prstGeom prst="rect">
                      <a:avLst/>
                    </a:prstGeom>
                    <a:ln>
                      <a:solidFill>
                        <a:sysClr val="window" lastClr="FFFFFF">
                          <a:lumMod val="50000"/>
                        </a:sysClr>
                      </a:solidFill>
                    </a:ln>
                  </pic:spPr>
                </pic:pic>
              </a:graphicData>
            </a:graphic>
          </wp:inline>
        </w:drawing>
      </w:r>
    </w:p>
    <w:p w14:paraId="54CEC0BE" w14:textId="17ECDBD1" w:rsidR="00F301EB" w:rsidRPr="000A40E6" w:rsidRDefault="0030314B" w:rsidP="00A3711B">
      <w:pPr>
        <w:suppressAutoHyphens/>
        <w:spacing w:before="120" w:after="120"/>
        <w:ind w:left="567" w:hanging="567"/>
        <w:jc w:val="center"/>
        <w:rPr>
          <w:rFonts w:cs="Times New Roman"/>
          <w:b/>
          <w:szCs w:val="24"/>
        </w:rPr>
      </w:pPr>
      <w:bookmarkStart w:id="141" w:name="_Toc136381302"/>
      <w:r w:rsidRPr="000A40E6">
        <w:rPr>
          <w:rFonts w:cs="Times New Roman"/>
          <w:b/>
          <w:szCs w:val="24"/>
        </w:rPr>
        <w:t xml:space="preserve">Şekil </w:t>
      </w:r>
      <w:r w:rsidR="003F42DA" w:rsidRPr="000A40E6">
        <w:rPr>
          <w:rFonts w:cs="Times New Roman"/>
          <w:b/>
          <w:noProof/>
          <w:szCs w:val="24"/>
        </w:rPr>
        <w:t>5</w:t>
      </w:r>
      <w:r w:rsidRPr="000A40E6">
        <w:rPr>
          <w:rFonts w:cs="Times New Roman"/>
          <w:b/>
          <w:szCs w:val="24"/>
        </w:rPr>
        <w:t>.</w:t>
      </w:r>
      <w:r w:rsidRPr="000A40E6">
        <w:rPr>
          <w:rFonts w:cs="Times New Roman"/>
          <w:szCs w:val="24"/>
        </w:rPr>
        <w:t xml:space="preserve"> </w:t>
      </w:r>
      <w:r w:rsidR="009B2AA4" w:rsidRPr="000A40E6">
        <w:rPr>
          <w:rFonts w:eastAsia="Calibri" w:cs="Times New Roman"/>
          <w:kern w:val="2"/>
          <w:szCs w:val="24"/>
          <w14:ligatures w14:val="standardContextual"/>
        </w:rPr>
        <w:t>TNF-α ölçümlerinin zamana ve bölgelere göre dağılımı</w:t>
      </w:r>
      <w:bookmarkStart w:id="142" w:name="_Toc136443427"/>
      <w:bookmarkEnd w:id="141"/>
      <w:r w:rsidR="00425728" w:rsidRPr="000A40E6">
        <w:rPr>
          <w:rFonts w:eastAsia="Calibri" w:cs="Times New Roman"/>
          <w:kern w:val="2"/>
          <w:szCs w:val="24"/>
          <w14:ligatures w14:val="standardContextual"/>
        </w:rPr>
        <w:t>.</w:t>
      </w:r>
      <w:r w:rsidR="00F301EB" w:rsidRPr="000A40E6">
        <w:rPr>
          <w:rFonts w:cs="Times New Roman"/>
          <w:b/>
          <w:szCs w:val="24"/>
        </w:rPr>
        <w:br w:type="page"/>
      </w:r>
    </w:p>
    <w:p w14:paraId="59FBB0F0" w14:textId="7840461D" w:rsidR="005D779D" w:rsidRPr="000A40E6" w:rsidRDefault="005D779D" w:rsidP="00A3711B">
      <w:pPr>
        <w:suppressAutoHyphens/>
        <w:spacing w:after="120"/>
        <w:ind w:firstLine="0"/>
        <w:jc w:val="center"/>
        <w:rPr>
          <w:rFonts w:cs="Times New Roman"/>
          <w:b/>
          <w:sz w:val="28"/>
          <w:szCs w:val="24"/>
        </w:rPr>
      </w:pPr>
      <w:r w:rsidRPr="000A40E6">
        <w:rPr>
          <w:rFonts w:cs="Times New Roman"/>
          <w:b/>
          <w:sz w:val="28"/>
          <w:szCs w:val="24"/>
        </w:rPr>
        <w:t>5. TARTIŞMA</w:t>
      </w:r>
      <w:bookmarkEnd w:id="142"/>
    </w:p>
    <w:p w14:paraId="27BFD39C" w14:textId="77777777" w:rsidR="005D779D" w:rsidRPr="000A40E6" w:rsidRDefault="005D779D" w:rsidP="00A3711B">
      <w:pPr>
        <w:suppressAutoHyphens/>
        <w:spacing w:after="120"/>
        <w:ind w:firstLine="0"/>
        <w:jc w:val="center"/>
        <w:rPr>
          <w:rFonts w:cs="Times New Roman"/>
          <w:b/>
          <w:szCs w:val="24"/>
        </w:rPr>
      </w:pPr>
    </w:p>
    <w:p w14:paraId="0525DB25" w14:textId="77777777" w:rsidR="005D779D" w:rsidRPr="000A40E6" w:rsidRDefault="005D779D" w:rsidP="00A3711B">
      <w:pPr>
        <w:suppressAutoHyphens/>
        <w:spacing w:after="120"/>
        <w:ind w:firstLine="0"/>
        <w:jc w:val="center"/>
        <w:rPr>
          <w:rFonts w:cs="Times New Roman"/>
          <w:b/>
          <w:szCs w:val="24"/>
        </w:rPr>
      </w:pPr>
    </w:p>
    <w:p w14:paraId="1854DB42" w14:textId="77777777" w:rsidR="005D779D" w:rsidRPr="000A40E6" w:rsidRDefault="005D779D" w:rsidP="00F756C3">
      <w:pPr>
        <w:suppressAutoHyphens/>
        <w:spacing w:after="120"/>
        <w:ind w:firstLine="0"/>
        <w:rPr>
          <w:rFonts w:cs="Times New Roman"/>
          <w:b/>
          <w:szCs w:val="24"/>
        </w:rPr>
      </w:pPr>
      <w:bookmarkStart w:id="143" w:name="_Toc136443428"/>
      <w:r w:rsidRPr="000A40E6">
        <w:rPr>
          <w:rFonts w:cs="Times New Roman"/>
          <w:b/>
          <w:szCs w:val="24"/>
        </w:rPr>
        <w:t>5.1. Çalışmanın Amacının Tartışması</w:t>
      </w:r>
      <w:bookmarkEnd w:id="143"/>
    </w:p>
    <w:p w14:paraId="0A6C2B07" w14:textId="77777777" w:rsidR="005D779D" w:rsidRPr="000A40E6" w:rsidRDefault="005D779D" w:rsidP="00F756C3">
      <w:pPr>
        <w:suppressAutoHyphens/>
        <w:spacing w:after="120"/>
        <w:rPr>
          <w:rFonts w:cs="Times New Roman"/>
          <w:b/>
          <w:bCs/>
          <w:szCs w:val="24"/>
        </w:rPr>
      </w:pPr>
    </w:p>
    <w:p w14:paraId="72BB59EC" w14:textId="7996337B" w:rsidR="005D779D" w:rsidRPr="000A40E6" w:rsidRDefault="005D779D" w:rsidP="00F756C3">
      <w:pPr>
        <w:suppressAutoHyphens/>
        <w:spacing w:after="120"/>
        <w:rPr>
          <w:rFonts w:eastAsia="Calibri" w:cs="Times New Roman"/>
          <w:szCs w:val="24"/>
        </w:rPr>
      </w:pPr>
      <w:r w:rsidRPr="000A40E6">
        <w:rPr>
          <w:rFonts w:eastAsia="Calibri" w:cs="Times New Roman"/>
          <w:szCs w:val="24"/>
        </w:rPr>
        <w:t xml:space="preserve">Maksillanın transversal yöndeki darlığı, kraniyofasiyal bölgede görülen en önemli iskeletsel </w:t>
      </w:r>
      <w:proofErr w:type="gramStart"/>
      <w:r w:rsidRPr="000A40E6">
        <w:rPr>
          <w:rFonts w:eastAsia="Calibri" w:cs="Times New Roman"/>
          <w:szCs w:val="24"/>
        </w:rPr>
        <w:t>anomalilerden</w:t>
      </w:r>
      <w:proofErr w:type="gramEnd"/>
      <w:r w:rsidRPr="000A40E6">
        <w:rPr>
          <w:rFonts w:eastAsia="Calibri" w:cs="Times New Roman"/>
          <w:szCs w:val="24"/>
        </w:rPr>
        <w:t xml:space="preserve"> biridir (Zimring ve Isaacson, 1965). Maksillanın iskeletsel olarak darlığı teşhis edildiğinde, ortopedik kuvvetler aracılığı ile midpalatal süturun açılmasını içeren RME tercih edilen en yaygın tedavi yöntemidir (Lagravère ve diğerleri, 2005</w:t>
      </w:r>
      <w:r w:rsidR="001322CB" w:rsidRPr="000A40E6">
        <w:rPr>
          <w:rFonts w:eastAsia="Calibri" w:cs="Times New Roman"/>
          <w:szCs w:val="24"/>
        </w:rPr>
        <w:t>b</w:t>
      </w:r>
      <w:r w:rsidRPr="000A40E6">
        <w:rPr>
          <w:rFonts w:eastAsia="Calibri" w:cs="Times New Roman"/>
          <w:szCs w:val="24"/>
        </w:rPr>
        <w:t xml:space="preserve">). Bu tedavinin puberteden önce yapılması durumunda RME'nin ağırlıklı olarak iskeletsel etkilerinin görüldüğü (Baccetti ve diğerleri, 2001), daha sonraki gelişim aşamalarında yapıldığında ise olası doku hasarıyla birlikte daha fazla dental etkinin </w:t>
      </w:r>
      <w:r w:rsidR="00B2695E" w:rsidRPr="000A40E6">
        <w:rPr>
          <w:rFonts w:eastAsia="Calibri" w:cs="Times New Roman"/>
          <w:szCs w:val="24"/>
        </w:rPr>
        <w:t xml:space="preserve">gerçekleşeceği </w:t>
      </w:r>
      <w:r w:rsidRPr="000A40E6">
        <w:rPr>
          <w:rFonts w:eastAsia="Calibri" w:cs="Times New Roman"/>
          <w:szCs w:val="24"/>
        </w:rPr>
        <w:t>bildirilmiştir (Starnbach ve diğerleri, 1966)</w:t>
      </w:r>
      <w:r w:rsidR="00B2695E" w:rsidRPr="000A40E6">
        <w:rPr>
          <w:rFonts w:eastAsia="Calibri" w:cs="Times New Roman"/>
          <w:szCs w:val="24"/>
        </w:rPr>
        <w:t>. Ancak bir diğer önemli konu</w:t>
      </w:r>
      <w:r w:rsidRPr="000A40E6">
        <w:rPr>
          <w:rFonts w:eastAsia="Calibri" w:cs="Times New Roman"/>
          <w:szCs w:val="24"/>
        </w:rPr>
        <w:t xml:space="preserve">, elde edilen sonuçların retansiyonunu sağlayan, destek dokuların remodelingi yoluyla kuvvetlere verilen adaptif tepkilerdir (Ballanti ve diğerleri, 2009). RME tedavisinde uygulanan ortopedik kuvvetler, alveolar yapılarda rezidüel kuvvetlerin ortaya çıkmasına sebep olmaktadır. Rezidüel kuvvetler, iki aktivasyon süresi arasında kalan kuvvetlerdir. Rezidüel kuvvetler arttıkça etki-tepki kanunu gereği direnç oluşmaktadır (Zimring ve Isaacson, 1965). Bu nedenle ekspansiyon sonrası elde edilen genişlemenin stabilitesinde uygulanan retansiyon </w:t>
      </w:r>
      <w:r w:rsidR="00F323AD" w:rsidRPr="000A40E6">
        <w:rPr>
          <w:rFonts w:eastAsia="Calibri" w:cs="Times New Roman"/>
          <w:szCs w:val="24"/>
        </w:rPr>
        <w:t>süresi önem taşımaktadır (Ekströ</w:t>
      </w:r>
      <w:r w:rsidRPr="000A40E6">
        <w:rPr>
          <w:rFonts w:eastAsia="Calibri" w:cs="Times New Roman"/>
          <w:szCs w:val="24"/>
        </w:rPr>
        <w:t>m ve diğerleri, 1977).</w:t>
      </w:r>
    </w:p>
    <w:p w14:paraId="18759D49" w14:textId="1241F0F2" w:rsidR="005D779D" w:rsidRPr="000A40E6" w:rsidRDefault="005D779D" w:rsidP="00F756C3">
      <w:pPr>
        <w:suppressAutoHyphens/>
        <w:spacing w:after="120"/>
        <w:rPr>
          <w:rFonts w:eastAsia="Calibri" w:cs="Times New Roman"/>
          <w:szCs w:val="24"/>
        </w:rPr>
      </w:pPr>
      <w:r w:rsidRPr="000A40E6">
        <w:rPr>
          <w:rFonts w:eastAsia="Calibri" w:cs="Times New Roman"/>
          <w:szCs w:val="24"/>
        </w:rPr>
        <w:t xml:space="preserve">Literatürde minimum retansiyon süresi konusunda net bir fikir birliği bulunmamaktadır. RME sonrası, süturun 3 ayda normal görüntü verdiği, ancak histolojik olarak 6 ayda sütur alanının organize olarak kalsifikasyonun tamamlandığını, dolayısıyla 6 aylık retansiyon süresine ihtiyaç duyulduğunu bildiren çalışmalar vardır (Bishara ve Staley, 1987; Chaconas ve Caputo, 1982). Türkkahraman (2001), RME’nin kraniyofasiyal yapılara olan etkilerini sintigrafik olarak incelemiş, RME sonrası midpalatal süturdaki kemik yapım aktivitesinin arttığını, 3 aylık retansiyondan sonra prepubertal büyüme atılımı öncesi hastalarda kemik yapım aktivitesinin başlangıç seviyesine döndüğünü, puberte dönemi ve sonrasındaki hastalarda ise başlangıç seviyesine tam olarak dönmediğini belirtmiştir. Arat ve diğerleri (2003), farklı büyüme dönemindeki hastalarda yapılan RME sonrasında kemik dokularında meydana gelen değişimleri kemik sintigrafisi metoduyla incelemiş, 3 aylık retansiyon sonrası metabolik aktivitenin başlangıç düzeyine döndüğünü, 3 aylık retansiyonun kemiğin reorganizasyonu için yeterli olduğunu söylemişlerdir. Diğer bir çalışmada ise anterior nazal spinadan posterior nazal spinaya kadar tüm sütur alanınındaki kalsifikasyonun </w:t>
      </w:r>
      <w:r w:rsidR="001322CB" w:rsidRPr="000A40E6">
        <w:rPr>
          <w:rFonts w:eastAsia="Calibri" w:cs="Times New Roman"/>
          <w:szCs w:val="24"/>
        </w:rPr>
        <w:t>8-9 ay sürdüğü belirtilmiştir (da Silva Filho ve diğerleri, 2007</w:t>
      </w:r>
      <w:r w:rsidRPr="000A40E6">
        <w:rPr>
          <w:rFonts w:eastAsia="Calibri" w:cs="Times New Roman"/>
          <w:szCs w:val="24"/>
        </w:rPr>
        <w:t>)</w:t>
      </w:r>
      <w:r w:rsidR="006E3FB2" w:rsidRPr="000A40E6">
        <w:rPr>
          <w:rFonts w:eastAsia="Calibri" w:cs="Times New Roman"/>
          <w:szCs w:val="24"/>
        </w:rPr>
        <w:t>. E</w:t>
      </w:r>
      <w:r w:rsidRPr="000A40E6">
        <w:rPr>
          <w:rFonts w:eastAsia="Calibri" w:cs="Times New Roman"/>
          <w:szCs w:val="24"/>
        </w:rPr>
        <w:t>kspansiyon sağlandıktan sonra sütural bölgedeki kemik remodelingi için apareyin pasif olarak 3 ay boyunca ağızda kalması</w:t>
      </w:r>
      <w:r w:rsidR="00D91662" w:rsidRPr="000A40E6">
        <w:rPr>
          <w:rFonts w:eastAsia="Calibri" w:cs="Times New Roman"/>
          <w:szCs w:val="24"/>
        </w:rPr>
        <w:t>nı</w:t>
      </w:r>
      <w:r w:rsidRPr="000A40E6">
        <w:rPr>
          <w:rFonts w:eastAsia="Calibri" w:cs="Times New Roman"/>
          <w:szCs w:val="24"/>
        </w:rPr>
        <w:t xml:space="preserve"> yeterli </w:t>
      </w:r>
      <w:r w:rsidR="00D91662" w:rsidRPr="000A40E6">
        <w:rPr>
          <w:rFonts w:eastAsia="Calibri" w:cs="Times New Roman"/>
          <w:szCs w:val="24"/>
        </w:rPr>
        <w:t xml:space="preserve">bulan çalışmalar da mevcuttur </w:t>
      </w:r>
      <w:r w:rsidRPr="000A40E6">
        <w:rPr>
          <w:rFonts w:eastAsia="Calibri" w:cs="Times New Roman"/>
          <w:szCs w:val="24"/>
        </w:rPr>
        <w:t>(</w:t>
      </w:r>
      <w:r w:rsidR="00996F23" w:rsidRPr="000A40E6">
        <w:rPr>
          <w:rFonts w:eastAsia="Calibri" w:cs="Times New Roman"/>
          <w:szCs w:val="24"/>
        </w:rPr>
        <w:t xml:space="preserve">Asanza ve diğerleri, 1997; </w:t>
      </w:r>
      <w:r w:rsidRPr="000A40E6">
        <w:rPr>
          <w:rFonts w:eastAsia="Calibri" w:cs="Times New Roman"/>
          <w:szCs w:val="24"/>
        </w:rPr>
        <w:t>B</w:t>
      </w:r>
      <w:r w:rsidR="00996F23" w:rsidRPr="000A40E6">
        <w:rPr>
          <w:rFonts w:eastAsia="Calibri" w:cs="Times New Roman"/>
          <w:szCs w:val="24"/>
        </w:rPr>
        <w:t>iederman, 1968; Biederman, 1973</w:t>
      </w:r>
      <w:r w:rsidRPr="000A40E6">
        <w:rPr>
          <w:rFonts w:eastAsia="Calibri" w:cs="Times New Roman"/>
          <w:szCs w:val="24"/>
        </w:rPr>
        <w:t>). B</w:t>
      </w:r>
      <w:r w:rsidR="001A7A59" w:rsidRPr="000A40E6">
        <w:rPr>
          <w:rFonts w:eastAsia="Calibri" w:cs="Times New Roman"/>
          <w:szCs w:val="24"/>
        </w:rPr>
        <w:t>enzer şekilde, Proffit ve diğerleri</w:t>
      </w:r>
      <w:r w:rsidRPr="000A40E6">
        <w:rPr>
          <w:rFonts w:eastAsia="Calibri" w:cs="Times New Roman"/>
          <w:szCs w:val="24"/>
        </w:rPr>
        <w:t xml:space="preserve"> (2007), 3-4 ay pekiştirme süresinin yeterli olduğunu belirtmiştir. Lagravère ve diğerleri (2005</w:t>
      </w:r>
      <w:r w:rsidR="001A7A59" w:rsidRPr="000A40E6">
        <w:rPr>
          <w:rFonts w:eastAsia="Calibri" w:cs="Times New Roman"/>
          <w:szCs w:val="24"/>
        </w:rPr>
        <w:t>a</w:t>
      </w:r>
      <w:r w:rsidRPr="000A40E6">
        <w:rPr>
          <w:rFonts w:eastAsia="Calibri" w:cs="Times New Roman"/>
          <w:szCs w:val="24"/>
        </w:rPr>
        <w:t>) ile Primozic ve diğerleri (2013), RME'den sonra her zaman bir dereceye ka</w:t>
      </w:r>
      <w:r w:rsidR="00E44B9F" w:rsidRPr="000A40E6">
        <w:rPr>
          <w:rFonts w:eastAsia="Calibri" w:cs="Times New Roman"/>
          <w:szCs w:val="24"/>
        </w:rPr>
        <w:t>dar iskeletsel veya dentoalveola</w:t>
      </w:r>
      <w:r w:rsidRPr="000A40E6">
        <w:rPr>
          <w:rFonts w:eastAsia="Calibri" w:cs="Times New Roman"/>
          <w:szCs w:val="24"/>
        </w:rPr>
        <w:t>r nüks olduğunu, bu nedenle aşırı düzeltmeyi takiben 4 ile 5 aylık retansiyon</w:t>
      </w:r>
      <w:r w:rsidR="00A82182" w:rsidRPr="000A40E6">
        <w:rPr>
          <w:rFonts w:eastAsia="Calibri" w:cs="Times New Roman"/>
          <w:szCs w:val="24"/>
        </w:rPr>
        <w:t xml:space="preserve"> gerektiğini </w:t>
      </w:r>
      <w:r w:rsidRPr="000A40E6">
        <w:rPr>
          <w:rFonts w:eastAsia="Calibri" w:cs="Times New Roman"/>
          <w:szCs w:val="24"/>
        </w:rPr>
        <w:t xml:space="preserve">bildirmişlerdir. Schuster ve </w:t>
      </w:r>
      <w:r w:rsidR="00816C31" w:rsidRPr="000A40E6">
        <w:rPr>
          <w:rFonts w:eastAsia="Calibri" w:cs="Times New Roman"/>
          <w:szCs w:val="24"/>
        </w:rPr>
        <w:t xml:space="preserve">diğerleri </w:t>
      </w:r>
      <w:r w:rsidRPr="000A40E6">
        <w:rPr>
          <w:rFonts w:eastAsia="Calibri" w:cs="Times New Roman"/>
          <w:szCs w:val="24"/>
        </w:rPr>
        <w:t>(2005), RME’nin yan etkilerini, bir anket çalışması ile değerlendirdikleri araştırmada, katılan ortodontistlerin yarısının 3 aylık retansiyon dönemi uyguladığı, %46’sının retansiyonu 6 aya uzattığı, diğerlerinin ise 8 haftalık süreyi yeterli bulduğu bildirilmiştir. Korbmacher ve diğerleri (2005), RME tedavisinin klinik profilini bir anket çalışması ile değerlendirdikleri araştırmada</w:t>
      </w:r>
      <w:r w:rsidR="0073729E" w:rsidRPr="000A40E6">
        <w:rPr>
          <w:rFonts w:eastAsia="Calibri" w:cs="Times New Roman"/>
          <w:szCs w:val="24"/>
        </w:rPr>
        <w:t>, katılan ortodontistlerin  %</w:t>
      </w:r>
      <w:proofErr w:type="gramStart"/>
      <w:r w:rsidR="0073729E" w:rsidRPr="000A40E6">
        <w:rPr>
          <w:rFonts w:eastAsia="Calibri" w:cs="Times New Roman"/>
          <w:szCs w:val="24"/>
        </w:rPr>
        <w:t>32.</w:t>
      </w:r>
      <w:r w:rsidRPr="000A40E6">
        <w:rPr>
          <w:rFonts w:eastAsia="Calibri" w:cs="Times New Roman"/>
          <w:szCs w:val="24"/>
        </w:rPr>
        <w:t>8'i</w:t>
      </w:r>
      <w:proofErr w:type="gramEnd"/>
      <w:r w:rsidR="0073729E" w:rsidRPr="000A40E6">
        <w:rPr>
          <w:rFonts w:eastAsia="Calibri" w:cs="Times New Roman"/>
          <w:szCs w:val="24"/>
        </w:rPr>
        <w:t xml:space="preserve"> 3 aydan az, %60'ı 3-6 ay ve %7.</w:t>
      </w:r>
      <w:r w:rsidRPr="000A40E6">
        <w:rPr>
          <w:rFonts w:eastAsia="Calibri" w:cs="Times New Roman"/>
          <w:szCs w:val="24"/>
        </w:rPr>
        <w:t>2'si 7-15 ay arası retansiyon sürelerinin yeterli olduğunu belirtmişlerdir.</w:t>
      </w:r>
      <w:r w:rsidR="008B782B" w:rsidRPr="000A40E6">
        <w:rPr>
          <w:rFonts w:eastAsia="Calibri" w:cs="Times New Roman"/>
          <w:szCs w:val="24"/>
        </w:rPr>
        <w:t xml:space="preserve"> </w:t>
      </w:r>
      <w:r w:rsidRPr="000A40E6">
        <w:rPr>
          <w:rFonts w:eastAsia="Calibri" w:cs="Times New Roman"/>
          <w:szCs w:val="24"/>
        </w:rPr>
        <w:t>Ballanti ve diğerleri (2009), RME tedavisinin dentoalveolar etkileri ile ilgili olarak, aktif RME'nin sonunda destekleyici dişlerin bukkal kemik kalınlığında bir azalma ve ardından 6 aylık bir retansiyon süresinden sonra orijinal kalınlıkta önemli bir iyileşme bildirmişlerdir. Franchi ve diğerleri (2010), prepubertal dönemdeki hastalarda RME’</w:t>
      </w:r>
      <w:r w:rsidR="00612CB3" w:rsidRPr="000A40E6">
        <w:rPr>
          <w:rFonts w:eastAsia="Calibri" w:cs="Times New Roman"/>
          <w:szCs w:val="24"/>
        </w:rPr>
        <w:t>nin aktif ekspansiyonundan ve 6 aylık retansiyon süresinden</w:t>
      </w:r>
      <w:r w:rsidRPr="000A40E6">
        <w:rPr>
          <w:rFonts w:eastAsia="Calibri" w:cs="Times New Roman"/>
          <w:szCs w:val="24"/>
        </w:rPr>
        <w:t xml:space="preserve"> sonra midpalatal süturda RME ile üretilen yoğunluk değişikliklerinin değerlendirilmesi amaçlı düşük doz BT uyguladıkları </w:t>
      </w:r>
      <w:r w:rsidR="00D41374" w:rsidRPr="000A40E6">
        <w:rPr>
          <w:rFonts w:eastAsia="Calibri" w:cs="Times New Roman"/>
          <w:szCs w:val="24"/>
        </w:rPr>
        <w:t xml:space="preserve">bir çalışma yürütmüşlerdir. </w:t>
      </w:r>
      <w:r w:rsidR="00D278AE" w:rsidRPr="000A40E6">
        <w:rPr>
          <w:rFonts w:eastAsia="Calibri" w:cs="Times New Roman"/>
          <w:szCs w:val="24"/>
        </w:rPr>
        <w:t xml:space="preserve">Bu çalışmada </w:t>
      </w:r>
      <w:r w:rsidRPr="000A40E6">
        <w:rPr>
          <w:rFonts w:eastAsia="Calibri" w:cs="Times New Roman"/>
          <w:szCs w:val="24"/>
        </w:rPr>
        <w:t>RME’den sonraki 6 aylık retansiyon süresi</w:t>
      </w:r>
      <w:r w:rsidR="00612CB3" w:rsidRPr="000A40E6">
        <w:rPr>
          <w:rFonts w:eastAsia="Calibri" w:cs="Times New Roman"/>
          <w:szCs w:val="24"/>
        </w:rPr>
        <w:t>nin</w:t>
      </w:r>
      <w:r w:rsidRPr="000A40E6">
        <w:rPr>
          <w:rFonts w:eastAsia="Calibri" w:cs="Times New Roman"/>
          <w:szCs w:val="24"/>
        </w:rPr>
        <w:t>, tedavi öncesi benzer yoğunluk değerleri ile midpalatal süturun remodelingi</w:t>
      </w:r>
      <w:r w:rsidR="00E50D96" w:rsidRPr="000A40E6">
        <w:rPr>
          <w:rFonts w:eastAsia="Calibri" w:cs="Times New Roman"/>
          <w:szCs w:val="24"/>
        </w:rPr>
        <w:t>n</w:t>
      </w:r>
      <w:r w:rsidR="0007745D" w:rsidRPr="000A40E6">
        <w:rPr>
          <w:rFonts w:eastAsia="Calibri" w:cs="Times New Roman"/>
          <w:szCs w:val="24"/>
        </w:rPr>
        <w:t>i sağlamada yeterli olduğu</w:t>
      </w:r>
      <w:r w:rsidR="00E50D96" w:rsidRPr="000A40E6">
        <w:rPr>
          <w:rFonts w:eastAsia="Calibri" w:cs="Times New Roman"/>
          <w:szCs w:val="24"/>
        </w:rPr>
        <w:t xml:space="preserve"> </w:t>
      </w:r>
      <w:r w:rsidRPr="000A40E6">
        <w:rPr>
          <w:rFonts w:eastAsia="Calibri" w:cs="Times New Roman"/>
          <w:szCs w:val="24"/>
        </w:rPr>
        <w:t>belirt</w:t>
      </w:r>
      <w:r w:rsidR="00EA1FE0" w:rsidRPr="000A40E6">
        <w:rPr>
          <w:rFonts w:eastAsia="Calibri" w:cs="Times New Roman"/>
          <w:szCs w:val="24"/>
        </w:rPr>
        <w:t>ilmişt</w:t>
      </w:r>
      <w:r w:rsidRPr="000A40E6">
        <w:rPr>
          <w:rFonts w:eastAsia="Calibri" w:cs="Times New Roman"/>
          <w:szCs w:val="24"/>
        </w:rPr>
        <w:t>ir. Küçükkeleş ve Ceylanoğlu (2003), RME sonrasında artan yanak basıncının 3 aylık retansiyon dönemi sonunda başlangıç düzeyine düştüğünü, bu sürenin retansiyon için yeterli olduğunu belir</w:t>
      </w:r>
      <w:r w:rsidR="005F5B02" w:rsidRPr="000A40E6">
        <w:rPr>
          <w:rFonts w:eastAsia="Calibri" w:cs="Times New Roman"/>
          <w:szCs w:val="24"/>
        </w:rPr>
        <w:t>t</w:t>
      </w:r>
      <w:r w:rsidRPr="000A40E6">
        <w:rPr>
          <w:rFonts w:eastAsia="Calibri" w:cs="Times New Roman"/>
          <w:szCs w:val="24"/>
        </w:rPr>
        <w:t>mişlerdir.</w:t>
      </w:r>
    </w:p>
    <w:p w14:paraId="22EBB0E9" w14:textId="3DEF9FF2" w:rsidR="005D779D" w:rsidRPr="000A40E6" w:rsidRDefault="005D779D" w:rsidP="00F756C3">
      <w:pPr>
        <w:suppressAutoHyphens/>
        <w:spacing w:after="120"/>
        <w:rPr>
          <w:rFonts w:eastAsia="Calibri" w:cs="Times New Roman"/>
          <w:szCs w:val="24"/>
        </w:rPr>
      </w:pPr>
      <w:r w:rsidRPr="000A40E6">
        <w:rPr>
          <w:rFonts w:eastAsia="Calibri" w:cs="Times New Roman"/>
          <w:szCs w:val="24"/>
        </w:rPr>
        <w:t>Çalışmamızın amacı, pubertal dönemde uygulanan RME’nin 3 aylık ve 6 aylık retansiyon dönemleri sonrasında kemik remodelingini diş eti oluğu sıvısında değerlendirip ekspansiyon yapılan maksillanın relapsının önlenmesi için uygun retan</w:t>
      </w:r>
      <w:r w:rsidR="00C41C21" w:rsidRPr="000A40E6">
        <w:rPr>
          <w:rFonts w:eastAsia="Calibri" w:cs="Times New Roman"/>
          <w:szCs w:val="24"/>
        </w:rPr>
        <w:t xml:space="preserve">siyon süresinin belirlenmesidir. </w:t>
      </w:r>
      <w:r w:rsidR="006C4C8E" w:rsidRPr="000A40E6">
        <w:rPr>
          <w:rFonts w:eastAsia="Calibri" w:cs="Times New Roman"/>
          <w:szCs w:val="24"/>
        </w:rPr>
        <w:t>Çalışmamızın b</w:t>
      </w:r>
      <w:r w:rsidRPr="000A40E6">
        <w:rPr>
          <w:rFonts w:eastAsia="Calibri" w:cs="Times New Roman"/>
          <w:szCs w:val="24"/>
        </w:rPr>
        <w:t>ulgular</w:t>
      </w:r>
      <w:r w:rsidR="006C4C8E" w:rsidRPr="000A40E6">
        <w:rPr>
          <w:rFonts w:eastAsia="Calibri" w:cs="Times New Roman"/>
          <w:szCs w:val="24"/>
        </w:rPr>
        <w:t>ı</w:t>
      </w:r>
      <w:r w:rsidRPr="000A40E6">
        <w:rPr>
          <w:rFonts w:eastAsia="Calibri" w:cs="Times New Roman"/>
          <w:szCs w:val="24"/>
        </w:rPr>
        <w:t xml:space="preserve"> doğrultusunda hastaların metabolik aktivitelerinin başlangıç seviyelerine dönüş süreleri değerlendirilerek, retansiyon </w:t>
      </w:r>
      <w:r w:rsidR="002F0757" w:rsidRPr="000A40E6">
        <w:rPr>
          <w:rFonts w:eastAsia="Calibri" w:cs="Times New Roman"/>
          <w:szCs w:val="24"/>
        </w:rPr>
        <w:t>süresinin</w:t>
      </w:r>
      <w:r w:rsidR="000C1245" w:rsidRPr="000A40E6">
        <w:rPr>
          <w:rFonts w:eastAsia="Calibri" w:cs="Times New Roman"/>
          <w:szCs w:val="24"/>
        </w:rPr>
        <w:t xml:space="preserve"> </w:t>
      </w:r>
      <w:r w:rsidR="00D464D4" w:rsidRPr="000A40E6">
        <w:rPr>
          <w:rFonts w:eastAsia="Calibri" w:cs="Times New Roman"/>
          <w:szCs w:val="24"/>
        </w:rPr>
        <w:t xml:space="preserve">doğru belirlenmesi </w:t>
      </w:r>
      <w:r w:rsidR="00056B9A" w:rsidRPr="000A40E6">
        <w:rPr>
          <w:rFonts w:eastAsia="Calibri" w:cs="Times New Roman"/>
          <w:szCs w:val="24"/>
        </w:rPr>
        <w:t>hedeflenmiş ve</w:t>
      </w:r>
      <w:r w:rsidR="00CB12D3" w:rsidRPr="000A40E6">
        <w:rPr>
          <w:rFonts w:eastAsia="Calibri" w:cs="Times New Roman"/>
          <w:szCs w:val="24"/>
        </w:rPr>
        <w:t xml:space="preserve"> </w:t>
      </w:r>
      <w:proofErr w:type="gramStart"/>
      <w:r w:rsidR="005A21B5" w:rsidRPr="000A40E6">
        <w:rPr>
          <w:rFonts w:eastAsia="Calibri" w:cs="Times New Roman"/>
          <w:szCs w:val="24"/>
        </w:rPr>
        <w:t>literatüre</w:t>
      </w:r>
      <w:proofErr w:type="gramEnd"/>
      <w:r w:rsidR="005A21B5" w:rsidRPr="000A40E6">
        <w:rPr>
          <w:rFonts w:eastAsia="Calibri" w:cs="Times New Roman"/>
          <w:szCs w:val="24"/>
        </w:rPr>
        <w:t xml:space="preserve"> katkı sağlanması </w:t>
      </w:r>
      <w:r w:rsidRPr="000A40E6">
        <w:rPr>
          <w:rFonts w:eastAsia="Calibri" w:cs="Times New Roman"/>
          <w:szCs w:val="24"/>
        </w:rPr>
        <w:t>amaçlanmıştır.</w:t>
      </w:r>
    </w:p>
    <w:p w14:paraId="591A04FD" w14:textId="6EB2840B" w:rsidR="00A3711B" w:rsidRPr="000A40E6" w:rsidRDefault="00A3711B">
      <w:pPr>
        <w:spacing w:after="200" w:line="276" w:lineRule="auto"/>
        <w:ind w:firstLine="0"/>
        <w:jc w:val="left"/>
        <w:rPr>
          <w:rFonts w:eastAsia="Calibri" w:cs="Times New Roman"/>
          <w:szCs w:val="24"/>
        </w:rPr>
      </w:pPr>
      <w:r w:rsidRPr="000A40E6">
        <w:rPr>
          <w:rFonts w:eastAsia="Calibri" w:cs="Times New Roman"/>
          <w:szCs w:val="24"/>
        </w:rPr>
        <w:br w:type="page"/>
      </w:r>
    </w:p>
    <w:p w14:paraId="46EEAFB0" w14:textId="77777777" w:rsidR="005D779D" w:rsidRPr="000A40E6" w:rsidRDefault="005D779D" w:rsidP="00F756C3">
      <w:pPr>
        <w:suppressAutoHyphens/>
        <w:spacing w:after="120"/>
        <w:ind w:firstLine="0"/>
        <w:rPr>
          <w:rFonts w:cs="Times New Roman"/>
          <w:b/>
          <w:szCs w:val="24"/>
        </w:rPr>
      </w:pPr>
      <w:bookmarkStart w:id="144" w:name="_Toc136443429"/>
      <w:r w:rsidRPr="000A40E6">
        <w:rPr>
          <w:rFonts w:cs="Times New Roman"/>
          <w:b/>
          <w:szCs w:val="24"/>
        </w:rPr>
        <w:t>5.2. Çalışma Yönteminin Tartışması</w:t>
      </w:r>
      <w:bookmarkEnd w:id="144"/>
    </w:p>
    <w:p w14:paraId="4DD6D2FF" w14:textId="77777777" w:rsidR="005D779D" w:rsidRPr="000A40E6" w:rsidRDefault="005D779D" w:rsidP="00F756C3">
      <w:pPr>
        <w:suppressAutoHyphens/>
        <w:spacing w:after="120"/>
        <w:rPr>
          <w:rFonts w:eastAsia="Calibri" w:cs="Times New Roman"/>
          <w:szCs w:val="24"/>
        </w:rPr>
      </w:pPr>
    </w:p>
    <w:p w14:paraId="4569553B" w14:textId="77777777" w:rsidR="005D779D" w:rsidRPr="000A40E6" w:rsidRDefault="005D779D" w:rsidP="00F756C3">
      <w:pPr>
        <w:suppressAutoHyphens/>
        <w:spacing w:after="120"/>
        <w:rPr>
          <w:rFonts w:eastAsia="Calibri" w:cs="Times New Roman"/>
          <w:szCs w:val="24"/>
        </w:rPr>
      </w:pPr>
      <w:r w:rsidRPr="000A40E6">
        <w:rPr>
          <w:rFonts w:eastAsia="Calibri" w:cs="Times New Roman"/>
          <w:szCs w:val="24"/>
        </w:rPr>
        <w:t>RME tedavisi sonrasında görülebilecek nüksün önlenmesinde retansiyon süresinin yanı sıra bir diğer önemli faktör retansiyon apareyinin tipidir. Nüks miktarı hareketli retansiyon apareyi kullanan hastalarda %22-25, kooperasyon gerektirmeyen sabit retansiyon apareyleri uygulananlarda ise %10-23 arasında bulunmuştur (Hicks, 1978). Çalışmamızda ağız içine yapıştırılan aparey pasif olarak ağızda simante olarak bırakılmış, hasta kooperasyonuna bağlı kalınmadan 6 ay boyunca retansiyon yapılmıştır.</w:t>
      </w:r>
    </w:p>
    <w:p w14:paraId="74F7950B" w14:textId="06C51FC0" w:rsidR="005D779D" w:rsidRPr="000A40E6" w:rsidRDefault="005D779D" w:rsidP="00F756C3">
      <w:pPr>
        <w:suppressAutoHyphens/>
        <w:spacing w:after="120"/>
        <w:rPr>
          <w:rFonts w:eastAsia="Calibri" w:cs="Times New Roman"/>
          <w:szCs w:val="24"/>
        </w:rPr>
      </w:pPr>
      <w:r w:rsidRPr="000A40E6">
        <w:rPr>
          <w:rFonts w:eastAsia="Calibri" w:cs="Times New Roman"/>
          <w:szCs w:val="24"/>
        </w:rPr>
        <w:t xml:space="preserve">Maksiller darlığın tedavisinde kullanılan birçok farklı aparey </w:t>
      </w:r>
      <w:proofErr w:type="gramStart"/>
      <w:r w:rsidRPr="000A40E6">
        <w:rPr>
          <w:rFonts w:eastAsia="Calibri" w:cs="Times New Roman"/>
          <w:szCs w:val="24"/>
        </w:rPr>
        <w:t>dizaynı</w:t>
      </w:r>
      <w:proofErr w:type="gramEnd"/>
      <w:r w:rsidRPr="000A40E6">
        <w:rPr>
          <w:rFonts w:eastAsia="Calibri" w:cs="Times New Roman"/>
          <w:szCs w:val="24"/>
        </w:rPr>
        <w:t xml:space="preserve"> mevcuttur. Bunlar apareyin destek aldığı yapılar, kuvvet ünitelerinin farklılığı, sabit veya hareketli olmalarına göre çeşitlilik göstermektedir. Önemli olan kullanılacak aparey tasarımının etkilerini bilerek, istenilen faydayı elde etmektir (Chaconas ve Caputo, 1982). Sabit ekspansiyon apareyleri, yaylı ve vidalı sistemler </w:t>
      </w:r>
      <w:r w:rsidR="00902288" w:rsidRPr="000A40E6">
        <w:rPr>
          <w:rFonts w:eastAsia="Calibri" w:cs="Times New Roman"/>
          <w:szCs w:val="24"/>
        </w:rPr>
        <w:t>(Bishara ve Staley, 1987) veya banded ve b</w:t>
      </w:r>
      <w:r w:rsidRPr="000A40E6">
        <w:rPr>
          <w:rFonts w:eastAsia="Calibri" w:cs="Times New Roman"/>
          <w:szCs w:val="24"/>
        </w:rPr>
        <w:t xml:space="preserve">onded </w:t>
      </w:r>
      <w:proofErr w:type="gramStart"/>
      <w:r w:rsidRPr="000A40E6">
        <w:rPr>
          <w:rFonts w:eastAsia="Calibri" w:cs="Times New Roman"/>
          <w:szCs w:val="24"/>
        </w:rPr>
        <w:t>apareyler  olar</w:t>
      </w:r>
      <w:r w:rsidR="00AF6C4A" w:rsidRPr="000A40E6">
        <w:rPr>
          <w:rFonts w:eastAsia="Calibri" w:cs="Times New Roman"/>
          <w:szCs w:val="24"/>
        </w:rPr>
        <w:t>ak</w:t>
      </w:r>
      <w:proofErr w:type="gramEnd"/>
      <w:r w:rsidR="00AF6C4A" w:rsidRPr="000A40E6">
        <w:rPr>
          <w:rFonts w:eastAsia="Calibri" w:cs="Times New Roman"/>
          <w:szCs w:val="24"/>
        </w:rPr>
        <w:t xml:space="preserve"> sınıflandırılabilir</w:t>
      </w:r>
      <w:r w:rsidR="00974174" w:rsidRPr="000A40E6">
        <w:rPr>
          <w:rFonts w:eastAsia="Calibri" w:cs="Times New Roman"/>
          <w:szCs w:val="24"/>
        </w:rPr>
        <w:t xml:space="preserve"> (Asanza ve diğerleri, 1997)</w:t>
      </w:r>
      <w:r w:rsidR="00AF6C4A" w:rsidRPr="000A40E6">
        <w:rPr>
          <w:rFonts w:eastAsia="Calibri" w:cs="Times New Roman"/>
          <w:szCs w:val="24"/>
        </w:rPr>
        <w:t>. Vidalı-b</w:t>
      </w:r>
      <w:r w:rsidRPr="000A40E6">
        <w:rPr>
          <w:rFonts w:eastAsia="Calibri" w:cs="Times New Roman"/>
          <w:szCs w:val="24"/>
        </w:rPr>
        <w:t>anded genişletme apareylerinden olan Hyrax ve Haas apareylerinin ekspansiyon sırasında birçok yan etkisinin olduğu bildirilmiştir. Bu dezavantajlar, maksillanın aşağı ve öne doğru hareketi (da Silva F</w:t>
      </w:r>
      <w:r w:rsidR="00C71D8D" w:rsidRPr="000A40E6">
        <w:rPr>
          <w:rFonts w:eastAsia="Calibri" w:cs="Times New Roman"/>
          <w:szCs w:val="24"/>
        </w:rPr>
        <w:t>ilho ve diğerleri, 1991) alveola</w:t>
      </w:r>
      <w:r w:rsidRPr="000A40E6">
        <w:rPr>
          <w:rFonts w:eastAsia="Calibri" w:cs="Times New Roman"/>
          <w:szCs w:val="24"/>
        </w:rPr>
        <w:t xml:space="preserve">r devrilme, maksiller posterior dişlerde tipping (Garrett ve diğerleri, 2008; Kılıç ve diğerleri, 2008) ve ekstrüzyon, mandibulanın saat yönünde rotasyonu </w:t>
      </w:r>
      <w:r w:rsidR="007D61E9" w:rsidRPr="000A40E6">
        <w:rPr>
          <w:rFonts w:eastAsia="Calibri" w:cs="Times New Roman"/>
          <w:szCs w:val="24"/>
        </w:rPr>
        <w:t>(Basciftc</w:t>
      </w:r>
      <w:r w:rsidRPr="000A40E6">
        <w:rPr>
          <w:rFonts w:eastAsia="Calibri" w:cs="Times New Roman"/>
          <w:szCs w:val="24"/>
        </w:rPr>
        <w:t>i ve Karaman, 2002), kök rezorpsiyonu</w:t>
      </w:r>
      <w:r w:rsidR="006F709A" w:rsidRPr="000A40E6">
        <w:rPr>
          <w:rFonts w:eastAsia="Calibri" w:cs="Times New Roman"/>
          <w:szCs w:val="24"/>
        </w:rPr>
        <w:t xml:space="preserve"> (Kayhan ve diğerleri, 2000)</w:t>
      </w:r>
      <w:r w:rsidRPr="000A40E6">
        <w:rPr>
          <w:rFonts w:eastAsia="Calibri" w:cs="Times New Roman"/>
          <w:szCs w:val="24"/>
        </w:rPr>
        <w:t xml:space="preserve"> </w:t>
      </w:r>
      <w:r w:rsidR="001A43ED" w:rsidRPr="000A40E6">
        <w:rPr>
          <w:rFonts w:eastAsia="Calibri" w:cs="Times New Roman"/>
          <w:szCs w:val="24"/>
        </w:rPr>
        <w:t>olarak sıralanabilir</w:t>
      </w:r>
      <w:r w:rsidRPr="000A40E6">
        <w:rPr>
          <w:rFonts w:eastAsia="Calibri" w:cs="Times New Roman"/>
          <w:szCs w:val="24"/>
        </w:rPr>
        <w:t xml:space="preserve">. Buna rağmen, Hyrax apareyi klinisyenler tarafından en fazla kullanılan RME apareyidir (Schuster ve diğerleri, 2005). Akrilik destek olmaksızın sadece premolar ve molar bantlarına lehimlenen bir vidadan oluşan diş destekli bu apareyin Haas apareyine göre daha </w:t>
      </w:r>
      <w:proofErr w:type="gramStart"/>
      <w:r w:rsidRPr="000A40E6">
        <w:rPr>
          <w:rFonts w:eastAsia="Calibri" w:cs="Times New Roman"/>
          <w:szCs w:val="24"/>
        </w:rPr>
        <w:t>hijyenik</w:t>
      </w:r>
      <w:proofErr w:type="gramEnd"/>
      <w:r w:rsidRPr="000A40E6">
        <w:rPr>
          <w:rFonts w:eastAsia="Calibri" w:cs="Times New Roman"/>
          <w:szCs w:val="24"/>
        </w:rPr>
        <w:t xml:space="preserve"> olduğu belirtilmiştir (Biederman, 1973). Aynı zamanda retansiyon apareyi olarak da kullanılabili</w:t>
      </w:r>
      <w:r w:rsidR="007D61E9" w:rsidRPr="000A40E6">
        <w:rPr>
          <w:rFonts w:eastAsia="Calibri" w:cs="Times New Roman"/>
          <w:szCs w:val="24"/>
        </w:rPr>
        <w:t xml:space="preserve">r (McNally ve diğerleri, 2005). </w:t>
      </w:r>
      <w:r w:rsidRPr="000A40E6">
        <w:rPr>
          <w:rFonts w:eastAsia="Calibri" w:cs="Times New Roman"/>
          <w:szCs w:val="24"/>
        </w:rPr>
        <w:t>Çalışmamızda maksiller 1. molar bantlarına lehi</w:t>
      </w:r>
      <w:r w:rsidR="00653C40" w:rsidRPr="000A40E6">
        <w:rPr>
          <w:rFonts w:eastAsia="Calibri" w:cs="Times New Roman"/>
          <w:szCs w:val="24"/>
        </w:rPr>
        <w:t>mlenen h</w:t>
      </w:r>
      <w:r w:rsidR="0028326F" w:rsidRPr="000A40E6">
        <w:rPr>
          <w:rFonts w:eastAsia="Calibri" w:cs="Times New Roman"/>
          <w:szCs w:val="24"/>
        </w:rPr>
        <w:t>yrax vidasından oluşan b</w:t>
      </w:r>
      <w:r w:rsidRPr="000A40E6">
        <w:rPr>
          <w:rFonts w:eastAsia="Calibri" w:cs="Times New Roman"/>
          <w:szCs w:val="24"/>
        </w:rPr>
        <w:t>anded tip RME apareyi kullanılmıştır.</w:t>
      </w:r>
    </w:p>
    <w:p w14:paraId="591DB451" w14:textId="713949BE" w:rsidR="005D779D" w:rsidRPr="000A40E6" w:rsidRDefault="005D779D" w:rsidP="00F756C3">
      <w:pPr>
        <w:suppressAutoHyphens/>
        <w:spacing w:after="120"/>
        <w:rPr>
          <w:rFonts w:eastAsia="Calibri" w:cs="Times New Roman"/>
          <w:szCs w:val="24"/>
        </w:rPr>
      </w:pPr>
      <w:r w:rsidRPr="000A40E6">
        <w:rPr>
          <w:rFonts w:eastAsia="Calibri" w:cs="Times New Roman"/>
          <w:szCs w:val="24"/>
        </w:rPr>
        <w:t>RME apareylerinde vida çevirme protokolleri, uygulanacak kuvvet miktarına göre belirlenir ve iskeletsel etkinin dişsel etkiden daha fazla olması beklenir (Haas, 1970;</w:t>
      </w:r>
      <w:r w:rsidR="00086819" w:rsidRPr="000A40E6">
        <w:rPr>
          <w:rFonts w:eastAsia="Calibri" w:cs="Times New Roman"/>
          <w:szCs w:val="24"/>
        </w:rPr>
        <w:t xml:space="preserve"> Lamparski</w:t>
      </w:r>
      <w:r w:rsidR="004B7C1F" w:rsidRPr="000A40E6">
        <w:rPr>
          <w:rFonts w:eastAsia="Calibri" w:cs="Times New Roman"/>
          <w:szCs w:val="24"/>
        </w:rPr>
        <w:t xml:space="preserve"> Jr</w:t>
      </w:r>
      <w:r w:rsidR="00086819" w:rsidRPr="000A40E6">
        <w:rPr>
          <w:rFonts w:eastAsia="Calibri" w:cs="Times New Roman"/>
          <w:szCs w:val="24"/>
        </w:rPr>
        <w:t xml:space="preserve"> ve diğerleri, 2003). </w:t>
      </w:r>
      <w:r w:rsidRPr="000A40E6">
        <w:rPr>
          <w:rFonts w:eastAsia="Calibri" w:cs="Times New Roman"/>
          <w:szCs w:val="24"/>
        </w:rPr>
        <w:t>Literatürde birçok protokol farklılıkları mevcuttur. Konvansiyonel RME protokolü vidanın günde 2 kez çevrilmesini içerir (</w:t>
      </w:r>
      <w:r w:rsidR="0011081E" w:rsidRPr="000A40E6">
        <w:rPr>
          <w:rFonts w:eastAsia="Calibri" w:cs="Times New Roman"/>
          <w:szCs w:val="24"/>
        </w:rPr>
        <w:t>Asanza ve diğerleri, 1997; Biederman, 1968;</w:t>
      </w:r>
      <w:r w:rsidR="006E0D78" w:rsidRPr="000A40E6">
        <w:rPr>
          <w:rFonts w:eastAsia="Calibri" w:cs="Times New Roman"/>
          <w:szCs w:val="24"/>
        </w:rPr>
        <w:t xml:space="preserve"> Christie ve Ruedemann, 1967;</w:t>
      </w:r>
      <w:r w:rsidR="0011081E" w:rsidRPr="000A40E6">
        <w:rPr>
          <w:rFonts w:eastAsia="Calibri" w:cs="Times New Roman"/>
          <w:szCs w:val="24"/>
        </w:rPr>
        <w:t xml:space="preserve"> </w:t>
      </w:r>
      <w:r w:rsidRPr="000A40E6">
        <w:rPr>
          <w:rFonts w:eastAsia="Calibri" w:cs="Times New Roman"/>
          <w:szCs w:val="24"/>
        </w:rPr>
        <w:t>Haas, 1961; Lamparski</w:t>
      </w:r>
      <w:r w:rsidR="00C63910" w:rsidRPr="000A40E6">
        <w:rPr>
          <w:rFonts w:eastAsia="Calibri" w:cs="Times New Roman"/>
          <w:szCs w:val="24"/>
        </w:rPr>
        <w:t xml:space="preserve"> Jr</w:t>
      </w:r>
      <w:r w:rsidRPr="000A40E6">
        <w:rPr>
          <w:rFonts w:eastAsia="Calibri" w:cs="Times New Roman"/>
          <w:szCs w:val="24"/>
        </w:rPr>
        <w:t xml:space="preserve"> ve </w:t>
      </w:r>
      <w:r w:rsidR="00C63910" w:rsidRPr="000A40E6">
        <w:rPr>
          <w:rFonts w:eastAsia="Calibri" w:cs="Times New Roman"/>
          <w:szCs w:val="24"/>
        </w:rPr>
        <w:t>diğerleri, 2003; Memikoglu ve Iş</w:t>
      </w:r>
      <w:r w:rsidRPr="000A40E6">
        <w:rPr>
          <w:rFonts w:eastAsia="Calibri" w:cs="Times New Roman"/>
          <w:szCs w:val="24"/>
        </w:rPr>
        <w:t xml:space="preserve">eri, 1999). Cross ve McDonald (2000), yaptıkları çalışmada aparey yapıştırıldıktan 1 gün sonra vidayı çevirmeye başlamış, ilk hafta günde 3 kez, 2. hafta günde 2 kez ve 3. hafta günde 1 kez çevirme protokolünü uygulamışlardır. Handelman (1997) ile Wendling ve diğerleri (2005), vidanın günde 1 kez çevrilmesini önermişlerdir. </w:t>
      </w:r>
      <w:r w:rsidR="00E9260C" w:rsidRPr="000A40E6">
        <w:rPr>
          <w:rFonts w:eastAsia="Calibri" w:cs="Times New Roman"/>
          <w:szCs w:val="24"/>
        </w:rPr>
        <w:t>Basciftc</w:t>
      </w:r>
      <w:r w:rsidRPr="000A40E6">
        <w:rPr>
          <w:rFonts w:eastAsia="Calibri" w:cs="Times New Roman"/>
          <w:szCs w:val="24"/>
        </w:rPr>
        <w:t>i ve Karaman (2002)</w:t>
      </w:r>
      <w:r w:rsidR="005D5492" w:rsidRPr="000A40E6">
        <w:rPr>
          <w:rFonts w:eastAsia="Calibri" w:cs="Times New Roman"/>
          <w:szCs w:val="24"/>
        </w:rPr>
        <w:t xml:space="preserve"> ile </w:t>
      </w:r>
      <w:proofErr w:type="gramStart"/>
      <w:r w:rsidR="005D5492" w:rsidRPr="000A40E6">
        <w:rPr>
          <w:rFonts w:eastAsia="Calibri" w:cs="Times New Roman"/>
          <w:szCs w:val="24"/>
        </w:rPr>
        <w:t>Sari</w:t>
      </w:r>
      <w:proofErr w:type="gramEnd"/>
      <w:r w:rsidRPr="000A40E6">
        <w:rPr>
          <w:rFonts w:eastAsia="Calibri" w:cs="Times New Roman"/>
          <w:szCs w:val="24"/>
        </w:rPr>
        <w:t xml:space="preserve"> ve diğerleri (2003), vidanın ilk hafta günde 2 kez, sütural ayrılma sonrasında ise günde 1 kez çevrilmesini önermişlerdir. Literatürde, vidanın bir tur çevrilmesiyle 3-10 pound (1,5-4,5 kg) kuvvet meydana geldiği bildirilmiştir (Timms, 1980). Güncel bir çalışmada, üç farklı ekspansiyon vidasının mek</w:t>
      </w:r>
      <w:r w:rsidR="00767EB3" w:rsidRPr="000A40E6">
        <w:rPr>
          <w:rFonts w:eastAsia="Calibri" w:cs="Times New Roman"/>
          <w:szCs w:val="24"/>
        </w:rPr>
        <w:t>anik özellikleri incelenmiş ve h</w:t>
      </w:r>
      <w:r w:rsidRPr="000A40E6">
        <w:rPr>
          <w:rFonts w:eastAsia="Calibri" w:cs="Times New Roman"/>
          <w:szCs w:val="24"/>
        </w:rPr>
        <w:t>yrax vidasının yaklaşık 1,6 kg kuvvet oluşturduğu belirtilmiştir (Camporesi ve diğerleri, 2013). Çalışmamızda da en sık kullanılan protokol olan günde 2 kez aktivasyon yöntemi uygulanmıştır.</w:t>
      </w:r>
    </w:p>
    <w:p w14:paraId="639B61DD" w14:textId="535FC631" w:rsidR="005D779D" w:rsidRPr="000A40E6" w:rsidRDefault="005D779D" w:rsidP="00F756C3">
      <w:pPr>
        <w:suppressAutoHyphens/>
        <w:spacing w:after="120"/>
        <w:rPr>
          <w:rFonts w:eastAsia="Calibri" w:cs="Times New Roman"/>
          <w:szCs w:val="24"/>
        </w:rPr>
      </w:pPr>
      <w:r w:rsidRPr="000A40E6">
        <w:rPr>
          <w:rFonts w:eastAsia="Calibri" w:cs="Times New Roman"/>
          <w:szCs w:val="24"/>
        </w:rPr>
        <w:t xml:space="preserve">RME tedavisinin uygulama yaşı ile ilgili olarak farklı görüşler bulunmaktadır. Bishara ve Staley (1987), ekspansiyon için en uygun yaşın 13-15 yaş öncesi olduğunu, daha ileri yaşlarda ekspansiyon olsa da sonuçların </w:t>
      </w:r>
      <w:proofErr w:type="gramStart"/>
      <w:r w:rsidRPr="000A40E6">
        <w:rPr>
          <w:rFonts w:eastAsia="Calibri" w:cs="Times New Roman"/>
          <w:szCs w:val="24"/>
        </w:rPr>
        <w:t>stabil</w:t>
      </w:r>
      <w:proofErr w:type="gramEnd"/>
      <w:r w:rsidRPr="000A40E6">
        <w:rPr>
          <w:rFonts w:eastAsia="Calibri" w:cs="Times New Roman"/>
          <w:szCs w:val="24"/>
        </w:rPr>
        <w:t xml:space="preserve"> olmayacağını belirtmiştir. Baccetti ve diğerleri (2001), maksiller ekspansiyonun, pubertal büyüme atılımı döneminde yapılmasını, en fazla iskeletsel etkinin bu dönemde elde edileceğini belirtmişlerdir. Midpalatal süturun artan interdijitasyonu pubertal dönemden sonra ayrılmayı zorlaştırır (Moyers ve diğerleri, 1976). Bu sebeplerden dolayı çalışmaya </w:t>
      </w:r>
      <w:proofErr w:type="gramStart"/>
      <w:r w:rsidRPr="000A40E6">
        <w:rPr>
          <w:rFonts w:eastAsia="Calibri" w:cs="Times New Roman"/>
          <w:szCs w:val="24"/>
        </w:rPr>
        <w:t>dahil</w:t>
      </w:r>
      <w:proofErr w:type="gramEnd"/>
      <w:r w:rsidRPr="000A40E6">
        <w:rPr>
          <w:rFonts w:eastAsia="Calibri" w:cs="Times New Roman"/>
          <w:szCs w:val="24"/>
        </w:rPr>
        <w:t xml:space="preserve"> edilen bireylerin pubertal dönemdeki bireyler olmasına dikkat edilmiştir. İskeletsel olgunlaşmanın da bireysel olarak büyük farklılıklar gösterdiği iyi bilinmektedir. Boy uzunluğunda artış (Hunter, 1966); el ve bileğin iskeletsel olgunlaşması (Taranger ve Hägg, 1980), diş gelişimi ve erüpsiyonu (Lewis ve Garn, 1960), kızlarda menarş, erkeklerde ses değişiklikleri (Tanner, 1962) ve servikal vertebral olgunlaşma gibi belirteçler iskeletsel olgunlaşmayı belirlemek için kullanılan yöntemlerdir (O’Reilly ve Yanniello, 1988). Çalışmamızda, hastaların olgunlaşma dönemini belirleyebilmek için klinik pratiğinde sık kullanılan el bilek filmi alınmıştır. El bilek kemiklerinin olgunlaşma evrelerine göre tespit edilen, pubertal dönemdeki (S-MP3cap evreleri) bireyler </w:t>
      </w:r>
      <w:proofErr w:type="gramStart"/>
      <w:r w:rsidRPr="000A40E6">
        <w:rPr>
          <w:rFonts w:eastAsia="Calibri" w:cs="Times New Roman"/>
          <w:szCs w:val="24"/>
        </w:rPr>
        <w:t>dahil</w:t>
      </w:r>
      <w:proofErr w:type="gramEnd"/>
      <w:r w:rsidRPr="000A40E6">
        <w:rPr>
          <w:rFonts w:eastAsia="Calibri" w:cs="Times New Roman"/>
          <w:szCs w:val="24"/>
        </w:rPr>
        <w:t xml:space="preserve"> edilmiştir</w:t>
      </w:r>
      <w:r w:rsidR="00A90391" w:rsidRPr="000A40E6">
        <w:rPr>
          <w:rFonts w:eastAsia="Calibri" w:cs="Times New Roman"/>
          <w:szCs w:val="24"/>
        </w:rPr>
        <w:t xml:space="preserve"> (Grave ve Brown, 1976)</w:t>
      </w:r>
      <w:r w:rsidRPr="000A40E6">
        <w:rPr>
          <w:rFonts w:eastAsia="Calibri" w:cs="Times New Roman"/>
          <w:szCs w:val="24"/>
        </w:rPr>
        <w:t>.</w:t>
      </w:r>
    </w:p>
    <w:p w14:paraId="5B063E57" w14:textId="1C431D8B" w:rsidR="005D779D" w:rsidRPr="000A40E6" w:rsidRDefault="005D779D" w:rsidP="00F756C3">
      <w:pPr>
        <w:suppressAutoHyphens/>
        <w:spacing w:after="120"/>
        <w:rPr>
          <w:rFonts w:eastAsia="Calibri" w:cs="Times New Roman"/>
          <w:szCs w:val="24"/>
        </w:rPr>
      </w:pPr>
      <w:r w:rsidRPr="000A40E6">
        <w:rPr>
          <w:rFonts w:cs="Times New Roman"/>
          <w:szCs w:val="24"/>
        </w:rPr>
        <w:t>RME etkilerini inceleyen birçok çalışmada cinsiyet ayrımı yapılmamıştır (Bishara ve Staley</w:t>
      </w:r>
      <w:r w:rsidR="00BB288D" w:rsidRPr="000A40E6">
        <w:rPr>
          <w:rFonts w:cs="Times New Roman"/>
          <w:szCs w:val="24"/>
        </w:rPr>
        <w:t xml:space="preserve"> 1987</w:t>
      </w:r>
      <w:r w:rsidR="006D4CC9" w:rsidRPr="000A40E6">
        <w:rPr>
          <w:rFonts w:cs="Times New Roman"/>
          <w:szCs w:val="24"/>
        </w:rPr>
        <w:t>; Memikoglu ve Iseri, 1999; Velá</w:t>
      </w:r>
      <w:r w:rsidRPr="000A40E6">
        <w:rPr>
          <w:rFonts w:cs="Times New Roman"/>
          <w:szCs w:val="24"/>
        </w:rPr>
        <w:t xml:space="preserve">zquez ve diğerleri, 1996). Wertz (1970), cinsiyet ayrımını göz önünde bulundurduğu çalışmasında cinsiyetler arasında fark bulamamıştır. Bu sebeple </w:t>
      </w:r>
      <w:r w:rsidR="00DA619B" w:rsidRPr="000A40E6">
        <w:rPr>
          <w:rFonts w:cs="Times New Roman"/>
          <w:szCs w:val="24"/>
        </w:rPr>
        <w:t xml:space="preserve">çalışmamızda </w:t>
      </w:r>
      <w:r w:rsidR="00E26CF5" w:rsidRPr="000A40E6">
        <w:rPr>
          <w:rFonts w:cs="Times New Roman"/>
          <w:szCs w:val="24"/>
        </w:rPr>
        <w:t>veriler cinsiy</w:t>
      </w:r>
      <w:r w:rsidRPr="000A40E6">
        <w:rPr>
          <w:rFonts w:cs="Times New Roman"/>
          <w:szCs w:val="24"/>
        </w:rPr>
        <w:t>e</w:t>
      </w:r>
      <w:r w:rsidR="00E26CF5" w:rsidRPr="000A40E6">
        <w:rPr>
          <w:rFonts w:cs="Times New Roman"/>
          <w:szCs w:val="24"/>
        </w:rPr>
        <w:t>te</w:t>
      </w:r>
      <w:r w:rsidRPr="000A40E6">
        <w:rPr>
          <w:rFonts w:cs="Times New Roman"/>
          <w:szCs w:val="24"/>
        </w:rPr>
        <w:t xml:space="preserve"> göre değerlendirilmemiştir.</w:t>
      </w:r>
    </w:p>
    <w:p w14:paraId="19926E64" w14:textId="55D12BDF" w:rsidR="005D779D" w:rsidRPr="000A40E6" w:rsidRDefault="005D779D" w:rsidP="00F756C3">
      <w:pPr>
        <w:suppressAutoHyphens/>
        <w:spacing w:after="120"/>
        <w:rPr>
          <w:rFonts w:eastAsia="Calibri" w:cs="Times New Roman"/>
          <w:szCs w:val="24"/>
        </w:rPr>
      </w:pPr>
      <w:r w:rsidRPr="000A40E6">
        <w:rPr>
          <w:rFonts w:eastAsia="Calibri" w:cs="Times New Roman"/>
          <w:szCs w:val="24"/>
        </w:rPr>
        <w:t>Dental yapılara ortodontik veya ortopedik bir kuvvet uygulandığında, basınç tarafında kemik rezorpsiyonuna ve gerilim tarafında kemik yapımına yol açan ardışık olaylar meydana gelir. Bu reaksiyonlar ortodontide diş hareketi için gereklidir. RME tedavisi ile ilgili olarak dental ve iskeletsel yanıtlarda bireysel değişkenlikler görülmektedir (Ballanti ve diğerleri, 2009). Klinisyenler RME’den sonraki ortodontik tedaviye başlamadan önce nüks eğilimini en aza indirmek için periodontal yapıların ve palatal süturların yeterli mineralizasyonunu elde edebilmelidir. RME tedavisinden sonra hücresel aktivitelerin belirlenmesi bu açıdan klinik öneme sahiptir (Garib ve diğerleri, 2006; Timms ve diğerleri, 1982). Ortodontik tedavi sırasında, kemiğin remodelingini tetikleyen ve diş hareketine izin veren biyokimyasal mediyatörler diş eti oluğu sıvısında tespit edilmiştir (Grieve</w:t>
      </w:r>
      <w:r w:rsidR="00023375" w:rsidRPr="000A40E6">
        <w:rPr>
          <w:rFonts w:cs="Times New Roman"/>
          <w:szCs w:val="24"/>
          <w:shd w:val="clear" w:color="auto" w:fill="FFFFFF"/>
        </w:rPr>
        <w:t xml:space="preserve"> III</w:t>
      </w:r>
      <w:r w:rsidRPr="000A40E6">
        <w:rPr>
          <w:rFonts w:eastAsia="Calibri" w:cs="Times New Roman"/>
          <w:szCs w:val="24"/>
        </w:rPr>
        <w:t xml:space="preserve"> ve diğerleri, 199</w:t>
      </w:r>
      <w:r w:rsidR="00C33BF6" w:rsidRPr="000A40E6">
        <w:rPr>
          <w:rFonts w:eastAsia="Calibri" w:cs="Times New Roman"/>
          <w:szCs w:val="24"/>
        </w:rPr>
        <w:t xml:space="preserve">4; Lowney ve diğerleri, 1995). </w:t>
      </w:r>
      <w:r w:rsidRPr="000A40E6">
        <w:rPr>
          <w:rFonts w:eastAsia="Calibri" w:cs="Times New Roman"/>
          <w:szCs w:val="24"/>
        </w:rPr>
        <w:t>Bu a</w:t>
      </w:r>
      <w:r w:rsidR="00D57683" w:rsidRPr="000A40E6">
        <w:rPr>
          <w:rFonts w:eastAsia="Calibri" w:cs="Times New Roman"/>
          <w:szCs w:val="24"/>
        </w:rPr>
        <w:t xml:space="preserve">maçla çalışmamızda </w:t>
      </w:r>
      <w:r w:rsidR="000E7999" w:rsidRPr="000A40E6">
        <w:rPr>
          <w:rFonts w:eastAsia="Calibri" w:cs="Times New Roman"/>
          <w:szCs w:val="24"/>
        </w:rPr>
        <w:t>invaziv</w:t>
      </w:r>
      <w:r w:rsidR="00474C71" w:rsidRPr="000A40E6">
        <w:rPr>
          <w:rFonts w:eastAsia="Calibri" w:cs="Times New Roman"/>
          <w:szCs w:val="24"/>
        </w:rPr>
        <w:t xml:space="preserve"> </w:t>
      </w:r>
      <w:r w:rsidRPr="000A40E6">
        <w:rPr>
          <w:rFonts w:eastAsia="Calibri" w:cs="Times New Roman"/>
          <w:szCs w:val="24"/>
        </w:rPr>
        <w:t xml:space="preserve">olmayan bir yöntem olan DOS analizi yapılmıştır (Alhashimi ve diğerleri, 2001; Ren ve diğerleri, 2002). Çalışmamız sırasında apareye </w:t>
      </w:r>
      <w:proofErr w:type="gramStart"/>
      <w:r w:rsidRPr="000A40E6">
        <w:rPr>
          <w:rFonts w:eastAsia="Calibri" w:cs="Times New Roman"/>
          <w:szCs w:val="24"/>
        </w:rPr>
        <w:t>dahil</w:t>
      </w:r>
      <w:proofErr w:type="gramEnd"/>
      <w:r w:rsidRPr="000A40E6">
        <w:rPr>
          <w:rFonts w:eastAsia="Calibri" w:cs="Times New Roman"/>
          <w:szCs w:val="24"/>
        </w:rPr>
        <w:t xml:space="preserve"> edilen ve güçlü kuvvetlerin etkisinde olan maksiller 1. molar dişlerden DOS örnekleri elde edilip hem basınç hem de gerilim bölgeleri dikkate alınmıştır.</w:t>
      </w:r>
    </w:p>
    <w:p w14:paraId="21A1C38D" w14:textId="548CE3B3" w:rsidR="005D779D" w:rsidRPr="000A40E6" w:rsidRDefault="005D779D" w:rsidP="00F756C3">
      <w:pPr>
        <w:suppressAutoHyphens/>
        <w:spacing w:after="120"/>
        <w:rPr>
          <w:rFonts w:eastAsia="Calibri" w:cs="Times New Roman"/>
          <w:szCs w:val="24"/>
        </w:rPr>
      </w:pPr>
      <w:r w:rsidRPr="000A40E6">
        <w:rPr>
          <w:rFonts w:eastAsia="Calibri" w:cs="Times New Roman"/>
          <w:szCs w:val="24"/>
        </w:rPr>
        <w:t xml:space="preserve">DOS örneklerinin toplanmasında, en güvenilir ve pratik yöntemin </w:t>
      </w:r>
      <w:proofErr w:type="gramStart"/>
      <w:r w:rsidRPr="000A40E6">
        <w:rPr>
          <w:rFonts w:eastAsia="Calibri" w:cs="Times New Roman"/>
          <w:szCs w:val="24"/>
        </w:rPr>
        <w:t>kağıt</w:t>
      </w:r>
      <w:proofErr w:type="gramEnd"/>
      <w:r w:rsidRPr="000A40E6">
        <w:rPr>
          <w:rFonts w:eastAsia="Calibri" w:cs="Times New Roman"/>
          <w:szCs w:val="24"/>
        </w:rPr>
        <w:t xml:space="preserve"> şerit yöntemi olduğu savunulmuştur (Griffiths, 2003). </w:t>
      </w:r>
      <w:proofErr w:type="gramStart"/>
      <w:r w:rsidRPr="000A40E6">
        <w:rPr>
          <w:rFonts w:eastAsia="Calibri" w:cs="Times New Roman"/>
          <w:szCs w:val="24"/>
        </w:rPr>
        <w:t>Kağıt</w:t>
      </w:r>
      <w:proofErr w:type="gramEnd"/>
      <w:r w:rsidRPr="000A40E6">
        <w:rPr>
          <w:rFonts w:eastAsia="Calibri" w:cs="Times New Roman"/>
          <w:szCs w:val="24"/>
        </w:rPr>
        <w:t xml:space="preserve"> şeritler ile DOS toplanmasının avantajları hızlı olması, travmatik olmaması, her bölgede uygulanılabilir olması ve kolay kullanılmasıdır (Uitto, 2003). Çalışmamızda standart </w:t>
      </w:r>
      <w:proofErr w:type="gramStart"/>
      <w:r w:rsidRPr="000A40E6">
        <w:rPr>
          <w:rFonts w:eastAsia="Calibri" w:cs="Times New Roman"/>
          <w:szCs w:val="24"/>
        </w:rPr>
        <w:t>kağıt</w:t>
      </w:r>
      <w:proofErr w:type="gramEnd"/>
      <w:r w:rsidRPr="000A40E6">
        <w:rPr>
          <w:rFonts w:eastAsia="Calibri" w:cs="Times New Roman"/>
          <w:szCs w:val="24"/>
        </w:rPr>
        <w:t xml:space="preserve"> şeritler ile orta derecede basınç hissedilinceye kadar cep içerisine yerleştirilerek örnekler toplanmıştır ve örneklerin kan tükürük ve plak ile kontamine olmamasına dikkat edilmiştir.</w:t>
      </w:r>
    </w:p>
    <w:p w14:paraId="55D7CE2A" w14:textId="3C083420" w:rsidR="005D779D" w:rsidRPr="000A40E6" w:rsidRDefault="005D779D" w:rsidP="00F756C3">
      <w:pPr>
        <w:suppressAutoHyphens/>
        <w:spacing w:after="120"/>
        <w:rPr>
          <w:rFonts w:eastAsia="Calibri" w:cs="Times New Roman"/>
          <w:szCs w:val="24"/>
        </w:rPr>
      </w:pPr>
      <w:r w:rsidRPr="000A40E6">
        <w:rPr>
          <w:rFonts w:eastAsia="Calibri" w:cs="Times New Roman"/>
          <w:szCs w:val="24"/>
        </w:rPr>
        <w:t xml:space="preserve">İdeal DOS örnekleme süresi hakkında net bir görüş bildirilmemiştir (Hatipoğlu, 2010).  </w:t>
      </w:r>
      <w:proofErr w:type="gramStart"/>
      <w:r w:rsidRPr="000A40E6">
        <w:rPr>
          <w:rFonts w:eastAsia="Calibri" w:cs="Times New Roman"/>
          <w:szCs w:val="24"/>
        </w:rPr>
        <w:t>Literatür incelendiğinde 3 sn (Tschuchida ve Hara, 1981), 5 sn (Griffiths ve diğerleri, 1998), 15 sn (</w:t>
      </w:r>
      <w:r w:rsidR="00E23210" w:rsidRPr="000A40E6">
        <w:rPr>
          <w:rFonts w:eastAsia="Calibri" w:cs="Times New Roman"/>
          <w:szCs w:val="24"/>
        </w:rPr>
        <w:t>Giannopolou ve diğerleri, 2003; Oates ve diğerleri, 2002</w:t>
      </w:r>
      <w:r w:rsidRPr="000A40E6">
        <w:rPr>
          <w:rFonts w:eastAsia="Calibri" w:cs="Times New Roman"/>
          <w:szCs w:val="24"/>
        </w:rPr>
        <w:t xml:space="preserve">), 20 sn (Mathur ve diğerleri, 1996), 25 sn (Deinzer ve diğerleri, 2000), 30 sn (Haerian ve diğerleri, 1995; Özkavaf ve diğerleri, 2000), 1 dk (Awawdeh ve diğerleri, 2002), 90 sn (Kowashi ve diğerleri, 1980), 2 dk (Cox ve diğerleri, 1992) ve </w:t>
      </w:r>
      <w:r w:rsidR="0014282B" w:rsidRPr="000A40E6">
        <w:rPr>
          <w:rFonts w:eastAsia="Calibri" w:cs="Times New Roman"/>
          <w:szCs w:val="24"/>
        </w:rPr>
        <w:t>3 dk (Villela ve diğerleri, 1987</w:t>
      </w:r>
      <w:r w:rsidRPr="000A40E6">
        <w:rPr>
          <w:rFonts w:eastAsia="Calibri" w:cs="Times New Roman"/>
          <w:szCs w:val="24"/>
        </w:rPr>
        <w:t xml:space="preserve">) gibi farklı sürelerde DOS alımı yapıldığı görülmektedir. </w:t>
      </w:r>
      <w:proofErr w:type="gramEnd"/>
      <w:r w:rsidRPr="000A40E6">
        <w:rPr>
          <w:rFonts w:eastAsia="Calibri" w:cs="Times New Roman"/>
          <w:szCs w:val="24"/>
        </w:rPr>
        <w:t>Ayrıca ilgili araştırmalar incelendiğinde, süre konusunda herhangi bir bilgi vermeyen (Sakellari ve diğerleri, 2000) veya görsel olarak belli bir DOS miktarı elde edilene kadar örneklemenin devam ettirildiği (Reinhardt ve diğerleri, 1993) çalışmalar da mevcuttur. Ancak genel görüş örnekleme süresinin uzatılması ile mekanik irritasyon ve kontaminasyon (tükürük-plak) riskinin arttığı yönündedir (Cimasoni, 1983;</w:t>
      </w:r>
      <w:r w:rsidR="0014656F" w:rsidRPr="000A40E6">
        <w:rPr>
          <w:rFonts w:eastAsia="Calibri" w:cs="Times New Roman"/>
          <w:szCs w:val="24"/>
        </w:rPr>
        <w:t xml:space="preserve"> Griffiths ve diğerleri, 1992;</w:t>
      </w:r>
      <w:r w:rsidRPr="000A40E6">
        <w:rPr>
          <w:rFonts w:eastAsia="Calibri" w:cs="Times New Roman"/>
          <w:szCs w:val="24"/>
        </w:rPr>
        <w:t xml:space="preserve"> Özkava</w:t>
      </w:r>
      <w:r w:rsidR="0014656F" w:rsidRPr="000A40E6">
        <w:rPr>
          <w:rFonts w:eastAsia="Calibri" w:cs="Times New Roman"/>
          <w:szCs w:val="24"/>
        </w:rPr>
        <w:t>f ve diğerleri, 2001</w:t>
      </w:r>
      <w:r w:rsidRPr="000A40E6">
        <w:rPr>
          <w:rFonts w:eastAsia="Calibri" w:cs="Times New Roman"/>
          <w:szCs w:val="24"/>
        </w:rPr>
        <w:t xml:space="preserve">). Çalışmamızda da DOS örnekleri </w:t>
      </w:r>
      <w:proofErr w:type="gramStart"/>
      <w:r w:rsidRPr="000A40E6">
        <w:rPr>
          <w:rFonts w:eastAsia="Calibri" w:cs="Times New Roman"/>
          <w:szCs w:val="24"/>
        </w:rPr>
        <w:t>literatür</w:t>
      </w:r>
      <w:proofErr w:type="gramEnd"/>
      <w:r w:rsidRPr="000A40E6">
        <w:rPr>
          <w:rFonts w:eastAsia="Calibri" w:cs="Times New Roman"/>
          <w:szCs w:val="24"/>
        </w:rPr>
        <w:t xml:space="preserve"> ile uyumlu şekilde 30 sn’de</w:t>
      </w:r>
      <w:r w:rsidR="00FA5A5E" w:rsidRPr="000A40E6">
        <w:rPr>
          <w:rFonts w:eastAsia="Calibri" w:cs="Times New Roman"/>
          <w:szCs w:val="24"/>
        </w:rPr>
        <w:t xml:space="preserve"> elde edilmiştir </w:t>
      </w:r>
      <w:r w:rsidRPr="000A40E6">
        <w:rPr>
          <w:rFonts w:eastAsia="Calibri" w:cs="Times New Roman"/>
          <w:szCs w:val="24"/>
        </w:rPr>
        <w:t>(</w:t>
      </w:r>
      <w:r w:rsidRPr="000A40E6">
        <w:rPr>
          <w:rFonts w:eastAsia="Calibri" w:cs="Times New Roman"/>
          <w:szCs w:val="24"/>
          <w:lang w:val="en-GB"/>
        </w:rPr>
        <w:t>Özel ve diğerleri, 2018; Perinetti ve diğerleri, 2015</w:t>
      </w:r>
      <w:r w:rsidR="00571AB3" w:rsidRPr="000A40E6">
        <w:rPr>
          <w:rFonts w:eastAsia="Calibri" w:cs="Times New Roman"/>
          <w:szCs w:val="24"/>
          <w:lang w:val="en-GB"/>
        </w:rPr>
        <w:t>; Topal ve diğerleri, 2019</w:t>
      </w:r>
      <w:r w:rsidRPr="000A40E6">
        <w:rPr>
          <w:rFonts w:eastAsia="Calibri" w:cs="Times New Roman"/>
          <w:szCs w:val="24"/>
          <w:lang w:val="en-GB"/>
        </w:rPr>
        <w:t>)</w:t>
      </w:r>
      <w:r w:rsidR="00FA5A5E" w:rsidRPr="000A40E6">
        <w:rPr>
          <w:rFonts w:eastAsia="Calibri" w:cs="Times New Roman"/>
          <w:szCs w:val="24"/>
          <w:lang w:val="en-GB"/>
        </w:rPr>
        <w:t>.</w:t>
      </w:r>
    </w:p>
    <w:p w14:paraId="530D0835" w14:textId="21C49142" w:rsidR="005D779D" w:rsidRPr="000A40E6" w:rsidRDefault="005D779D" w:rsidP="00F756C3">
      <w:pPr>
        <w:suppressAutoHyphens/>
        <w:spacing w:after="120"/>
        <w:rPr>
          <w:rFonts w:eastAsia="Calibri" w:cs="Times New Roman"/>
          <w:szCs w:val="24"/>
        </w:rPr>
      </w:pPr>
      <w:r w:rsidRPr="000A40E6">
        <w:rPr>
          <w:rFonts w:eastAsia="Calibri" w:cs="Times New Roman"/>
          <w:szCs w:val="24"/>
        </w:rPr>
        <w:t>Drummond ve diğerleri (2012), DOS’un tedavi sırasındaki doku cevabını yansıtabilecek güvenilir bir parametre olmadığını belirtmiş</w:t>
      </w:r>
      <w:r w:rsidR="007E1F75" w:rsidRPr="000A40E6">
        <w:rPr>
          <w:rFonts w:eastAsia="Calibri" w:cs="Times New Roman"/>
          <w:szCs w:val="24"/>
        </w:rPr>
        <w:t>lerdir. Bu durumun sebebi</w:t>
      </w:r>
      <w:r w:rsidRPr="000A40E6">
        <w:rPr>
          <w:rFonts w:eastAsia="Calibri" w:cs="Times New Roman"/>
          <w:szCs w:val="24"/>
        </w:rPr>
        <w:t xml:space="preserve"> olarak DOS hacminin ortodontik kuvvet sonucu değişebi</w:t>
      </w:r>
      <w:r w:rsidR="00A35D71" w:rsidRPr="000A40E6">
        <w:rPr>
          <w:rFonts w:eastAsia="Calibri" w:cs="Times New Roman"/>
          <w:szCs w:val="24"/>
        </w:rPr>
        <w:t>leceği</w:t>
      </w:r>
      <w:r w:rsidRPr="000A40E6">
        <w:rPr>
          <w:rFonts w:eastAsia="Calibri" w:cs="Times New Roman"/>
          <w:szCs w:val="24"/>
        </w:rPr>
        <w:t xml:space="preserve"> ancak sistemik hastalıklar, kullanılan ilaçlar, hormonal dalgalanmalar, ağızda bulunan ortodontik apareyler sonucu plak artışına bağlı </w:t>
      </w:r>
      <w:r w:rsidR="00CF487B" w:rsidRPr="000A40E6">
        <w:rPr>
          <w:rFonts w:eastAsia="Calibri" w:cs="Times New Roman"/>
          <w:szCs w:val="24"/>
        </w:rPr>
        <w:t>i</w:t>
      </w:r>
      <w:r w:rsidRPr="000A40E6">
        <w:rPr>
          <w:rFonts w:eastAsia="Calibri" w:cs="Times New Roman"/>
          <w:szCs w:val="24"/>
        </w:rPr>
        <w:t>nflamasyon kaynaklı olarak da değişebileceğini vurgulamışl</w:t>
      </w:r>
      <w:r w:rsidR="00C82885" w:rsidRPr="000A40E6">
        <w:rPr>
          <w:rFonts w:eastAsia="Calibri" w:cs="Times New Roman"/>
          <w:szCs w:val="24"/>
        </w:rPr>
        <w:t xml:space="preserve">ardır. Perinetti ve diğerleri </w:t>
      </w:r>
      <w:r w:rsidRPr="000A40E6">
        <w:rPr>
          <w:rFonts w:eastAsia="Calibri" w:cs="Times New Roman"/>
          <w:szCs w:val="24"/>
        </w:rPr>
        <w:t>(2013</w:t>
      </w:r>
      <w:r w:rsidR="00F24CA3" w:rsidRPr="000A40E6">
        <w:rPr>
          <w:rFonts w:eastAsia="Calibri" w:cs="Times New Roman"/>
          <w:szCs w:val="24"/>
        </w:rPr>
        <w:t>)</w:t>
      </w:r>
      <w:r w:rsidR="00C82885" w:rsidRPr="000A40E6">
        <w:rPr>
          <w:rFonts w:eastAsia="Calibri" w:cs="Times New Roman"/>
          <w:szCs w:val="24"/>
        </w:rPr>
        <w:t>’nin</w:t>
      </w:r>
      <w:r w:rsidR="00F24CA3" w:rsidRPr="000A40E6">
        <w:rPr>
          <w:rFonts w:eastAsia="Calibri" w:cs="Times New Roman"/>
          <w:szCs w:val="24"/>
        </w:rPr>
        <w:t>, yaptıkları çalışmada da DOS’t</w:t>
      </w:r>
      <w:r w:rsidRPr="000A40E6">
        <w:rPr>
          <w:rFonts w:eastAsia="Calibri" w:cs="Times New Roman"/>
          <w:szCs w:val="24"/>
        </w:rPr>
        <w:t xml:space="preserve">a meydana gelen hacim artışının ortodontik diş hareketi sırasında kemik remodelinginde </w:t>
      </w:r>
      <w:r w:rsidR="00947397" w:rsidRPr="000A40E6">
        <w:rPr>
          <w:rFonts w:eastAsia="Calibri" w:cs="Times New Roman"/>
          <w:szCs w:val="24"/>
        </w:rPr>
        <w:t>ayırt edici</w:t>
      </w:r>
      <w:r w:rsidR="00C7697E" w:rsidRPr="000A40E6">
        <w:rPr>
          <w:rFonts w:eastAsia="Calibri" w:cs="Times New Roman"/>
          <w:szCs w:val="24"/>
        </w:rPr>
        <w:t xml:space="preserve"> </w:t>
      </w:r>
      <w:r w:rsidR="00552DB5" w:rsidRPr="000A40E6">
        <w:rPr>
          <w:rFonts w:eastAsia="Calibri" w:cs="Times New Roman"/>
          <w:szCs w:val="24"/>
        </w:rPr>
        <w:t>olmadığı belirtil</w:t>
      </w:r>
      <w:r w:rsidR="009C0C54" w:rsidRPr="000A40E6">
        <w:rPr>
          <w:rFonts w:eastAsia="Calibri" w:cs="Times New Roman"/>
          <w:szCs w:val="24"/>
        </w:rPr>
        <w:t xml:space="preserve">miştir. </w:t>
      </w:r>
      <w:r w:rsidRPr="000A40E6">
        <w:rPr>
          <w:rFonts w:eastAsia="Calibri" w:cs="Times New Roman"/>
          <w:szCs w:val="24"/>
        </w:rPr>
        <w:t>Antienflamatuar ilaçların (</w:t>
      </w:r>
      <w:r w:rsidR="003F1226" w:rsidRPr="000A40E6">
        <w:rPr>
          <w:rFonts w:eastAsia="Calibri" w:cs="Times New Roman"/>
          <w:szCs w:val="24"/>
        </w:rPr>
        <w:t>Haesman ve diğerleri, 1990</w:t>
      </w:r>
      <w:r w:rsidRPr="000A40E6">
        <w:rPr>
          <w:rFonts w:eastAsia="Calibri" w:cs="Times New Roman"/>
          <w:szCs w:val="24"/>
        </w:rPr>
        <w:t>;</w:t>
      </w:r>
      <w:r w:rsidR="00F444C4" w:rsidRPr="000A40E6">
        <w:rPr>
          <w:rFonts w:eastAsia="Calibri" w:cs="Times New Roman"/>
          <w:szCs w:val="24"/>
        </w:rPr>
        <w:t xml:space="preserve"> Marsh ve Bradshaw, 1997; Sekino ve diğerleri, 2005</w:t>
      </w:r>
      <w:r w:rsidRPr="000A40E6">
        <w:rPr>
          <w:rFonts w:eastAsia="Calibri" w:cs="Times New Roman"/>
          <w:szCs w:val="24"/>
        </w:rPr>
        <w:t>) ve antibiyotiklerin (</w:t>
      </w:r>
      <w:r w:rsidR="009529A7" w:rsidRPr="000A40E6">
        <w:rPr>
          <w:rFonts w:eastAsia="Calibri" w:cs="Times New Roman"/>
          <w:szCs w:val="24"/>
        </w:rPr>
        <w:t>Ho ve diğerleri, 2010; Rotzetter ve diğerleri, 1994; Sakellari ve diğerleri, 2000;</w:t>
      </w:r>
      <w:r w:rsidR="00273C60" w:rsidRPr="000A40E6">
        <w:rPr>
          <w:rFonts w:eastAsia="Calibri" w:cs="Times New Roman"/>
          <w:szCs w:val="24"/>
        </w:rPr>
        <w:t xml:space="preserve"> </w:t>
      </w:r>
      <w:r w:rsidRPr="000A40E6">
        <w:rPr>
          <w:rFonts w:eastAsia="Calibri" w:cs="Times New Roman"/>
          <w:szCs w:val="24"/>
        </w:rPr>
        <w:t>Tenenbaum ve diğerleri, 199</w:t>
      </w:r>
      <w:r w:rsidR="009529A7" w:rsidRPr="000A40E6">
        <w:rPr>
          <w:rFonts w:eastAsia="Calibri" w:cs="Times New Roman"/>
          <w:szCs w:val="24"/>
        </w:rPr>
        <w:t>7</w:t>
      </w:r>
      <w:r w:rsidRPr="000A40E6">
        <w:rPr>
          <w:rFonts w:eastAsia="Calibri" w:cs="Times New Roman"/>
          <w:szCs w:val="24"/>
        </w:rPr>
        <w:t xml:space="preserve">), DOS hacmi ve içeriğini etkileyebildikleri gösterilmiştir. Araştırmalarda ilaçların diş etine olan olası etkisinden korunmak amacıyla önlem alındığı görülmektedir. Çalışmalara göre bu süre değişmekte olup, çalışmaya </w:t>
      </w:r>
      <w:proofErr w:type="gramStart"/>
      <w:r w:rsidRPr="000A40E6">
        <w:rPr>
          <w:rFonts w:eastAsia="Calibri" w:cs="Times New Roman"/>
          <w:szCs w:val="24"/>
        </w:rPr>
        <w:t>dahil</w:t>
      </w:r>
      <w:proofErr w:type="gramEnd"/>
      <w:r w:rsidRPr="000A40E6">
        <w:rPr>
          <w:rFonts w:eastAsia="Calibri" w:cs="Times New Roman"/>
          <w:szCs w:val="24"/>
        </w:rPr>
        <w:t xml:space="preserve"> edilecek olan bireylerin çalışmaya başlamadan önce son 1 ay (Offenbacher ve diğerleri, 1984), son 2 ay (Hancock ve diğerleri, 1979), son 3 ay (</w:t>
      </w:r>
      <w:r w:rsidR="002B711A" w:rsidRPr="000A40E6">
        <w:rPr>
          <w:rFonts w:eastAsia="Calibri" w:cs="Times New Roman"/>
          <w:szCs w:val="24"/>
        </w:rPr>
        <w:t xml:space="preserve">Gonzales ve diğerleri, 2001; </w:t>
      </w:r>
      <w:r w:rsidRPr="000A40E6">
        <w:rPr>
          <w:rFonts w:eastAsia="Calibri" w:cs="Times New Roman"/>
          <w:szCs w:val="24"/>
        </w:rPr>
        <w:t>Sakellari ve diğerleri, 2000) ve son 6 ay (Awawdeh ve diğerl</w:t>
      </w:r>
      <w:r w:rsidR="008B6627" w:rsidRPr="000A40E6">
        <w:rPr>
          <w:rFonts w:eastAsia="Calibri" w:cs="Times New Roman"/>
          <w:szCs w:val="24"/>
        </w:rPr>
        <w:t>eri, 2002) ilaç kullanmamasına</w:t>
      </w:r>
      <w:r w:rsidRPr="000A40E6">
        <w:rPr>
          <w:rFonts w:eastAsia="Calibri" w:cs="Times New Roman"/>
          <w:szCs w:val="24"/>
        </w:rPr>
        <w:t xml:space="preserve"> dikkat edildiği belirtilmektedir. Bu bilgiler doğrultusunda çalışmamıza son 3 aydır antibiyotik tedavi öyküsü olmayan, çalışmaya başlamadan önceki 1 ay içinde antienflamatuar ilaç kullanımı olmayan, sistemik olarak sağlıklı, diş eti iltihabı belirtileri ve peridontal tedavi öyküsü olmayan, iyi</w:t>
      </w:r>
      <w:r w:rsidR="0078311E" w:rsidRPr="000A40E6">
        <w:rPr>
          <w:rFonts w:eastAsia="Calibri" w:cs="Times New Roman"/>
          <w:szCs w:val="24"/>
        </w:rPr>
        <w:t xml:space="preserve"> bir</w:t>
      </w:r>
      <w:r w:rsidRPr="000A40E6">
        <w:rPr>
          <w:rFonts w:eastAsia="Calibri" w:cs="Times New Roman"/>
          <w:szCs w:val="24"/>
        </w:rPr>
        <w:t xml:space="preserve"> periodontal sağl</w:t>
      </w:r>
      <w:r w:rsidR="0078311E" w:rsidRPr="000A40E6">
        <w:rPr>
          <w:rFonts w:eastAsia="Calibri" w:cs="Times New Roman"/>
          <w:szCs w:val="24"/>
        </w:rPr>
        <w:t>ı</w:t>
      </w:r>
      <w:r w:rsidRPr="000A40E6">
        <w:rPr>
          <w:rFonts w:eastAsia="Calibri" w:cs="Times New Roman"/>
          <w:szCs w:val="24"/>
        </w:rPr>
        <w:t xml:space="preserve">ğa sahip bireyler </w:t>
      </w:r>
      <w:proofErr w:type="gramStart"/>
      <w:r w:rsidRPr="000A40E6">
        <w:rPr>
          <w:rFonts w:eastAsia="Calibri" w:cs="Times New Roman"/>
          <w:szCs w:val="24"/>
        </w:rPr>
        <w:t>dahil</w:t>
      </w:r>
      <w:proofErr w:type="gramEnd"/>
      <w:r w:rsidRPr="000A40E6">
        <w:rPr>
          <w:rFonts w:eastAsia="Calibri" w:cs="Times New Roman"/>
          <w:szCs w:val="24"/>
        </w:rPr>
        <w:t xml:space="preserve"> edilmiştir.</w:t>
      </w:r>
    </w:p>
    <w:p w14:paraId="3600C91F" w14:textId="0D055E75" w:rsidR="005D779D" w:rsidRPr="000A40E6" w:rsidRDefault="005D779D" w:rsidP="00F756C3">
      <w:pPr>
        <w:suppressAutoHyphens/>
        <w:spacing w:after="120"/>
        <w:rPr>
          <w:rFonts w:eastAsia="Calibri" w:cs="Times New Roman"/>
          <w:szCs w:val="24"/>
        </w:rPr>
      </w:pPr>
      <w:r w:rsidRPr="000A40E6">
        <w:rPr>
          <w:rFonts w:eastAsia="Calibri" w:cs="Times New Roman"/>
          <w:szCs w:val="24"/>
        </w:rPr>
        <w:t>Diş eti sağlığının teşhisinde cep derinliğinin periodontal sond ile ölçülmesinin önemi büyüktür. Ancak bu sondlama işleminin de minimal bir fiziksel irritasyon oluşturması ve DOS miktarını arttırabileceği düşünülmektedir (Cimasoni, 1983). Literatürde bu durumun ön</w:t>
      </w:r>
      <w:r w:rsidR="008171BF" w:rsidRPr="000A40E6">
        <w:rPr>
          <w:rFonts w:eastAsia="Calibri" w:cs="Times New Roman"/>
          <w:szCs w:val="24"/>
        </w:rPr>
        <w:t xml:space="preserve">lenebilmesi </w:t>
      </w:r>
      <w:r w:rsidRPr="000A40E6">
        <w:rPr>
          <w:rFonts w:eastAsia="Calibri" w:cs="Times New Roman"/>
          <w:szCs w:val="24"/>
        </w:rPr>
        <w:t>amacıyla, klinik ölçümlerin DOS ölçümlerinden 1 hafta öncesinde (Jin ve diğerleri, 2000; Jin ve diğerleri, 2001), 1-2 hafta öncesinde (Lamster ve diğerleri, 1986) veya DOS örneklerinin elde edilmesi sonrasında (</w:t>
      </w:r>
      <w:r w:rsidR="00594278" w:rsidRPr="000A40E6">
        <w:rPr>
          <w:rFonts w:eastAsia="Calibri" w:cs="Times New Roman"/>
          <w:szCs w:val="24"/>
        </w:rPr>
        <w:t>Al-Shammari ve diğerleri, 2001; Özkavaf ve diğerleri, 2000</w:t>
      </w:r>
      <w:r w:rsidRPr="000A40E6">
        <w:rPr>
          <w:rFonts w:eastAsia="Calibri" w:cs="Times New Roman"/>
          <w:szCs w:val="24"/>
        </w:rPr>
        <w:t>) yapıldığı görülmektedir. Çalışmamızda periodontal parametrelerin kaydından önce DOS örnekleri alınmıştır.</w:t>
      </w:r>
    </w:p>
    <w:p w14:paraId="57308B5E" w14:textId="22055AF0" w:rsidR="005D779D" w:rsidRPr="000A40E6" w:rsidRDefault="005D779D" w:rsidP="00F756C3">
      <w:pPr>
        <w:suppressAutoHyphens/>
        <w:spacing w:after="120"/>
        <w:rPr>
          <w:rFonts w:eastAsia="Calibri" w:cs="Times New Roman"/>
          <w:szCs w:val="24"/>
        </w:rPr>
      </w:pPr>
      <w:r w:rsidRPr="000A40E6">
        <w:rPr>
          <w:rFonts w:eastAsia="Calibri" w:cs="Times New Roman"/>
          <w:szCs w:val="24"/>
        </w:rPr>
        <w:t xml:space="preserve">Sağlıklı bir gingival sulkusta çok az miktarda DOS bulunmaktadır (Pöllänen ve diğerleri, 2003) ve bu sıvı bir transuda (Ebersole, 2003) veya serum eksudası karakterindedir (Champagne ve diğerleri, 2003). Artan DOS hacmi ise yaygın olarak subklinik iltihabın bir bulgusu olarak kabul edilmektedir. Bu nedenle, klinik periodontal sağlık durumları da </w:t>
      </w:r>
      <w:proofErr w:type="gramStart"/>
      <w:r w:rsidRPr="000A40E6">
        <w:rPr>
          <w:rFonts w:eastAsia="Calibri" w:cs="Times New Roman"/>
          <w:szCs w:val="24"/>
        </w:rPr>
        <w:t>dahil</w:t>
      </w:r>
      <w:proofErr w:type="gramEnd"/>
      <w:r w:rsidRPr="000A40E6">
        <w:rPr>
          <w:rFonts w:eastAsia="Calibri" w:cs="Times New Roman"/>
          <w:szCs w:val="24"/>
        </w:rPr>
        <w:t xml:space="preserve"> olmak üzere, her diş eti cebinin bir miktar DOS içermesi beklenebilir (Griffiths, 2003), ancak genel olarak inanılan görüş DOS’un iltihabi bir sıvı olduğudur (Goodson, 2003; Griffiths 2003). Ortodontik tedavi gören bireylerde DOS miktarının artma eğiliminde olduğu bildirilmiştir (Griffiths ve diğerleri, 1998). Pender ve diğerleri (1994), ortodontik diş hareketi sırasında DOS hacminin arttığını, retansiyon periyodu sırasında ise azaldığını belirtmişlerdir. Ortodontik tedavi gören bireylerde plak birikimine neden olabilecek birçok faktörün (braket, bandlar ve teller</w:t>
      </w:r>
      <w:r w:rsidR="00F24CA3" w:rsidRPr="000A40E6">
        <w:rPr>
          <w:rFonts w:eastAsia="Calibri" w:cs="Times New Roman"/>
          <w:szCs w:val="24"/>
        </w:rPr>
        <w:t xml:space="preserve"> gibi) bulunması nedeniyle DOS’t</w:t>
      </w:r>
      <w:r w:rsidRPr="000A40E6">
        <w:rPr>
          <w:rFonts w:eastAsia="Calibri" w:cs="Times New Roman"/>
          <w:szCs w:val="24"/>
        </w:rPr>
        <w:t>a görülen hacim artışının tek başına ortodontik kuvvetlerden kaynaklandığını ileri sürmenin zor olduğu belirtilmiştir (Cimasoni 1983).</w:t>
      </w:r>
    </w:p>
    <w:p w14:paraId="7C5F7E92" w14:textId="427E7803" w:rsidR="005D779D" w:rsidRPr="000A40E6" w:rsidRDefault="005D779D" w:rsidP="00F756C3">
      <w:pPr>
        <w:suppressAutoHyphens/>
        <w:spacing w:after="120"/>
        <w:rPr>
          <w:rFonts w:cs="Times New Roman"/>
          <w:szCs w:val="24"/>
        </w:rPr>
      </w:pPr>
      <w:r w:rsidRPr="000A40E6">
        <w:rPr>
          <w:rFonts w:cs="Times New Roman"/>
          <w:szCs w:val="24"/>
        </w:rPr>
        <w:t xml:space="preserve">DOS miktarındaki artışın, DOS örneklerinde araştırılan biyolojik belirteçlerin </w:t>
      </w:r>
      <w:proofErr w:type="gramStart"/>
      <w:r w:rsidRPr="000A40E6">
        <w:rPr>
          <w:rFonts w:cs="Times New Roman"/>
          <w:szCs w:val="24"/>
        </w:rPr>
        <w:t>konsantrasyonlarının</w:t>
      </w:r>
      <w:proofErr w:type="gramEnd"/>
      <w:r w:rsidRPr="000A40E6">
        <w:rPr>
          <w:rFonts w:cs="Times New Roman"/>
          <w:szCs w:val="24"/>
        </w:rPr>
        <w:t xml:space="preserve"> azalmasına neden olacağı için DOS sitokin konsantrasyonundan ziyade total miktarının daha doğru olacağı bildirilmiştir (Hou ve diğerleri, 1995). Bu sebeple çalışmamızda sitokinlerin total miktarları hesaplanarak değerlendirilmiştir.</w:t>
      </w:r>
    </w:p>
    <w:p w14:paraId="768796AE" w14:textId="77777777" w:rsidR="005D779D" w:rsidRPr="000A40E6" w:rsidRDefault="005D779D" w:rsidP="00F756C3">
      <w:pPr>
        <w:suppressAutoHyphens/>
        <w:spacing w:after="120"/>
        <w:rPr>
          <w:rFonts w:cs="Times New Roman"/>
          <w:szCs w:val="24"/>
        </w:rPr>
      </w:pPr>
    </w:p>
    <w:p w14:paraId="4AAC83C7" w14:textId="77777777" w:rsidR="005D779D" w:rsidRPr="000A40E6" w:rsidRDefault="005D779D" w:rsidP="00F756C3">
      <w:pPr>
        <w:suppressAutoHyphens/>
        <w:spacing w:after="120"/>
        <w:ind w:firstLine="0"/>
        <w:rPr>
          <w:rFonts w:cs="Times New Roman"/>
          <w:b/>
          <w:szCs w:val="24"/>
        </w:rPr>
      </w:pPr>
      <w:bookmarkStart w:id="145" w:name="_Toc136443430"/>
      <w:r w:rsidRPr="000A40E6">
        <w:rPr>
          <w:rFonts w:cs="Times New Roman"/>
          <w:b/>
          <w:szCs w:val="24"/>
        </w:rPr>
        <w:t>5.3. Bulguların Tartışması</w:t>
      </w:r>
      <w:bookmarkEnd w:id="145"/>
    </w:p>
    <w:p w14:paraId="652F58B8" w14:textId="77777777" w:rsidR="00555CA0" w:rsidRPr="000A40E6" w:rsidRDefault="00555CA0" w:rsidP="00F756C3">
      <w:pPr>
        <w:suppressAutoHyphens/>
        <w:spacing w:after="120"/>
        <w:ind w:firstLine="0"/>
        <w:rPr>
          <w:rFonts w:cs="Times New Roman"/>
          <w:b/>
          <w:szCs w:val="24"/>
        </w:rPr>
      </w:pPr>
    </w:p>
    <w:p w14:paraId="699952C2" w14:textId="21208733" w:rsidR="00555CA0" w:rsidRPr="000A40E6" w:rsidRDefault="00555CA0" w:rsidP="00F756C3">
      <w:pPr>
        <w:suppressAutoHyphens/>
        <w:spacing w:after="120"/>
        <w:ind w:firstLine="0"/>
        <w:rPr>
          <w:rFonts w:cs="Times New Roman"/>
          <w:b/>
          <w:szCs w:val="24"/>
        </w:rPr>
      </w:pPr>
      <w:bookmarkStart w:id="146" w:name="_Toc136443433"/>
      <w:r w:rsidRPr="000A40E6">
        <w:rPr>
          <w:rFonts w:cs="Times New Roman"/>
          <w:b/>
          <w:szCs w:val="24"/>
        </w:rPr>
        <w:t>5.3.1. Periodontal İndeks Bulgularının Tartışması</w:t>
      </w:r>
      <w:bookmarkEnd w:id="146"/>
    </w:p>
    <w:p w14:paraId="3A08CEE5" w14:textId="77777777" w:rsidR="00555CA0" w:rsidRPr="000A40E6" w:rsidRDefault="00555CA0" w:rsidP="00F756C3">
      <w:pPr>
        <w:suppressAutoHyphens/>
        <w:spacing w:after="120"/>
        <w:rPr>
          <w:rFonts w:cs="Times New Roman"/>
          <w:b/>
          <w:szCs w:val="24"/>
        </w:rPr>
      </w:pPr>
    </w:p>
    <w:p w14:paraId="7EF5E8AD" w14:textId="08CEE83B" w:rsidR="00555CA0" w:rsidRPr="000A40E6" w:rsidRDefault="00555CA0" w:rsidP="00F756C3">
      <w:pPr>
        <w:suppressAutoHyphens/>
        <w:spacing w:after="120"/>
        <w:rPr>
          <w:rFonts w:cs="Times New Roman"/>
          <w:szCs w:val="24"/>
        </w:rPr>
      </w:pPr>
      <w:r w:rsidRPr="000A40E6">
        <w:rPr>
          <w:rFonts w:cs="Times New Roman"/>
          <w:szCs w:val="24"/>
        </w:rPr>
        <w:t xml:space="preserve">Ortodontik tedavi amacıyla kullanılan apareylerin, braketlerin ve bantların plak tutuculuğunu arttırarak oral </w:t>
      </w:r>
      <w:proofErr w:type="gramStart"/>
      <w:r w:rsidRPr="000A40E6">
        <w:rPr>
          <w:rFonts w:cs="Times New Roman"/>
          <w:szCs w:val="24"/>
        </w:rPr>
        <w:t>hijyeni</w:t>
      </w:r>
      <w:proofErr w:type="gramEnd"/>
      <w:r w:rsidRPr="000A40E6">
        <w:rPr>
          <w:rFonts w:cs="Times New Roman"/>
          <w:szCs w:val="24"/>
        </w:rPr>
        <w:t xml:space="preserve"> olumsuz yönde etkilediğini savunan çalışmalar mevcuttur (Diedrich ve diğerleri, 2001; Klukowska ve diğerleri, 2011; Wites ve diğerleri, 2003). Bunun sebebi ortodontik apareylerin ağızda yeni retansiyon alanları oluşturarak dental plak birikimini arttırmasıdır (Ay ve diğerleri, 2007; Beberhold ve diğerleri, 2012; Lalic ve diğerleri, 2012). Diğer yandan bazı çalışmalarda ortodontik tedavi gören ya da görmeyen bireyler arasında ataçman kaybı ve cep derinliği ölçümleri bakımından önemli farklılıklar bulunmamıştır (Alstad ve Zachrisson, 1979; Kloehn ve Pfeifer, 1974; Sadowsky ve BeGole, 1981). Ayrıca ortodontik kuvvetler sonucu dokularda oluşan değişiklikler inflamasyon belirtilerine benzese de, bu belirtilerin inflamasyondan farklı olarak aseptik yanıtlar olduğu belirtilmiştir (Garlet ve diğerleri, 2008). Mummolo ve diğerleri (2014)’nin çalışmasında rapid ve slow maksiller ekspansiyonun periodontal dokulara olan etkileri karşılaştırılmıştır. İki grup arasında anlamlı farklar bulunmamıştır. Her iki grupta da tedavinin periodontal dokulara etkisinin olduğu, plak indeksinde ve kanama indeksinde artış olduğu görülmüştür. van Gastel ve diğerleri (2011)’nin yaptıkları çalışmada da ortodontik tedavinin uzun dönemde klinik periodontal verilerde değişikliğe sebep olduğu gösterilmiştir.</w:t>
      </w:r>
    </w:p>
    <w:p w14:paraId="3AEC2B9C" w14:textId="77777777" w:rsidR="00555CA0" w:rsidRPr="000A40E6" w:rsidRDefault="00555CA0" w:rsidP="00F756C3">
      <w:pPr>
        <w:suppressAutoHyphens/>
        <w:spacing w:after="120"/>
        <w:rPr>
          <w:rFonts w:eastAsia="Calibri" w:cs="Times New Roman"/>
          <w:kern w:val="2"/>
          <w:szCs w:val="24"/>
          <w14:ligatures w14:val="standardContextual"/>
        </w:rPr>
      </w:pPr>
      <w:r w:rsidRPr="000A40E6">
        <w:rPr>
          <w:rFonts w:cs="Times New Roman"/>
          <w:szCs w:val="24"/>
        </w:rPr>
        <w:t xml:space="preserve">Ortodontik ve ortopedik tedaviler sırasında plak birikimi sonucu oluşacak ek inflamasyonlardan kaçınılması gerektiği vurgulanmaktadır (Tzannetou ve diğerleri, 2008). Çalışmamıza hastaların mevcut periodontal sağlık durumlarının değerlendirilmesi ve oral </w:t>
      </w:r>
      <w:proofErr w:type="gramStart"/>
      <w:r w:rsidRPr="000A40E6">
        <w:rPr>
          <w:rFonts w:cs="Times New Roman"/>
          <w:szCs w:val="24"/>
        </w:rPr>
        <w:t>hijyen</w:t>
      </w:r>
      <w:proofErr w:type="gramEnd"/>
      <w:r w:rsidRPr="000A40E6">
        <w:rPr>
          <w:rFonts w:cs="Times New Roman"/>
          <w:szCs w:val="24"/>
        </w:rPr>
        <w:t xml:space="preserve"> eğitiminin verilmesi ile başlanmıştır. RME apareyi uygulanmadan hemen önce (T0) plak indeksi, gingival indeks, sondlamada kanama ve cep derinlikleri değerlendirilmiş, her biri </w:t>
      </w:r>
      <w:r w:rsidRPr="000A40E6">
        <w:rPr>
          <w:rFonts w:eastAsia="Calibri" w:cs="Times New Roman"/>
          <w:szCs w:val="24"/>
          <w:lang w:val="en-GB"/>
        </w:rPr>
        <w:t>aktif fazdan sonra (vidanın çevrilmesi bittikten sonra) (T1),</w:t>
      </w:r>
      <w:r w:rsidRPr="000A40E6">
        <w:rPr>
          <w:rFonts w:eastAsia="Calibri" w:cs="Times New Roman"/>
          <w:szCs w:val="24"/>
        </w:rPr>
        <w:t xml:space="preserve"> 3 aylık retansiyon döneminde (T2) ve 6 aylık retansiyon dönemi (T3) sonunda tekrarlanmıştır. </w:t>
      </w:r>
      <w:r w:rsidRPr="000A40E6">
        <w:rPr>
          <w:rFonts w:cs="Times New Roman"/>
          <w:szCs w:val="24"/>
        </w:rPr>
        <w:t xml:space="preserve">Bu süre boyunca aralıklarla hastalara oral </w:t>
      </w:r>
      <w:proofErr w:type="gramStart"/>
      <w:r w:rsidRPr="000A40E6">
        <w:rPr>
          <w:rFonts w:cs="Times New Roman"/>
          <w:szCs w:val="24"/>
        </w:rPr>
        <w:t>hijyen</w:t>
      </w:r>
      <w:proofErr w:type="gramEnd"/>
      <w:r w:rsidRPr="000A40E6">
        <w:rPr>
          <w:rFonts w:cs="Times New Roman"/>
          <w:szCs w:val="24"/>
        </w:rPr>
        <w:t xml:space="preserve"> motivasyonu verilmiştir. Çalışmamızda plak indeksi</w:t>
      </w:r>
      <w:r w:rsidRPr="000A40E6">
        <w:rPr>
          <w:rFonts w:eastAsia="Calibri" w:cs="Times New Roman"/>
          <w:kern w:val="2"/>
          <w:szCs w:val="24"/>
          <w14:ligatures w14:val="standardContextual"/>
        </w:rPr>
        <w:t>, gingival indeks ve sondlamada kanama ölçümleri zamana göre artış göstermiştir. Fakat bu artışa rağmen T1 ile T2, T2 ile T3 zamanları arasında bu parametrelerde istatistiksel olarak anlamlı bir fark görülmemiştir. Bu ölçümler, T0 zamanında diğer zamanlara göre ve T1 zamanında T3’e göre anlamlı düzeyde daha düşük elde edilmiştir. Plak indeksi ve gingival indeksin zamanla artışı periodontal dokuların sağlığını etkilemeyecek şekilde sağlıklı sınırlar içerisinde yer almaktadır.</w:t>
      </w:r>
    </w:p>
    <w:p w14:paraId="1151D5C5" w14:textId="77777777" w:rsidR="00555CA0" w:rsidRPr="000A40E6" w:rsidRDefault="00555CA0" w:rsidP="00F756C3">
      <w:pPr>
        <w:suppressAutoHyphens/>
        <w:spacing w:after="120"/>
        <w:rPr>
          <w:rFonts w:eastAsia="Calibri" w:cs="Times New Roman"/>
          <w:kern w:val="2"/>
          <w:szCs w:val="24"/>
          <w14:ligatures w14:val="standardContextual"/>
        </w:rPr>
      </w:pPr>
      <w:r w:rsidRPr="000A40E6">
        <w:rPr>
          <w:rFonts w:cs="Times New Roman"/>
          <w:szCs w:val="24"/>
        </w:rPr>
        <w:t xml:space="preserve">Pubertenin başlaması ve cinsiyet hormonlarının artışı ile 11 yaş civarında gingivitis prevalansı artmaktadır (Heasman ve Waterhouse, 2012). Bu dönemde plak artışı olmaksızın diş eti inflamasyonunda artışlar gözlenmiştir (Hefti ve diğerleri, 1981; Mariotti, 1994). Tekrarlanan oral </w:t>
      </w:r>
      <w:proofErr w:type="gramStart"/>
      <w:r w:rsidRPr="000A40E6">
        <w:rPr>
          <w:rFonts w:cs="Times New Roman"/>
          <w:szCs w:val="24"/>
        </w:rPr>
        <w:t>hijyen</w:t>
      </w:r>
      <w:proofErr w:type="gramEnd"/>
      <w:r w:rsidRPr="000A40E6">
        <w:rPr>
          <w:rFonts w:cs="Times New Roman"/>
          <w:szCs w:val="24"/>
        </w:rPr>
        <w:t xml:space="preserve"> motivasyonlarına rağmen, çalışmamızda bulgulanan indeks artışları yaşa ve apareyin plak tutuculuğuna bağlı olarak meydana gelmiş olabilir. Tzannetou ve diğerleri (2008), çalışmamızın aksine periodontal indeks değerlerinde bandlı RME öncesi ve sonrası dönemlerde anlamlı farklar bulamamış; bu sonucu çalışma sırasında hastaların klorheksidin gargara kullanmalarına bağlamışlardır. Ancak pekiştirmenin 28. gününde plak indeksinde artış olduğunu belirtmişlerdir. </w:t>
      </w:r>
      <w:r w:rsidRPr="000A40E6">
        <w:rPr>
          <w:rFonts w:eastAsia="Calibri" w:cs="Times New Roman"/>
          <w:kern w:val="2"/>
          <w:szCs w:val="24"/>
          <w14:ligatures w14:val="standardContextual"/>
        </w:rPr>
        <w:t xml:space="preserve">Topal ve diğerleri (2019)’nin çalışmasında, plak indeksi ve gingival indeks değerlerinin retansiyon süresinin sonunda başlangıç değerlerine göre önemli ölçüde arttığı gösterilmiştir. Özel ve diğerleri (2018)’nin çalışmasında ise, gingival indeks, sondlamada kanama ve plak indeksi, tedavi boyunca istatistiksel olarak anlamlı bir değişiklik göstermemiştir. </w:t>
      </w:r>
      <w:r w:rsidRPr="000A40E6">
        <w:rPr>
          <w:rFonts w:eastAsia="Calibri" w:cs="Times New Roman"/>
          <w:szCs w:val="24"/>
        </w:rPr>
        <w:t>Perinetti ve diğerleri (2015)’nin çalışmasında da, plak indeksi ve sondlamada kanama ölçümlerinde önemli bir artış tespit edilmemiştir.</w:t>
      </w:r>
    </w:p>
    <w:p w14:paraId="0B828EBB" w14:textId="66F634EE" w:rsidR="00555CA0" w:rsidRPr="000A40E6" w:rsidRDefault="00555CA0"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 xml:space="preserve">Çalışmamızda bukkal ve distal bölgenin cep derinliği ölçümlerinin zamana göre istatistiksel olarak anlamlı bir fark gösterdiği saptanmıştır. Bukkal ve distal bölgelerdeki cep derinliğinin T1 ve T2 zamanlarında T0’a göre anlamlı olmasa da arttığı, T3 zamanında ise T1 ve T2 ile benzer düzeyde olup T0’a göre istatistiksel olarak anlamlı bir fark oluşturacak şekilde arttığı görülmüştür. RME sonrası </w:t>
      </w:r>
      <w:r w:rsidRPr="000A40E6">
        <w:rPr>
          <w:rFonts w:cs="Times New Roman"/>
          <w:szCs w:val="24"/>
        </w:rPr>
        <w:t xml:space="preserve">maksiller posterior dişlerin, bukkal kemik kalınlığı ve bukkal </w:t>
      </w:r>
      <w:proofErr w:type="gramStart"/>
      <w:r w:rsidRPr="000A40E6">
        <w:rPr>
          <w:rFonts w:cs="Times New Roman"/>
          <w:szCs w:val="24"/>
        </w:rPr>
        <w:t>marjinal</w:t>
      </w:r>
      <w:proofErr w:type="gramEnd"/>
      <w:r w:rsidRPr="000A40E6">
        <w:rPr>
          <w:rFonts w:cs="Times New Roman"/>
          <w:szCs w:val="24"/>
        </w:rPr>
        <w:t xml:space="preserve"> kemik seviyelerinde azalma meydana gelmesinin, RME’nin beklenen ilk etkilerinden olduğu bilinmektedir. (Rungcharassaeng ve diğerleri, </w:t>
      </w:r>
      <w:r w:rsidRPr="000A40E6">
        <w:rPr>
          <w:rFonts w:eastAsia="Calibri" w:cs="Times New Roman"/>
          <w:kern w:val="2"/>
          <w:szCs w:val="24"/>
          <w14:ligatures w14:val="standardContextual"/>
        </w:rPr>
        <w:t>2007</w:t>
      </w:r>
      <w:r w:rsidRPr="000A40E6">
        <w:rPr>
          <w:rFonts w:cs="Times New Roman"/>
          <w:szCs w:val="24"/>
        </w:rPr>
        <w:t xml:space="preserve">). Bu nedenle </w:t>
      </w:r>
      <w:r w:rsidRPr="000A40E6">
        <w:rPr>
          <w:rFonts w:eastAsia="Calibri" w:cs="Times New Roman"/>
          <w:kern w:val="2"/>
          <w:szCs w:val="24"/>
          <w14:ligatures w14:val="standardContextual"/>
        </w:rPr>
        <w:t xml:space="preserve">RME apareyi tarafından uygulanan basınç kuvvetinin etkisi ile destek alınan dişin bukkal bölgesinde ataçman kaybına bağlı olarak, bukkal bölgedeki cep derinliği artışı ile ilişkilendirilebilir. Distal bölgede artan cep derinliği ise; apareyin etkili bir şekilde temizlenmesinin gittikçe artan zorluğu nedeniyle, ataşman kaybı olmaksızın orta derecede diş eti büyümesi ile açıklanabilir </w:t>
      </w:r>
      <w:r w:rsidRPr="000A40E6">
        <w:rPr>
          <w:rFonts w:eastAsia="Calibri" w:cs="Times New Roman"/>
          <w:szCs w:val="24"/>
        </w:rPr>
        <w:t>(Alexander, 1991).</w:t>
      </w:r>
      <w:r w:rsidRPr="000A40E6">
        <w:rPr>
          <w:rFonts w:eastAsia="Calibri" w:cs="Times New Roman"/>
          <w:kern w:val="2"/>
          <w:szCs w:val="24"/>
          <w14:ligatures w14:val="standardContextual"/>
        </w:rPr>
        <w:t xml:space="preserve"> Literatür incelendiğinde Perinetti ve diğerleri (2015)’nin çalışmasında, 3. ve 6. aylık retansiyon dönemlerinde cep derinliğinde anlamlı derecede artışlar gözlenmiştir. Özel ve diğerleri (2018)’nin çalışmasında ise cep derinliği artışı klinik olarak kabul edilebilir seviyede bulunmuştur.</w:t>
      </w:r>
    </w:p>
    <w:p w14:paraId="646B735E" w14:textId="77777777" w:rsidR="00555CA0" w:rsidRPr="000A40E6" w:rsidRDefault="00555CA0" w:rsidP="00F756C3">
      <w:pPr>
        <w:suppressAutoHyphens/>
        <w:spacing w:after="120"/>
        <w:rPr>
          <w:rFonts w:cs="Times New Roman"/>
          <w:b/>
          <w:szCs w:val="24"/>
        </w:rPr>
      </w:pPr>
    </w:p>
    <w:p w14:paraId="08B792E0" w14:textId="4368B4AA" w:rsidR="005D779D" w:rsidRPr="000A40E6" w:rsidRDefault="00406304" w:rsidP="00F756C3">
      <w:pPr>
        <w:suppressAutoHyphens/>
        <w:spacing w:after="120"/>
        <w:ind w:firstLine="0"/>
        <w:rPr>
          <w:rFonts w:cs="Times New Roman"/>
          <w:b/>
          <w:szCs w:val="24"/>
        </w:rPr>
      </w:pPr>
      <w:bookmarkStart w:id="147" w:name="_Toc136443431"/>
      <w:r w:rsidRPr="000A40E6">
        <w:rPr>
          <w:rFonts w:cs="Times New Roman"/>
          <w:b/>
          <w:szCs w:val="24"/>
        </w:rPr>
        <w:t>5.3.2</w:t>
      </w:r>
      <w:r w:rsidR="005D779D" w:rsidRPr="000A40E6">
        <w:rPr>
          <w:rFonts w:cs="Times New Roman"/>
          <w:b/>
          <w:szCs w:val="24"/>
        </w:rPr>
        <w:t>. Diş</w:t>
      </w:r>
      <w:r w:rsidR="002C0BC7" w:rsidRPr="000A40E6">
        <w:rPr>
          <w:rFonts w:cs="Times New Roman"/>
          <w:b/>
          <w:szCs w:val="24"/>
        </w:rPr>
        <w:t xml:space="preserve"> E</w:t>
      </w:r>
      <w:r w:rsidR="005D779D" w:rsidRPr="000A40E6">
        <w:rPr>
          <w:rFonts w:cs="Times New Roman"/>
          <w:b/>
          <w:szCs w:val="24"/>
        </w:rPr>
        <w:t>ti Oluğu Sıvısı Hacim Değişikliklerine İlişkin Bulguların Tartışması</w:t>
      </w:r>
      <w:bookmarkEnd w:id="147"/>
    </w:p>
    <w:p w14:paraId="058A47A9" w14:textId="77777777" w:rsidR="005D779D" w:rsidRPr="000A40E6" w:rsidRDefault="005D779D" w:rsidP="00F756C3">
      <w:pPr>
        <w:suppressAutoHyphens/>
        <w:spacing w:after="120"/>
        <w:rPr>
          <w:rFonts w:cs="Times New Roman"/>
          <w:b/>
          <w:szCs w:val="24"/>
        </w:rPr>
      </w:pPr>
    </w:p>
    <w:p w14:paraId="24EBDF49" w14:textId="0E596D2C" w:rsidR="005D779D" w:rsidRPr="000A40E6" w:rsidRDefault="005D779D" w:rsidP="00F756C3">
      <w:pPr>
        <w:suppressAutoHyphens/>
        <w:spacing w:after="120"/>
        <w:rPr>
          <w:rFonts w:eastAsia="Calibri" w:cs="Times New Roman"/>
          <w:kern w:val="2"/>
          <w:szCs w:val="24"/>
          <w14:ligatures w14:val="standardContextual"/>
        </w:rPr>
      </w:pPr>
      <w:r w:rsidRPr="000A40E6">
        <w:rPr>
          <w:rFonts w:cs="Times New Roman"/>
          <w:szCs w:val="24"/>
        </w:rPr>
        <w:t xml:space="preserve">Çalışmamızda DOS hacimleri apareyin baskı ve gerilim alanları oluşturması nedeniyle hem bukkal hem de palatinal yüzeylerde değerlendirilmiştir. </w:t>
      </w:r>
      <w:r w:rsidRPr="000A40E6">
        <w:rPr>
          <w:rFonts w:eastAsia="Calibri" w:cs="Times New Roman"/>
          <w:kern w:val="2"/>
          <w:szCs w:val="24"/>
          <w14:ligatures w14:val="standardContextual"/>
        </w:rPr>
        <w:t xml:space="preserve">Bukkal ve palatinal bölgede DOS hacminin zamana göre </w:t>
      </w:r>
      <w:r w:rsidR="00FD3EC7" w:rsidRPr="000A40E6">
        <w:rPr>
          <w:rFonts w:eastAsia="Calibri" w:cs="Times New Roman"/>
          <w:kern w:val="2"/>
          <w:szCs w:val="24"/>
          <w14:ligatures w14:val="standardContextual"/>
        </w:rPr>
        <w:t xml:space="preserve">istatistiksel olarak </w:t>
      </w:r>
      <w:r w:rsidR="001E3B3E" w:rsidRPr="000A40E6">
        <w:rPr>
          <w:rFonts w:eastAsia="Calibri" w:cs="Times New Roman"/>
          <w:kern w:val="2"/>
          <w:szCs w:val="24"/>
          <w14:ligatures w14:val="standardContextual"/>
        </w:rPr>
        <w:t xml:space="preserve">anlamlı düzeyde değiştiği </w:t>
      </w:r>
      <w:r w:rsidRPr="000A40E6">
        <w:rPr>
          <w:rFonts w:eastAsia="Calibri" w:cs="Times New Roman"/>
          <w:kern w:val="2"/>
          <w:szCs w:val="24"/>
          <w14:ligatures w14:val="standardContextual"/>
        </w:rPr>
        <w:t>ancak bu değişimin iki bölge arasında istatistiksel olarak anlamlı bir fark göste</w:t>
      </w:r>
      <w:r w:rsidR="00483253" w:rsidRPr="000A40E6">
        <w:rPr>
          <w:rFonts w:eastAsia="Calibri" w:cs="Times New Roman"/>
          <w:kern w:val="2"/>
          <w:szCs w:val="24"/>
          <w14:ligatures w14:val="standardContextual"/>
        </w:rPr>
        <w:t>rmediği belirlenmiştir</w:t>
      </w:r>
      <w:r w:rsidR="000C1D7F" w:rsidRPr="000A40E6">
        <w:rPr>
          <w:rFonts w:eastAsia="Calibri" w:cs="Times New Roman"/>
          <w:kern w:val="2"/>
          <w:szCs w:val="24"/>
          <w14:ligatures w14:val="standardContextual"/>
        </w:rPr>
        <w:t xml:space="preserve">. </w:t>
      </w:r>
      <w:r w:rsidRPr="000A40E6">
        <w:rPr>
          <w:rFonts w:eastAsia="Calibri" w:cs="Times New Roman"/>
          <w:kern w:val="2"/>
          <w:szCs w:val="24"/>
          <w14:ligatures w14:val="standardContextual"/>
        </w:rPr>
        <w:t xml:space="preserve">Bukkal bölgeden alınan DOS hacminin, T1 ve T2 zamanlarında </w:t>
      </w:r>
      <w:r w:rsidR="0048456B" w:rsidRPr="000A40E6">
        <w:rPr>
          <w:rFonts w:eastAsia="Calibri" w:cs="Times New Roman"/>
          <w:kern w:val="2"/>
          <w:szCs w:val="24"/>
          <w14:ligatures w14:val="standardContextual"/>
        </w:rPr>
        <w:t xml:space="preserve">istatistiksel olarak </w:t>
      </w:r>
      <w:r w:rsidRPr="000A40E6">
        <w:rPr>
          <w:rFonts w:eastAsia="Calibri" w:cs="Times New Roman"/>
          <w:kern w:val="2"/>
          <w:szCs w:val="24"/>
          <w14:ligatures w14:val="standardContextual"/>
        </w:rPr>
        <w:t xml:space="preserve">anlamlı düzeyde arttığı, T3 zamanında ise T2 zamanıyla benzer düzeyde kaldığı görülmüştür. Palatinal bölgeden alınan DOS hacminin ise T1 zamanında T0’a göre; T2 ve T3 zamanlarında T1’e göre </w:t>
      </w:r>
      <w:r w:rsidR="0048456B" w:rsidRPr="000A40E6">
        <w:rPr>
          <w:rFonts w:eastAsia="Calibri" w:cs="Times New Roman"/>
          <w:kern w:val="2"/>
          <w:szCs w:val="24"/>
          <w14:ligatures w14:val="standardContextual"/>
        </w:rPr>
        <w:t xml:space="preserve">istatistiksel olarak </w:t>
      </w:r>
      <w:r w:rsidRPr="000A40E6">
        <w:rPr>
          <w:rFonts w:eastAsia="Calibri" w:cs="Times New Roman"/>
          <w:kern w:val="2"/>
          <w:szCs w:val="24"/>
          <w14:ligatures w14:val="standardContextual"/>
        </w:rPr>
        <w:t xml:space="preserve">anlamlı olmasa da arttığı, fakat T2 ve T3 zamanlarında T0’a göre </w:t>
      </w:r>
      <w:r w:rsidR="00C55C21" w:rsidRPr="000A40E6">
        <w:rPr>
          <w:rFonts w:eastAsia="Calibri" w:cs="Times New Roman"/>
          <w:kern w:val="2"/>
          <w:szCs w:val="24"/>
          <w14:ligatures w14:val="standardContextual"/>
        </w:rPr>
        <w:t xml:space="preserve">istatistiksel olarak </w:t>
      </w:r>
      <w:r w:rsidRPr="000A40E6">
        <w:rPr>
          <w:rFonts w:eastAsia="Calibri" w:cs="Times New Roman"/>
          <w:kern w:val="2"/>
          <w:szCs w:val="24"/>
          <w14:ligatures w14:val="standardContextual"/>
        </w:rPr>
        <w:t>anlamlı düzeyde daha yüksek olduğu tespit edilmiştir. Ayrıca iki bölge, her bir ölçüm zamanında DOS hacmi bakımı</w:t>
      </w:r>
      <w:r w:rsidR="000C1D7F" w:rsidRPr="000A40E6">
        <w:rPr>
          <w:rFonts w:eastAsia="Calibri" w:cs="Times New Roman"/>
          <w:kern w:val="2"/>
          <w:szCs w:val="24"/>
          <w14:ligatures w14:val="standardContextual"/>
        </w:rPr>
        <w:t>ndan benzer bulunmuştur</w:t>
      </w:r>
      <w:r w:rsidRPr="000A40E6">
        <w:rPr>
          <w:rFonts w:eastAsia="Calibri" w:cs="Times New Roman"/>
          <w:kern w:val="2"/>
          <w:szCs w:val="24"/>
          <w14:ligatures w14:val="standardContextual"/>
        </w:rPr>
        <w:t>.</w:t>
      </w:r>
    </w:p>
    <w:p w14:paraId="07E1B28A" w14:textId="17BDFB3E" w:rsidR="005D779D" w:rsidRPr="000A40E6" w:rsidRDefault="00CB32B5" w:rsidP="00F756C3">
      <w:pPr>
        <w:suppressAutoHyphens/>
        <w:spacing w:after="120"/>
        <w:rPr>
          <w:rFonts w:eastAsia="Calibri" w:cs="Times New Roman"/>
          <w:kern w:val="2"/>
          <w:szCs w:val="24"/>
          <w14:ligatures w14:val="standardContextual"/>
        </w:rPr>
      </w:pPr>
      <w:r w:rsidRPr="000A40E6">
        <w:rPr>
          <w:rFonts w:cs="Times New Roman"/>
          <w:szCs w:val="24"/>
        </w:rPr>
        <w:t xml:space="preserve">Özel ve diğerleri </w:t>
      </w:r>
      <w:r w:rsidR="005D779D" w:rsidRPr="000A40E6">
        <w:rPr>
          <w:rFonts w:cs="Times New Roman"/>
          <w:szCs w:val="24"/>
        </w:rPr>
        <w:t>(2018)</w:t>
      </w:r>
      <w:r w:rsidRPr="000A40E6">
        <w:rPr>
          <w:rFonts w:cs="Times New Roman"/>
          <w:szCs w:val="24"/>
        </w:rPr>
        <w:t>’nin</w:t>
      </w:r>
      <w:r w:rsidR="005D779D" w:rsidRPr="000A40E6">
        <w:rPr>
          <w:rFonts w:cs="Times New Roman"/>
          <w:szCs w:val="24"/>
        </w:rPr>
        <w:t xml:space="preserve"> yaptığı çalışmada toplam DOS </w:t>
      </w:r>
      <w:r w:rsidR="00531B60" w:rsidRPr="000A40E6">
        <w:rPr>
          <w:rFonts w:cs="Times New Roman"/>
          <w:szCs w:val="24"/>
        </w:rPr>
        <w:t>hacimleri için bukkal ve palatinal</w:t>
      </w:r>
      <w:r w:rsidR="005D779D" w:rsidRPr="000A40E6">
        <w:rPr>
          <w:rFonts w:cs="Times New Roman"/>
          <w:szCs w:val="24"/>
        </w:rPr>
        <w:t xml:space="preserve"> taraflar arasında</w:t>
      </w:r>
      <w:r w:rsidR="00E94316" w:rsidRPr="000A40E6">
        <w:rPr>
          <w:rFonts w:cs="Times New Roman"/>
          <w:szCs w:val="24"/>
        </w:rPr>
        <w:t xml:space="preserve"> </w:t>
      </w:r>
      <w:r w:rsidR="00E94316" w:rsidRPr="000A40E6">
        <w:rPr>
          <w:rFonts w:eastAsia="Calibri" w:cs="Times New Roman"/>
          <w:kern w:val="2"/>
          <w:szCs w:val="24"/>
          <w14:ligatures w14:val="standardContextual"/>
        </w:rPr>
        <w:t>istatistiksel olarak</w:t>
      </w:r>
      <w:r w:rsidR="005D779D" w:rsidRPr="000A40E6">
        <w:rPr>
          <w:rFonts w:cs="Times New Roman"/>
          <w:szCs w:val="24"/>
        </w:rPr>
        <w:t xml:space="preserve"> anlamlı bir fark olmamasına rağme</w:t>
      </w:r>
      <w:r w:rsidR="00531B60" w:rsidRPr="000A40E6">
        <w:rPr>
          <w:rFonts w:cs="Times New Roman"/>
          <w:szCs w:val="24"/>
        </w:rPr>
        <w:t>n, tüm ölçümlerde DOS'un palatinal</w:t>
      </w:r>
      <w:r w:rsidR="005D779D" w:rsidRPr="000A40E6">
        <w:rPr>
          <w:rFonts w:cs="Times New Roman"/>
          <w:szCs w:val="24"/>
        </w:rPr>
        <w:t xml:space="preserve"> hacimleri bukkal değerlerden daha yüksek bul</w:t>
      </w:r>
      <w:r w:rsidR="00AE3B2F" w:rsidRPr="000A40E6">
        <w:rPr>
          <w:rFonts w:cs="Times New Roman"/>
          <w:szCs w:val="24"/>
        </w:rPr>
        <w:t xml:space="preserve">unmuştur. Topal ve diğerleri </w:t>
      </w:r>
      <w:r w:rsidR="005D779D" w:rsidRPr="000A40E6">
        <w:rPr>
          <w:rFonts w:cs="Times New Roman"/>
          <w:szCs w:val="24"/>
        </w:rPr>
        <w:t>(2019)</w:t>
      </w:r>
      <w:r w:rsidR="00AE3B2F" w:rsidRPr="000A40E6">
        <w:rPr>
          <w:rFonts w:cs="Times New Roman"/>
          <w:szCs w:val="24"/>
        </w:rPr>
        <w:t>’nin</w:t>
      </w:r>
      <w:r w:rsidR="005D779D" w:rsidRPr="000A40E6">
        <w:rPr>
          <w:rFonts w:cs="Times New Roman"/>
          <w:szCs w:val="24"/>
        </w:rPr>
        <w:t xml:space="preserve"> yaptığı çalışmada, bukkal taraftaki DOS hacmi başlangıca göre 10. günde </w:t>
      </w:r>
      <w:r w:rsidR="00E94316" w:rsidRPr="000A40E6">
        <w:rPr>
          <w:rFonts w:eastAsia="Calibri" w:cs="Times New Roman"/>
          <w:kern w:val="2"/>
          <w:szCs w:val="24"/>
          <w14:ligatures w14:val="standardContextual"/>
        </w:rPr>
        <w:t xml:space="preserve">istatistiksel olarak </w:t>
      </w:r>
      <w:r w:rsidR="00132380" w:rsidRPr="000A40E6">
        <w:rPr>
          <w:rFonts w:cs="Times New Roman"/>
          <w:szCs w:val="24"/>
        </w:rPr>
        <w:t xml:space="preserve">anlamlı düzeyde </w:t>
      </w:r>
      <w:r w:rsidR="005D779D" w:rsidRPr="000A40E6">
        <w:rPr>
          <w:rFonts w:cs="Times New Roman"/>
          <w:szCs w:val="24"/>
        </w:rPr>
        <w:t>yüksek bulunmuştur, bunu 3. ayda 10. güne göre</w:t>
      </w:r>
      <w:r w:rsidR="00AB531A" w:rsidRPr="000A40E6">
        <w:rPr>
          <w:rFonts w:cs="Times New Roman"/>
          <w:szCs w:val="24"/>
        </w:rPr>
        <w:t xml:space="preserve"> </w:t>
      </w:r>
      <w:r w:rsidR="00AB531A" w:rsidRPr="000A40E6">
        <w:rPr>
          <w:rFonts w:eastAsia="Calibri" w:cs="Times New Roman"/>
          <w:kern w:val="2"/>
          <w:szCs w:val="24"/>
          <w14:ligatures w14:val="standardContextual"/>
        </w:rPr>
        <w:t>istatistiksel olarak</w:t>
      </w:r>
      <w:r w:rsidR="005D779D" w:rsidRPr="000A40E6">
        <w:rPr>
          <w:rFonts w:cs="Times New Roman"/>
          <w:szCs w:val="24"/>
        </w:rPr>
        <w:t xml:space="preserve"> anlam</w:t>
      </w:r>
      <w:r w:rsidR="00531B60" w:rsidRPr="000A40E6">
        <w:rPr>
          <w:rFonts w:cs="Times New Roman"/>
          <w:szCs w:val="24"/>
        </w:rPr>
        <w:t>lı bir düşüş izlemiştir. Palatinal</w:t>
      </w:r>
      <w:r w:rsidR="005D779D" w:rsidRPr="000A40E6">
        <w:rPr>
          <w:rFonts w:cs="Times New Roman"/>
          <w:szCs w:val="24"/>
        </w:rPr>
        <w:t xml:space="preserve"> taraftaki DOS hacminde ise başlangıca göre 3. </w:t>
      </w:r>
      <w:r w:rsidR="00AB531A" w:rsidRPr="000A40E6">
        <w:rPr>
          <w:rFonts w:cs="Times New Roman"/>
          <w:szCs w:val="24"/>
        </w:rPr>
        <w:t>a</w:t>
      </w:r>
      <w:r w:rsidR="005D779D" w:rsidRPr="000A40E6">
        <w:rPr>
          <w:rFonts w:cs="Times New Roman"/>
          <w:szCs w:val="24"/>
        </w:rPr>
        <w:t>yda</w:t>
      </w:r>
      <w:r w:rsidR="00AB531A" w:rsidRPr="000A40E6">
        <w:rPr>
          <w:rFonts w:cs="Times New Roman"/>
          <w:szCs w:val="24"/>
        </w:rPr>
        <w:t xml:space="preserve"> </w:t>
      </w:r>
      <w:r w:rsidR="00AB531A" w:rsidRPr="000A40E6">
        <w:rPr>
          <w:rFonts w:eastAsia="Calibri" w:cs="Times New Roman"/>
          <w:kern w:val="2"/>
          <w:szCs w:val="24"/>
          <w14:ligatures w14:val="standardContextual"/>
        </w:rPr>
        <w:t>istatistiksel olarak</w:t>
      </w:r>
      <w:r w:rsidR="005D779D" w:rsidRPr="000A40E6">
        <w:rPr>
          <w:rFonts w:cs="Times New Roman"/>
          <w:szCs w:val="24"/>
        </w:rPr>
        <w:t xml:space="preserve"> anlamlı artış bulunmuştur.</w:t>
      </w:r>
    </w:p>
    <w:p w14:paraId="788B0264" w14:textId="6E5C2D39" w:rsidR="005D779D" w:rsidRPr="000A40E6" w:rsidRDefault="005D779D" w:rsidP="00F756C3">
      <w:pPr>
        <w:suppressAutoHyphens/>
        <w:spacing w:after="120"/>
        <w:rPr>
          <w:rFonts w:cs="Times New Roman"/>
          <w:szCs w:val="24"/>
        </w:rPr>
      </w:pPr>
      <w:r w:rsidRPr="000A40E6">
        <w:rPr>
          <w:rFonts w:cs="Times New Roman"/>
          <w:szCs w:val="24"/>
        </w:rPr>
        <w:t>DOS hacim artışı tek başına ortodontik kuvvetlerden kaynaklanmayıp, bölgedeki periodontal sağlık ile de ilişkili olabilir. Buna uyumlu olarak, çalışmalarda ortodontik tedavi gören bireylerde DOS miktarının artma eğiliminde olduğu bildirilmiştir (</w:t>
      </w:r>
      <w:r w:rsidR="00320004" w:rsidRPr="000A40E6">
        <w:rPr>
          <w:rFonts w:cs="Times New Roman"/>
          <w:szCs w:val="24"/>
        </w:rPr>
        <w:t>Basaran ve diğerleri, 2006</w:t>
      </w:r>
      <w:r w:rsidR="00E87292" w:rsidRPr="000A40E6">
        <w:rPr>
          <w:rFonts w:cs="Times New Roman"/>
          <w:szCs w:val="24"/>
        </w:rPr>
        <w:t>a</w:t>
      </w:r>
      <w:r w:rsidR="00320004" w:rsidRPr="000A40E6">
        <w:rPr>
          <w:rFonts w:cs="Times New Roman"/>
          <w:szCs w:val="24"/>
        </w:rPr>
        <w:t>; Griffiths ve diğerleri, 1998</w:t>
      </w:r>
      <w:r w:rsidR="00625AE7" w:rsidRPr="000A40E6">
        <w:rPr>
          <w:rFonts w:cs="Times New Roman"/>
          <w:szCs w:val="24"/>
        </w:rPr>
        <w:t>). Ç</w:t>
      </w:r>
      <w:r w:rsidRPr="000A40E6">
        <w:rPr>
          <w:rFonts w:cs="Times New Roman"/>
          <w:szCs w:val="24"/>
        </w:rPr>
        <w:t>alışmamızda T1</w:t>
      </w:r>
      <w:r w:rsidR="000B4B1B" w:rsidRPr="000A40E6">
        <w:rPr>
          <w:rFonts w:cs="Times New Roman"/>
          <w:szCs w:val="24"/>
        </w:rPr>
        <w:t>’de başlayan DOS hacim artışı</w:t>
      </w:r>
      <w:r w:rsidR="008A5025" w:rsidRPr="000A40E6">
        <w:rPr>
          <w:rFonts w:cs="Times New Roman"/>
          <w:szCs w:val="24"/>
        </w:rPr>
        <w:t xml:space="preserve"> sebebi</w:t>
      </w:r>
      <w:r w:rsidR="000B4B1B" w:rsidRPr="000A40E6">
        <w:rPr>
          <w:rFonts w:cs="Times New Roman"/>
          <w:szCs w:val="24"/>
        </w:rPr>
        <w:t>nin</w:t>
      </w:r>
      <w:r w:rsidR="00CF4C3F" w:rsidRPr="000A40E6">
        <w:rPr>
          <w:rFonts w:cs="Times New Roman"/>
          <w:szCs w:val="24"/>
        </w:rPr>
        <w:t>,</w:t>
      </w:r>
      <w:r w:rsidR="008A5025" w:rsidRPr="000A40E6">
        <w:rPr>
          <w:rFonts w:cs="Times New Roman"/>
          <w:szCs w:val="24"/>
        </w:rPr>
        <w:t xml:space="preserve"> </w:t>
      </w:r>
      <w:r w:rsidR="001B6673" w:rsidRPr="000A40E6">
        <w:rPr>
          <w:rFonts w:cs="Times New Roman"/>
          <w:szCs w:val="24"/>
        </w:rPr>
        <w:t xml:space="preserve">apareyin aktivasyonu sırasında uygulanan </w:t>
      </w:r>
      <w:r w:rsidRPr="000A40E6">
        <w:rPr>
          <w:rFonts w:cs="Times New Roman"/>
          <w:szCs w:val="24"/>
        </w:rPr>
        <w:t>kuvvet</w:t>
      </w:r>
      <w:r w:rsidR="001B6673" w:rsidRPr="000A40E6">
        <w:rPr>
          <w:rFonts w:cs="Times New Roman"/>
          <w:szCs w:val="24"/>
        </w:rPr>
        <w:t xml:space="preserve"> sonucu</w:t>
      </w:r>
      <w:r w:rsidR="008A5025" w:rsidRPr="000A40E6">
        <w:rPr>
          <w:rFonts w:cs="Times New Roman"/>
          <w:szCs w:val="24"/>
        </w:rPr>
        <w:t xml:space="preserve"> </w:t>
      </w:r>
      <w:r w:rsidRPr="000A40E6">
        <w:rPr>
          <w:rFonts w:cs="Times New Roman"/>
          <w:szCs w:val="24"/>
        </w:rPr>
        <w:t>palatal süturun açılmasıyla oluşan</w:t>
      </w:r>
      <w:r w:rsidR="00CF487B" w:rsidRPr="000A40E6">
        <w:rPr>
          <w:rFonts w:cs="Times New Roman"/>
          <w:szCs w:val="24"/>
        </w:rPr>
        <w:t xml:space="preserve"> aseptik i</w:t>
      </w:r>
      <w:r w:rsidR="008A5025" w:rsidRPr="000A40E6">
        <w:rPr>
          <w:rFonts w:cs="Times New Roman"/>
          <w:szCs w:val="24"/>
        </w:rPr>
        <w:t>nflamasyon</w:t>
      </w:r>
      <w:r w:rsidR="0093628F" w:rsidRPr="000A40E6">
        <w:rPr>
          <w:rFonts w:cs="Times New Roman"/>
          <w:szCs w:val="24"/>
        </w:rPr>
        <w:t>a bağlı</w:t>
      </w:r>
      <w:r w:rsidR="00CF4C3F" w:rsidRPr="000A40E6">
        <w:rPr>
          <w:rFonts w:cs="Times New Roman"/>
          <w:szCs w:val="24"/>
        </w:rPr>
        <w:t xml:space="preserve"> olduğu düşünülebilir.</w:t>
      </w:r>
      <w:r w:rsidRPr="000A40E6">
        <w:rPr>
          <w:rFonts w:cs="Times New Roman"/>
          <w:szCs w:val="24"/>
        </w:rPr>
        <w:t xml:space="preserve"> Her iki bölge için de T2 ve T3 zamanlarında T1’e kıyasla artan DOS hacmi, apareyin ağızda kalma süresinden dolayı </w:t>
      </w:r>
      <w:r w:rsidR="00BC3456" w:rsidRPr="000A40E6">
        <w:rPr>
          <w:rFonts w:cs="Times New Roman"/>
          <w:szCs w:val="24"/>
        </w:rPr>
        <w:t xml:space="preserve">hafif </w:t>
      </w:r>
      <w:r w:rsidRPr="000A40E6">
        <w:rPr>
          <w:rFonts w:cs="Times New Roman"/>
          <w:szCs w:val="24"/>
        </w:rPr>
        <w:t xml:space="preserve">plak retansiyonu ve </w:t>
      </w:r>
      <w:r w:rsidR="00BC3456" w:rsidRPr="000A40E6">
        <w:rPr>
          <w:rFonts w:cs="Times New Roman"/>
          <w:szCs w:val="24"/>
        </w:rPr>
        <w:t xml:space="preserve">hafif </w:t>
      </w:r>
      <w:r w:rsidR="00CF487B" w:rsidRPr="000A40E6">
        <w:rPr>
          <w:rFonts w:cs="Times New Roman"/>
          <w:szCs w:val="24"/>
        </w:rPr>
        <w:t>gingival i</w:t>
      </w:r>
      <w:r w:rsidRPr="000A40E6">
        <w:rPr>
          <w:rFonts w:cs="Times New Roman"/>
          <w:szCs w:val="24"/>
        </w:rPr>
        <w:t xml:space="preserve">nflamasyonun </w:t>
      </w:r>
      <w:r w:rsidR="00BC3456" w:rsidRPr="000A40E6">
        <w:rPr>
          <w:rFonts w:cs="Times New Roman"/>
          <w:szCs w:val="24"/>
        </w:rPr>
        <w:t>başlangıcı ile ilişkilendirilebilir.</w:t>
      </w:r>
      <w:r w:rsidR="00633200" w:rsidRPr="000A40E6">
        <w:rPr>
          <w:rFonts w:cs="Times New Roman"/>
          <w:szCs w:val="24"/>
        </w:rPr>
        <w:t xml:space="preserve"> </w:t>
      </w:r>
      <w:r w:rsidRPr="000A40E6">
        <w:rPr>
          <w:rFonts w:cs="Times New Roman"/>
          <w:szCs w:val="24"/>
        </w:rPr>
        <w:t>Bukkal ve palatinal yüzeylerde T2 ve T3’deki T0’a göre yüksek</w:t>
      </w:r>
      <w:r w:rsidR="00AB4895" w:rsidRPr="000A40E6">
        <w:rPr>
          <w:rFonts w:cs="Times New Roman"/>
          <w:szCs w:val="24"/>
        </w:rPr>
        <w:t xml:space="preserve"> DOS hacmi ise ortopedik relaps</w:t>
      </w:r>
      <w:r w:rsidRPr="000A40E6">
        <w:rPr>
          <w:rFonts w:cs="Times New Roman"/>
          <w:szCs w:val="24"/>
        </w:rPr>
        <w:t xml:space="preserve"> ve dental ark üzerinde devam eden rezidüel kuvvetler ile</w:t>
      </w:r>
      <w:r w:rsidR="000C2C04" w:rsidRPr="000A40E6">
        <w:rPr>
          <w:rFonts w:cs="Times New Roman"/>
          <w:szCs w:val="24"/>
        </w:rPr>
        <w:t xml:space="preserve"> </w:t>
      </w:r>
      <w:r w:rsidR="00633200" w:rsidRPr="000A40E6">
        <w:rPr>
          <w:rFonts w:cs="Times New Roman"/>
          <w:szCs w:val="24"/>
        </w:rPr>
        <w:t>açıklanabilir</w:t>
      </w:r>
      <w:r w:rsidRPr="000A40E6">
        <w:rPr>
          <w:rFonts w:cs="Times New Roman"/>
          <w:szCs w:val="24"/>
        </w:rPr>
        <w:t>.</w:t>
      </w:r>
    </w:p>
    <w:p w14:paraId="42F7088E" w14:textId="61F68E37" w:rsidR="005D779D" w:rsidRPr="000A40E6" w:rsidRDefault="005D779D" w:rsidP="00F756C3">
      <w:pPr>
        <w:suppressAutoHyphens/>
        <w:spacing w:after="120"/>
        <w:ind w:firstLine="0"/>
        <w:rPr>
          <w:rFonts w:cs="Times New Roman"/>
          <w:b/>
          <w:szCs w:val="24"/>
        </w:rPr>
      </w:pPr>
    </w:p>
    <w:p w14:paraId="1A100E4C" w14:textId="613FCA48" w:rsidR="005D779D" w:rsidRPr="000A40E6" w:rsidRDefault="00406304" w:rsidP="00F756C3">
      <w:pPr>
        <w:suppressAutoHyphens/>
        <w:spacing w:after="120"/>
        <w:ind w:firstLine="0"/>
        <w:rPr>
          <w:rFonts w:cs="Times New Roman"/>
          <w:b/>
          <w:szCs w:val="24"/>
        </w:rPr>
      </w:pPr>
      <w:bookmarkStart w:id="148" w:name="_Toc136443432"/>
      <w:r w:rsidRPr="000A40E6">
        <w:rPr>
          <w:rFonts w:cs="Times New Roman"/>
          <w:b/>
          <w:szCs w:val="24"/>
        </w:rPr>
        <w:t>5.3.3</w:t>
      </w:r>
      <w:r w:rsidR="005D779D" w:rsidRPr="000A40E6">
        <w:rPr>
          <w:rFonts w:cs="Times New Roman"/>
          <w:b/>
          <w:szCs w:val="24"/>
        </w:rPr>
        <w:t>. Biyo</w:t>
      </w:r>
      <w:r w:rsidR="00F44EBE" w:rsidRPr="000A40E6">
        <w:rPr>
          <w:rFonts w:cs="Times New Roman"/>
          <w:b/>
          <w:szCs w:val="24"/>
        </w:rPr>
        <w:t xml:space="preserve">marker Bulgularının </w:t>
      </w:r>
      <w:r w:rsidR="00F05B72" w:rsidRPr="000A40E6">
        <w:rPr>
          <w:rFonts w:cs="Times New Roman"/>
          <w:b/>
          <w:szCs w:val="24"/>
        </w:rPr>
        <w:t>Tartışması</w:t>
      </w:r>
      <w:bookmarkEnd w:id="148"/>
    </w:p>
    <w:p w14:paraId="750143DC" w14:textId="77777777" w:rsidR="005D779D" w:rsidRPr="000A40E6" w:rsidRDefault="005D779D" w:rsidP="00F756C3">
      <w:pPr>
        <w:suppressAutoHyphens/>
        <w:spacing w:after="120"/>
        <w:ind w:firstLine="0"/>
        <w:rPr>
          <w:rFonts w:cs="Times New Roman"/>
          <w:b/>
          <w:szCs w:val="24"/>
        </w:rPr>
      </w:pPr>
    </w:p>
    <w:p w14:paraId="4C954F59" w14:textId="58B0DD66" w:rsidR="005D779D" w:rsidRPr="000A40E6" w:rsidRDefault="005D779D" w:rsidP="00F756C3">
      <w:pPr>
        <w:suppressAutoHyphens/>
        <w:spacing w:after="120"/>
        <w:rPr>
          <w:rFonts w:eastAsia="Calibri" w:cs="Times New Roman"/>
          <w:szCs w:val="24"/>
        </w:rPr>
      </w:pPr>
      <w:r w:rsidRPr="000A40E6">
        <w:rPr>
          <w:rFonts w:eastAsia="Calibri" w:cs="Times New Roman"/>
          <w:szCs w:val="24"/>
        </w:rPr>
        <w:t xml:space="preserve">Panoramik görüntüleme yöntemleri gibi geleneksel </w:t>
      </w:r>
      <w:proofErr w:type="gramStart"/>
      <w:r w:rsidRPr="000A40E6">
        <w:rPr>
          <w:rFonts w:eastAsia="Calibri" w:cs="Times New Roman"/>
          <w:szCs w:val="24"/>
        </w:rPr>
        <w:t>prosedürlerin</w:t>
      </w:r>
      <w:proofErr w:type="gramEnd"/>
      <w:r w:rsidRPr="000A40E6">
        <w:rPr>
          <w:rFonts w:eastAsia="Calibri" w:cs="Times New Roman"/>
          <w:szCs w:val="24"/>
        </w:rPr>
        <w:t xml:space="preserve"> periodontal hastalık geçmişi veya remodeling takibi durumlarında kullanıldığı ancak sınırlamalara sahip oldukları iyi bilinmektedir. Bu nedenle, rutin klinik uygulama için DOS biyo</w:t>
      </w:r>
      <w:r w:rsidR="00D647B7" w:rsidRPr="000A40E6">
        <w:rPr>
          <w:rFonts w:eastAsia="Calibri" w:cs="Times New Roman"/>
          <w:szCs w:val="24"/>
        </w:rPr>
        <w:t xml:space="preserve">markerlarının </w:t>
      </w:r>
      <w:r w:rsidRPr="000A40E6">
        <w:rPr>
          <w:rFonts w:eastAsia="Calibri" w:cs="Times New Roman"/>
          <w:szCs w:val="24"/>
        </w:rPr>
        <w:t>kullanımı önerilmiştir (Taba ve diğerleri, 2005). Bu</w:t>
      </w:r>
      <w:r w:rsidR="004A29EA" w:rsidRPr="000A40E6">
        <w:rPr>
          <w:rFonts w:eastAsia="Calibri" w:cs="Times New Roman"/>
          <w:szCs w:val="24"/>
        </w:rPr>
        <w:t xml:space="preserve"> durum</w:t>
      </w:r>
      <w:r w:rsidRPr="000A40E6">
        <w:rPr>
          <w:rFonts w:eastAsia="Calibri" w:cs="Times New Roman"/>
          <w:szCs w:val="24"/>
        </w:rPr>
        <w:t>, özellikle DOS</w:t>
      </w:r>
      <w:r w:rsidR="00F24CA3" w:rsidRPr="000A40E6">
        <w:rPr>
          <w:rFonts w:eastAsia="Calibri" w:cs="Times New Roman"/>
          <w:szCs w:val="24"/>
        </w:rPr>
        <w:t>’t</w:t>
      </w:r>
      <w:r w:rsidR="001C17A6" w:rsidRPr="000A40E6">
        <w:rPr>
          <w:rFonts w:eastAsia="Calibri" w:cs="Times New Roman"/>
          <w:szCs w:val="24"/>
        </w:rPr>
        <w:t xml:space="preserve">a </w:t>
      </w:r>
      <w:r w:rsidRPr="000A40E6">
        <w:rPr>
          <w:rFonts w:eastAsia="Calibri" w:cs="Times New Roman"/>
          <w:szCs w:val="24"/>
        </w:rPr>
        <w:t xml:space="preserve">tespit edilebilir enzimatik </w:t>
      </w:r>
      <w:r w:rsidR="0062462B" w:rsidRPr="000A40E6">
        <w:rPr>
          <w:rFonts w:eastAsia="Calibri" w:cs="Times New Roman"/>
          <w:szCs w:val="24"/>
        </w:rPr>
        <w:t>değişikliklerin</w:t>
      </w:r>
      <w:r w:rsidRPr="000A40E6">
        <w:rPr>
          <w:rFonts w:eastAsia="Calibri" w:cs="Times New Roman"/>
          <w:szCs w:val="24"/>
        </w:rPr>
        <w:t>, klinik olarak</w:t>
      </w:r>
      <w:r w:rsidR="001C17A6" w:rsidRPr="000A40E6">
        <w:rPr>
          <w:rFonts w:eastAsia="Calibri" w:cs="Times New Roman"/>
          <w:szCs w:val="24"/>
        </w:rPr>
        <w:t xml:space="preserve"> tespit edilen</w:t>
      </w:r>
      <w:r w:rsidRPr="000A40E6">
        <w:rPr>
          <w:rFonts w:eastAsia="Calibri" w:cs="Times New Roman"/>
          <w:szCs w:val="24"/>
        </w:rPr>
        <w:t xml:space="preserve"> belirgin </w:t>
      </w:r>
      <w:r w:rsidR="001C17A6" w:rsidRPr="000A40E6">
        <w:rPr>
          <w:rFonts w:eastAsia="Calibri" w:cs="Times New Roman"/>
          <w:szCs w:val="24"/>
        </w:rPr>
        <w:t xml:space="preserve">değişikliklerden </w:t>
      </w:r>
      <w:r w:rsidRPr="000A40E6">
        <w:rPr>
          <w:rFonts w:eastAsia="Calibri" w:cs="Times New Roman"/>
          <w:szCs w:val="24"/>
        </w:rPr>
        <w:t>daha önce meydana geldiği göz önünde bulundurulduğunda yararlıdır (</w:t>
      </w:r>
      <w:r w:rsidR="00332CC0" w:rsidRPr="000A40E6">
        <w:rPr>
          <w:rFonts w:eastAsia="Calibri" w:cs="Times New Roman"/>
          <w:szCs w:val="24"/>
        </w:rPr>
        <w:t>Chapple ve diğerleri, 1999</w:t>
      </w:r>
      <w:r w:rsidR="00315EA6" w:rsidRPr="000A40E6">
        <w:rPr>
          <w:rFonts w:eastAsia="Calibri" w:cs="Times New Roman"/>
          <w:szCs w:val="24"/>
        </w:rPr>
        <w:t>b</w:t>
      </w:r>
      <w:r w:rsidR="00332CC0" w:rsidRPr="000A40E6">
        <w:rPr>
          <w:rFonts w:eastAsia="Calibri" w:cs="Times New Roman"/>
          <w:szCs w:val="24"/>
        </w:rPr>
        <w:t xml:space="preserve">; </w:t>
      </w:r>
      <w:r w:rsidRPr="000A40E6">
        <w:rPr>
          <w:rFonts w:eastAsia="Calibri" w:cs="Times New Roman"/>
          <w:szCs w:val="24"/>
        </w:rPr>
        <w:t>Perinetti ve diğerleri, 2008</w:t>
      </w:r>
      <w:r w:rsidR="00491B3D" w:rsidRPr="000A40E6">
        <w:rPr>
          <w:rFonts w:eastAsia="Calibri" w:cs="Times New Roman"/>
          <w:szCs w:val="24"/>
        </w:rPr>
        <w:t>). K</w:t>
      </w:r>
      <w:r w:rsidRPr="000A40E6">
        <w:rPr>
          <w:rFonts w:eastAsia="Calibri" w:cs="Times New Roman"/>
          <w:szCs w:val="24"/>
        </w:rPr>
        <w:t>emi</w:t>
      </w:r>
      <w:r w:rsidR="00CF487B" w:rsidRPr="000A40E6">
        <w:rPr>
          <w:rFonts w:eastAsia="Calibri" w:cs="Times New Roman"/>
          <w:szCs w:val="24"/>
        </w:rPr>
        <w:t>k oluşumu ve rezorpsiyonu veya i</w:t>
      </w:r>
      <w:r w:rsidRPr="000A40E6">
        <w:rPr>
          <w:rFonts w:eastAsia="Calibri" w:cs="Times New Roman"/>
          <w:szCs w:val="24"/>
        </w:rPr>
        <w:t>nflamasyon gibi farklı biyolojik</w:t>
      </w:r>
      <w:r w:rsidR="005A57B7" w:rsidRPr="000A40E6">
        <w:rPr>
          <w:rFonts w:eastAsia="Calibri" w:cs="Times New Roman"/>
          <w:szCs w:val="24"/>
        </w:rPr>
        <w:t xml:space="preserve"> tepkileri yansıtan çeşitli DOS</w:t>
      </w:r>
      <w:r w:rsidR="00CB6E84" w:rsidRPr="000A40E6">
        <w:rPr>
          <w:rFonts w:eastAsia="Calibri" w:cs="Times New Roman"/>
          <w:szCs w:val="24"/>
        </w:rPr>
        <w:t xml:space="preserve"> </w:t>
      </w:r>
      <w:r w:rsidR="005A57B7" w:rsidRPr="000A40E6">
        <w:rPr>
          <w:rFonts w:eastAsia="Calibri" w:cs="Times New Roman"/>
          <w:szCs w:val="24"/>
        </w:rPr>
        <w:t>biyomarkerlarının</w:t>
      </w:r>
      <w:r w:rsidRPr="000A40E6">
        <w:rPr>
          <w:rFonts w:eastAsia="Calibri" w:cs="Times New Roman"/>
          <w:szCs w:val="24"/>
        </w:rPr>
        <w:t xml:space="preserve"> bir </w:t>
      </w:r>
      <w:proofErr w:type="gramStart"/>
      <w:r w:rsidRPr="000A40E6">
        <w:rPr>
          <w:rFonts w:eastAsia="Calibri" w:cs="Times New Roman"/>
          <w:szCs w:val="24"/>
        </w:rPr>
        <w:t>kombinasyonunun</w:t>
      </w:r>
      <w:proofErr w:type="gramEnd"/>
      <w:r w:rsidRPr="000A40E6">
        <w:rPr>
          <w:rFonts w:eastAsia="Calibri" w:cs="Times New Roman"/>
          <w:szCs w:val="24"/>
        </w:rPr>
        <w:t xml:space="preserve"> izlenmesi de, RME tedavisindeki doku tepkisini tam olarak aydınlatmak için faydalı olacaktır. Bu nedenle çal</w:t>
      </w:r>
      <w:r w:rsidR="00CF487B" w:rsidRPr="000A40E6">
        <w:rPr>
          <w:rFonts w:eastAsia="Calibri" w:cs="Times New Roman"/>
          <w:szCs w:val="24"/>
        </w:rPr>
        <w:t>ışmamızda kemik yapım yıkım ve i</w:t>
      </w:r>
      <w:r w:rsidRPr="000A40E6">
        <w:rPr>
          <w:rFonts w:eastAsia="Calibri" w:cs="Times New Roman"/>
          <w:szCs w:val="24"/>
        </w:rPr>
        <w:t xml:space="preserve">nflamasyon </w:t>
      </w:r>
      <w:r w:rsidR="00CB6E84" w:rsidRPr="000A40E6">
        <w:rPr>
          <w:rFonts w:eastAsia="Calibri" w:cs="Times New Roman"/>
          <w:szCs w:val="24"/>
        </w:rPr>
        <w:t xml:space="preserve">biyomarkerlarından </w:t>
      </w:r>
      <w:r w:rsidR="00AA55DE" w:rsidRPr="000A40E6">
        <w:rPr>
          <w:rFonts w:eastAsia="Calibri" w:cs="Times New Roman"/>
          <w:szCs w:val="24"/>
        </w:rPr>
        <w:t>B</w:t>
      </w:r>
      <w:r w:rsidRPr="000A40E6">
        <w:rPr>
          <w:rFonts w:eastAsia="Calibri" w:cs="Times New Roman"/>
          <w:szCs w:val="24"/>
        </w:rPr>
        <w:t>ALP, OPG, RANKL ve TNF-alfa incelenmiştir.</w:t>
      </w:r>
    </w:p>
    <w:p w14:paraId="1711EFE9" w14:textId="67401F9E" w:rsidR="005D779D" w:rsidRPr="000A40E6" w:rsidRDefault="005D779D" w:rsidP="00F756C3">
      <w:pPr>
        <w:suppressAutoHyphens/>
        <w:spacing w:after="120"/>
        <w:rPr>
          <w:rFonts w:eastAsia="Calibri" w:cs="Times New Roman"/>
          <w:szCs w:val="24"/>
        </w:rPr>
      </w:pPr>
      <w:r w:rsidRPr="000A40E6">
        <w:rPr>
          <w:rFonts w:eastAsia="Calibri" w:cs="Times New Roman"/>
          <w:szCs w:val="24"/>
        </w:rPr>
        <w:t xml:space="preserve">Serum ve kemikte meydana gelen </w:t>
      </w:r>
      <w:r w:rsidR="00AA55DE" w:rsidRPr="000A40E6">
        <w:rPr>
          <w:rFonts w:eastAsia="Calibri" w:cs="Times New Roman"/>
          <w:szCs w:val="24"/>
        </w:rPr>
        <w:t>B</w:t>
      </w:r>
      <w:r w:rsidRPr="000A40E6">
        <w:rPr>
          <w:rFonts w:eastAsia="Calibri" w:cs="Times New Roman"/>
          <w:szCs w:val="24"/>
        </w:rPr>
        <w:t>ALP değişiklikleri çeşitli hastalıklarda kemik me</w:t>
      </w:r>
      <w:r w:rsidR="004B57A1" w:rsidRPr="000A40E6">
        <w:rPr>
          <w:rFonts w:eastAsia="Calibri" w:cs="Times New Roman"/>
          <w:szCs w:val="24"/>
        </w:rPr>
        <w:t>tabolizmasının</w:t>
      </w:r>
      <w:r w:rsidR="00B30464" w:rsidRPr="000A40E6">
        <w:rPr>
          <w:rFonts w:eastAsia="Calibri" w:cs="Times New Roman"/>
          <w:szCs w:val="24"/>
        </w:rPr>
        <w:t xml:space="preserve"> bir</w:t>
      </w:r>
      <w:r w:rsidR="004B57A1" w:rsidRPr="000A40E6">
        <w:rPr>
          <w:rFonts w:eastAsia="Calibri" w:cs="Times New Roman"/>
          <w:szCs w:val="24"/>
        </w:rPr>
        <w:t xml:space="preserve"> biyo</w:t>
      </w:r>
      <w:r w:rsidR="0065352B" w:rsidRPr="000A40E6">
        <w:rPr>
          <w:rFonts w:eastAsia="Calibri" w:cs="Times New Roman"/>
          <w:szCs w:val="24"/>
        </w:rPr>
        <w:t xml:space="preserve">markerı </w:t>
      </w:r>
      <w:r w:rsidRPr="000A40E6">
        <w:rPr>
          <w:rFonts w:eastAsia="Calibri" w:cs="Times New Roman"/>
          <w:szCs w:val="24"/>
        </w:rPr>
        <w:t>olarak kullanılmıştır (</w:t>
      </w:r>
      <w:r w:rsidRPr="000A40E6">
        <w:rPr>
          <w:rFonts w:cs="Times New Roman"/>
          <w:szCs w:val="24"/>
        </w:rPr>
        <w:t>Delmas</w:t>
      </w:r>
      <w:r w:rsidRPr="000A40E6">
        <w:rPr>
          <w:rFonts w:eastAsia="Calibri" w:cs="Times New Roman"/>
          <w:szCs w:val="24"/>
        </w:rPr>
        <w:t>, 1992; F</w:t>
      </w:r>
      <w:r w:rsidR="00F24CA3" w:rsidRPr="000A40E6">
        <w:rPr>
          <w:rFonts w:eastAsia="Calibri" w:cs="Times New Roman"/>
          <w:szCs w:val="24"/>
        </w:rPr>
        <w:t>arley ve diğerleri, 1992). DOS’t</w:t>
      </w:r>
      <w:r w:rsidRPr="000A40E6">
        <w:rPr>
          <w:rFonts w:eastAsia="Calibri" w:cs="Times New Roman"/>
          <w:szCs w:val="24"/>
        </w:rPr>
        <w:t xml:space="preserve">aki </w:t>
      </w:r>
      <w:r w:rsidR="00AA55DE" w:rsidRPr="000A40E6">
        <w:rPr>
          <w:rFonts w:eastAsia="Calibri" w:cs="Times New Roman"/>
          <w:szCs w:val="24"/>
        </w:rPr>
        <w:t>B</w:t>
      </w:r>
      <w:r w:rsidRPr="000A40E6">
        <w:rPr>
          <w:rFonts w:eastAsia="Calibri" w:cs="Times New Roman"/>
          <w:szCs w:val="24"/>
        </w:rPr>
        <w:t xml:space="preserve">ALP, mineralizasyon sürecinin bir inhibitörü olan inorganik pirofosfatı hidrolize ettiği için kemik mineralizasyonunda birincil bir role sahiptir. </w:t>
      </w:r>
      <w:r w:rsidR="00AA55DE" w:rsidRPr="000A40E6">
        <w:rPr>
          <w:rFonts w:eastAsia="Calibri" w:cs="Times New Roman"/>
          <w:szCs w:val="24"/>
        </w:rPr>
        <w:t>BALP'ın</w:t>
      </w:r>
      <w:r w:rsidRPr="000A40E6">
        <w:rPr>
          <w:rFonts w:eastAsia="Calibri" w:cs="Times New Roman"/>
          <w:szCs w:val="24"/>
        </w:rPr>
        <w:t xml:space="preserve"> ortodontik diş hareketi sırasında alveolar kemik oluşumuna duyarlı olduğu gösterilmiştir. Ortodontik tedavi sırasında, </w:t>
      </w:r>
      <w:r w:rsidR="00F24CA3" w:rsidRPr="000A40E6">
        <w:rPr>
          <w:rFonts w:eastAsia="Calibri" w:cs="Times New Roman"/>
          <w:szCs w:val="24"/>
        </w:rPr>
        <w:t>DOS't</w:t>
      </w:r>
      <w:r w:rsidRPr="000A40E6">
        <w:rPr>
          <w:rFonts w:eastAsia="Calibri" w:cs="Times New Roman"/>
          <w:szCs w:val="24"/>
        </w:rPr>
        <w:t xml:space="preserve">aki ACP ve </w:t>
      </w:r>
      <w:r w:rsidR="00AA55DE" w:rsidRPr="000A40E6">
        <w:rPr>
          <w:rFonts w:eastAsia="Calibri" w:cs="Times New Roman"/>
          <w:szCs w:val="24"/>
        </w:rPr>
        <w:t>B</w:t>
      </w:r>
      <w:r w:rsidRPr="000A40E6">
        <w:rPr>
          <w:rFonts w:eastAsia="Calibri" w:cs="Times New Roman"/>
          <w:szCs w:val="24"/>
        </w:rPr>
        <w:t>ALP,</w:t>
      </w:r>
      <w:r w:rsidR="00782D45" w:rsidRPr="000A40E6">
        <w:rPr>
          <w:rFonts w:eastAsia="Calibri" w:cs="Times New Roman"/>
          <w:szCs w:val="24"/>
        </w:rPr>
        <w:t xml:space="preserve"> </w:t>
      </w:r>
      <w:proofErr w:type="gramStart"/>
      <w:r w:rsidR="00782D45" w:rsidRPr="000A40E6">
        <w:rPr>
          <w:rFonts w:eastAsia="Calibri" w:cs="Times New Roman"/>
          <w:szCs w:val="24"/>
        </w:rPr>
        <w:t>lokalize</w:t>
      </w:r>
      <w:proofErr w:type="gramEnd"/>
      <w:r w:rsidR="00782D45" w:rsidRPr="000A40E6">
        <w:rPr>
          <w:rFonts w:eastAsia="Calibri" w:cs="Times New Roman"/>
          <w:szCs w:val="24"/>
        </w:rPr>
        <w:t xml:space="preserve"> al</w:t>
      </w:r>
      <w:r w:rsidR="00B86EE0" w:rsidRPr="000A40E6">
        <w:rPr>
          <w:rFonts w:eastAsia="Calibri" w:cs="Times New Roman"/>
          <w:szCs w:val="24"/>
        </w:rPr>
        <w:t>veola</w:t>
      </w:r>
      <w:r w:rsidR="00782D45" w:rsidRPr="000A40E6">
        <w:rPr>
          <w:rFonts w:eastAsia="Calibri" w:cs="Times New Roman"/>
          <w:szCs w:val="24"/>
        </w:rPr>
        <w:t>r kemik remodelinginin göstergesi olduğu için</w:t>
      </w:r>
      <w:r w:rsidRPr="000A40E6">
        <w:rPr>
          <w:rFonts w:eastAsia="Calibri" w:cs="Times New Roman"/>
          <w:szCs w:val="24"/>
        </w:rPr>
        <w:t xml:space="preserve"> apareyin toplam ağızda kalma süresi ile ilişkilendirilmiştir (</w:t>
      </w:r>
      <w:r w:rsidRPr="000A40E6">
        <w:rPr>
          <w:rFonts w:cs="Times New Roman"/>
          <w:szCs w:val="24"/>
        </w:rPr>
        <w:t>Insoft</w:t>
      </w:r>
      <w:r w:rsidRPr="000A40E6">
        <w:rPr>
          <w:rFonts w:eastAsia="Calibri" w:cs="Times New Roman"/>
          <w:szCs w:val="24"/>
        </w:rPr>
        <w:t xml:space="preserve"> ve diğerleri, 1996; </w:t>
      </w:r>
      <w:r w:rsidRPr="000A40E6">
        <w:rPr>
          <w:rFonts w:cs="Times New Roman"/>
          <w:szCs w:val="24"/>
        </w:rPr>
        <w:t>Perinetti ve diğerleri, 2002)</w:t>
      </w:r>
      <w:r w:rsidRPr="000A40E6">
        <w:rPr>
          <w:rFonts w:eastAsia="Calibri" w:cs="Times New Roman"/>
          <w:szCs w:val="24"/>
        </w:rPr>
        <w:t>.</w:t>
      </w:r>
    </w:p>
    <w:p w14:paraId="262D8AAC" w14:textId="3D7909D4" w:rsidR="005D779D" w:rsidRPr="000A40E6" w:rsidRDefault="005D779D" w:rsidP="00F756C3">
      <w:pPr>
        <w:suppressAutoHyphens/>
        <w:spacing w:after="120"/>
        <w:rPr>
          <w:rFonts w:eastAsia="Calibri" w:cs="Times New Roman"/>
          <w:szCs w:val="24"/>
        </w:rPr>
      </w:pPr>
      <w:r w:rsidRPr="000A40E6">
        <w:rPr>
          <w:rFonts w:cs="Times New Roman"/>
          <w:szCs w:val="24"/>
        </w:rPr>
        <w:t>Shamim ve di</w:t>
      </w:r>
      <w:r w:rsidR="0030571C" w:rsidRPr="000A40E6">
        <w:rPr>
          <w:rFonts w:cs="Times New Roman"/>
          <w:szCs w:val="24"/>
        </w:rPr>
        <w:t xml:space="preserve">ğerleri </w:t>
      </w:r>
      <w:r w:rsidR="00F24CA3" w:rsidRPr="000A40E6">
        <w:rPr>
          <w:rFonts w:cs="Times New Roman"/>
          <w:szCs w:val="24"/>
        </w:rPr>
        <w:t>(2017)</w:t>
      </w:r>
      <w:r w:rsidR="0030571C" w:rsidRPr="000A40E6">
        <w:rPr>
          <w:rFonts w:cs="Times New Roman"/>
          <w:szCs w:val="24"/>
        </w:rPr>
        <w:t>’nin</w:t>
      </w:r>
      <w:r w:rsidR="00F24CA3" w:rsidRPr="000A40E6">
        <w:rPr>
          <w:rFonts w:cs="Times New Roman"/>
          <w:szCs w:val="24"/>
        </w:rPr>
        <w:t>, RME’nin DOS’t</w:t>
      </w:r>
      <w:r w:rsidRPr="000A40E6">
        <w:rPr>
          <w:rFonts w:cs="Times New Roman"/>
          <w:szCs w:val="24"/>
        </w:rPr>
        <w:t xml:space="preserve">aki </w:t>
      </w:r>
      <w:r w:rsidR="00AA55DE" w:rsidRPr="000A40E6">
        <w:rPr>
          <w:rFonts w:cs="Times New Roman"/>
          <w:szCs w:val="24"/>
        </w:rPr>
        <w:t>B</w:t>
      </w:r>
      <w:r w:rsidRPr="000A40E6">
        <w:rPr>
          <w:rFonts w:cs="Times New Roman"/>
          <w:szCs w:val="24"/>
        </w:rPr>
        <w:t xml:space="preserve">ALP düzeyine etkilerini inceledikleri çalışmada </w:t>
      </w:r>
      <w:r w:rsidR="00AA55DE" w:rsidRPr="000A40E6">
        <w:rPr>
          <w:rFonts w:cs="Times New Roman"/>
          <w:szCs w:val="24"/>
        </w:rPr>
        <w:t>B</w:t>
      </w:r>
      <w:r w:rsidRPr="000A40E6">
        <w:rPr>
          <w:rFonts w:cs="Times New Roman"/>
          <w:szCs w:val="24"/>
        </w:rPr>
        <w:t>A</w:t>
      </w:r>
      <w:r w:rsidR="008D4251" w:rsidRPr="000A40E6">
        <w:rPr>
          <w:rFonts w:cs="Times New Roman"/>
          <w:szCs w:val="24"/>
        </w:rPr>
        <w:t xml:space="preserve">LP seviyeleri, </w:t>
      </w:r>
      <w:r w:rsidRPr="000A40E6">
        <w:rPr>
          <w:rFonts w:cs="Times New Roman"/>
          <w:szCs w:val="24"/>
        </w:rPr>
        <w:t xml:space="preserve">başlangıçtan </w:t>
      </w:r>
      <w:r w:rsidR="006A1D95" w:rsidRPr="000A40E6">
        <w:rPr>
          <w:rFonts w:cs="Times New Roman"/>
          <w:szCs w:val="24"/>
        </w:rPr>
        <w:t xml:space="preserve">itibaren 1. </w:t>
      </w:r>
      <w:r w:rsidR="00FC5A0F" w:rsidRPr="000A40E6">
        <w:rPr>
          <w:rFonts w:cs="Times New Roman"/>
          <w:szCs w:val="24"/>
        </w:rPr>
        <w:t xml:space="preserve">gün, 14. </w:t>
      </w:r>
      <w:r w:rsidR="00A565A9" w:rsidRPr="000A40E6">
        <w:rPr>
          <w:rFonts w:cs="Times New Roman"/>
          <w:szCs w:val="24"/>
        </w:rPr>
        <w:t>g</w:t>
      </w:r>
      <w:r w:rsidR="00FC5A0F" w:rsidRPr="000A40E6">
        <w:rPr>
          <w:rFonts w:cs="Times New Roman"/>
          <w:szCs w:val="24"/>
        </w:rPr>
        <w:t>ün</w:t>
      </w:r>
      <w:r w:rsidR="00A565A9" w:rsidRPr="000A40E6">
        <w:rPr>
          <w:rFonts w:cs="Times New Roman"/>
          <w:szCs w:val="24"/>
        </w:rPr>
        <w:t xml:space="preserve">, 21. gün ve </w:t>
      </w:r>
      <w:r w:rsidRPr="000A40E6">
        <w:rPr>
          <w:rFonts w:cs="Times New Roman"/>
          <w:szCs w:val="24"/>
        </w:rPr>
        <w:t xml:space="preserve">aktif ekspansiyon fazı bittikten 3 ay sonra </w:t>
      </w:r>
      <w:r w:rsidR="00870BB0" w:rsidRPr="000A40E6">
        <w:rPr>
          <w:rFonts w:cs="Times New Roman"/>
          <w:szCs w:val="24"/>
        </w:rPr>
        <w:t>değerlendirilmiştir.</w:t>
      </w:r>
      <w:r w:rsidR="00CA21B6" w:rsidRPr="000A40E6">
        <w:rPr>
          <w:rFonts w:cs="Times New Roman"/>
          <w:szCs w:val="24"/>
        </w:rPr>
        <w:t xml:space="preserve"> </w:t>
      </w:r>
      <w:r w:rsidRPr="000A40E6">
        <w:rPr>
          <w:rFonts w:cs="Times New Roman"/>
          <w:szCs w:val="24"/>
        </w:rPr>
        <w:t xml:space="preserve">Deney grubunda, </w:t>
      </w:r>
      <w:r w:rsidR="00AA55DE" w:rsidRPr="000A40E6">
        <w:rPr>
          <w:rFonts w:cs="Times New Roman"/>
          <w:szCs w:val="24"/>
        </w:rPr>
        <w:t>B</w:t>
      </w:r>
      <w:r w:rsidRPr="000A40E6">
        <w:rPr>
          <w:rFonts w:cs="Times New Roman"/>
          <w:szCs w:val="24"/>
        </w:rPr>
        <w:t>ALP seviyesi ortodontik apareyin yerleştirilmesinden ve aktivasyonu</w:t>
      </w:r>
      <w:r w:rsidR="002E4B20" w:rsidRPr="000A40E6">
        <w:rPr>
          <w:rFonts w:cs="Times New Roman"/>
          <w:szCs w:val="24"/>
        </w:rPr>
        <w:t>ndan sonraki 14. günde maksimum seviyeye</w:t>
      </w:r>
      <w:r w:rsidRPr="000A40E6">
        <w:rPr>
          <w:rFonts w:cs="Times New Roman"/>
          <w:szCs w:val="24"/>
        </w:rPr>
        <w:t xml:space="preserve"> ulaşmıştır. Wei ve diğerler</w:t>
      </w:r>
      <w:r w:rsidR="00526B68" w:rsidRPr="000A40E6">
        <w:rPr>
          <w:rFonts w:cs="Times New Roman"/>
          <w:szCs w:val="24"/>
        </w:rPr>
        <w:t xml:space="preserve">i </w:t>
      </w:r>
      <w:r w:rsidR="00F24CA3" w:rsidRPr="000A40E6">
        <w:rPr>
          <w:rFonts w:cs="Times New Roman"/>
          <w:szCs w:val="24"/>
        </w:rPr>
        <w:t>(2007)</w:t>
      </w:r>
      <w:r w:rsidR="00526B68" w:rsidRPr="000A40E6">
        <w:rPr>
          <w:rFonts w:cs="Times New Roman"/>
          <w:szCs w:val="24"/>
        </w:rPr>
        <w:t>’nin</w:t>
      </w:r>
      <w:r w:rsidR="00F24CA3" w:rsidRPr="000A40E6">
        <w:rPr>
          <w:rFonts w:cs="Times New Roman"/>
          <w:szCs w:val="24"/>
        </w:rPr>
        <w:t>, RME sırasında DOS’t</w:t>
      </w:r>
      <w:r w:rsidRPr="000A40E6">
        <w:rPr>
          <w:rFonts w:cs="Times New Roman"/>
          <w:szCs w:val="24"/>
        </w:rPr>
        <w:t xml:space="preserve">aki AST ve </w:t>
      </w:r>
      <w:r w:rsidR="00AA55DE" w:rsidRPr="000A40E6">
        <w:rPr>
          <w:rFonts w:cs="Times New Roman"/>
          <w:szCs w:val="24"/>
        </w:rPr>
        <w:t>B</w:t>
      </w:r>
      <w:r w:rsidRPr="000A40E6">
        <w:rPr>
          <w:rFonts w:cs="Times New Roman"/>
          <w:szCs w:val="24"/>
        </w:rPr>
        <w:t xml:space="preserve">ALP aktivitelerindeki değişiklikleri inceleyerek periodontal doku remodelingi arasındaki ilişkiyi araştırdıkları çalışmada </w:t>
      </w:r>
      <w:r w:rsidR="00AA55DE" w:rsidRPr="000A40E6">
        <w:rPr>
          <w:rFonts w:cs="Times New Roman"/>
          <w:szCs w:val="24"/>
        </w:rPr>
        <w:t>B</w:t>
      </w:r>
      <w:r w:rsidRPr="000A40E6">
        <w:rPr>
          <w:rFonts w:cs="Times New Roman"/>
          <w:szCs w:val="24"/>
        </w:rPr>
        <w:t xml:space="preserve">ALP aktivitesi, kontrol ve deney grubunda 7 günlük aktivasyondan 28 günlük retansiyona kadar önemli ölçüde </w:t>
      </w:r>
      <w:r w:rsidR="003C7B03" w:rsidRPr="000A40E6">
        <w:rPr>
          <w:rFonts w:cs="Times New Roman"/>
          <w:szCs w:val="24"/>
        </w:rPr>
        <w:t xml:space="preserve">artmıştır. Batra ve diğerleri </w:t>
      </w:r>
      <w:r w:rsidRPr="000A40E6">
        <w:rPr>
          <w:rFonts w:cs="Times New Roman"/>
          <w:szCs w:val="24"/>
        </w:rPr>
        <w:t>(2006)</w:t>
      </w:r>
      <w:r w:rsidR="003C7B03" w:rsidRPr="000A40E6">
        <w:rPr>
          <w:rFonts w:cs="Times New Roman"/>
          <w:szCs w:val="24"/>
        </w:rPr>
        <w:t>’nin</w:t>
      </w:r>
      <w:r w:rsidRPr="000A40E6">
        <w:rPr>
          <w:rFonts w:cs="Times New Roman"/>
          <w:szCs w:val="24"/>
        </w:rPr>
        <w:t>, ka</w:t>
      </w:r>
      <w:r w:rsidR="00F24CA3" w:rsidRPr="000A40E6">
        <w:rPr>
          <w:rFonts w:cs="Times New Roman"/>
          <w:szCs w:val="24"/>
        </w:rPr>
        <w:t>nin retraksiyonu sırasında DOS’t</w:t>
      </w:r>
      <w:r w:rsidRPr="000A40E6">
        <w:rPr>
          <w:rFonts w:cs="Times New Roman"/>
          <w:szCs w:val="24"/>
        </w:rPr>
        <w:t xml:space="preserve">aki </w:t>
      </w:r>
      <w:r w:rsidR="00AA55DE" w:rsidRPr="000A40E6">
        <w:rPr>
          <w:rFonts w:cs="Times New Roman"/>
          <w:szCs w:val="24"/>
        </w:rPr>
        <w:t>B</w:t>
      </w:r>
      <w:r w:rsidRPr="000A40E6">
        <w:rPr>
          <w:rFonts w:cs="Times New Roman"/>
          <w:szCs w:val="24"/>
        </w:rPr>
        <w:t xml:space="preserve">ALP aktivitesini inceledikleri çalışmada, deney grubunda 21. günde </w:t>
      </w:r>
      <w:r w:rsidR="00AA55DE" w:rsidRPr="000A40E6">
        <w:rPr>
          <w:rFonts w:cs="Times New Roman"/>
          <w:szCs w:val="24"/>
        </w:rPr>
        <w:t>B</w:t>
      </w:r>
      <w:r w:rsidRPr="000A40E6">
        <w:rPr>
          <w:rFonts w:cs="Times New Roman"/>
          <w:szCs w:val="24"/>
        </w:rPr>
        <w:t>ALP seviyesinde düşüş tespit etmişlerdir. Keeling ve diğerleri (1993</w:t>
      </w:r>
      <w:r w:rsidR="003C0BE2" w:rsidRPr="000A40E6">
        <w:rPr>
          <w:rFonts w:cs="Times New Roman"/>
          <w:szCs w:val="24"/>
        </w:rPr>
        <w:t>),</w:t>
      </w:r>
      <w:r w:rsidR="003C68C5" w:rsidRPr="000A40E6">
        <w:rPr>
          <w:rFonts w:cs="Times New Roman"/>
          <w:szCs w:val="24"/>
        </w:rPr>
        <w:t xml:space="preserve"> </w:t>
      </w:r>
      <w:r w:rsidR="003C0BE2" w:rsidRPr="000A40E6">
        <w:rPr>
          <w:rFonts w:cs="Times New Roman"/>
          <w:szCs w:val="24"/>
        </w:rPr>
        <w:t>ortodontik</w:t>
      </w:r>
      <w:r w:rsidR="003728C8" w:rsidRPr="000A40E6">
        <w:rPr>
          <w:rFonts w:cs="Times New Roman"/>
          <w:szCs w:val="24"/>
        </w:rPr>
        <w:t xml:space="preserve"> diş hareketi döngüsü sırasında </w:t>
      </w:r>
      <w:r w:rsidR="00AA55DE" w:rsidRPr="000A40E6">
        <w:rPr>
          <w:rFonts w:cs="Times New Roman"/>
          <w:szCs w:val="24"/>
        </w:rPr>
        <w:t>B</w:t>
      </w:r>
      <w:r w:rsidR="003C68C5" w:rsidRPr="000A40E6">
        <w:rPr>
          <w:rFonts w:cs="Times New Roman"/>
          <w:szCs w:val="24"/>
        </w:rPr>
        <w:t>ALP değişikliklerini inceledikleri çalışmada,</w:t>
      </w:r>
      <w:r w:rsidRPr="000A40E6">
        <w:rPr>
          <w:rFonts w:cs="Times New Roman"/>
          <w:szCs w:val="24"/>
        </w:rPr>
        <w:t xml:space="preserve"> </w:t>
      </w:r>
      <w:r w:rsidR="00AA55DE" w:rsidRPr="000A40E6">
        <w:rPr>
          <w:rFonts w:cs="Times New Roman"/>
          <w:szCs w:val="24"/>
        </w:rPr>
        <w:t>BALP’ı</w:t>
      </w:r>
      <w:r w:rsidRPr="000A40E6">
        <w:rPr>
          <w:rFonts w:cs="Times New Roman"/>
          <w:szCs w:val="24"/>
        </w:rPr>
        <w:t>n ortodontik diş hareketi sıra</w:t>
      </w:r>
      <w:r w:rsidR="00E22B39" w:rsidRPr="000A40E6">
        <w:rPr>
          <w:rFonts w:cs="Times New Roman"/>
          <w:szCs w:val="24"/>
        </w:rPr>
        <w:t xml:space="preserve">sında kemiğin remodelinginin </w:t>
      </w:r>
      <w:r w:rsidRPr="000A40E6">
        <w:rPr>
          <w:rFonts w:cs="Times New Roman"/>
          <w:szCs w:val="24"/>
        </w:rPr>
        <w:t xml:space="preserve">bir göstergesi olduğunu </w:t>
      </w:r>
      <w:r w:rsidR="00A71CFF" w:rsidRPr="000A40E6">
        <w:rPr>
          <w:rFonts w:cs="Times New Roman"/>
          <w:szCs w:val="24"/>
        </w:rPr>
        <w:t>belirtmişlerdir.</w:t>
      </w:r>
    </w:p>
    <w:p w14:paraId="3C2DB7D6" w14:textId="3D8C725B" w:rsidR="005D779D" w:rsidRPr="000A40E6" w:rsidRDefault="005D779D" w:rsidP="00F756C3">
      <w:pPr>
        <w:suppressAutoHyphens/>
        <w:spacing w:after="120"/>
        <w:rPr>
          <w:rFonts w:eastAsia="Calibri" w:cs="Times New Roman"/>
          <w:szCs w:val="24"/>
        </w:rPr>
      </w:pPr>
      <w:r w:rsidRPr="000A40E6">
        <w:rPr>
          <w:rFonts w:eastAsia="Calibri" w:cs="Times New Roman"/>
          <w:szCs w:val="24"/>
        </w:rPr>
        <w:t>Perinetti ve diğerleri (2015), prepubertal dönemde RME tedavisi gören hastaların 1. molar dişlerini</w:t>
      </w:r>
      <w:r w:rsidR="00C71D8D" w:rsidRPr="000A40E6">
        <w:rPr>
          <w:rFonts w:eastAsia="Calibri" w:cs="Times New Roman"/>
          <w:szCs w:val="24"/>
        </w:rPr>
        <w:t>n gerilim bölgelerindeki alveola</w:t>
      </w:r>
      <w:r w:rsidRPr="000A40E6">
        <w:rPr>
          <w:rFonts w:eastAsia="Calibri" w:cs="Times New Roman"/>
          <w:szCs w:val="24"/>
        </w:rPr>
        <w:t xml:space="preserve">r kemik oluşumunu </w:t>
      </w:r>
      <w:r w:rsidR="007D2389" w:rsidRPr="000A40E6">
        <w:rPr>
          <w:rFonts w:eastAsia="Calibri" w:cs="Times New Roman"/>
          <w:szCs w:val="24"/>
        </w:rPr>
        <w:t xml:space="preserve">değerlendirmek </w:t>
      </w:r>
      <w:r w:rsidRPr="000A40E6">
        <w:rPr>
          <w:rFonts w:eastAsia="Calibri" w:cs="Times New Roman"/>
          <w:szCs w:val="24"/>
        </w:rPr>
        <w:t xml:space="preserve">için split-mouth </w:t>
      </w:r>
      <w:r w:rsidR="00A644C1" w:rsidRPr="000A40E6">
        <w:rPr>
          <w:rFonts w:eastAsia="Calibri" w:cs="Times New Roman"/>
          <w:szCs w:val="24"/>
        </w:rPr>
        <w:t>bir çalışma yapmışlardır</w:t>
      </w:r>
      <w:r w:rsidR="000274F0" w:rsidRPr="000A40E6">
        <w:rPr>
          <w:rFonts w:eastAsia="Calibri" w:cs="Times New Roman"/>
          <w:szCs w:val="24"/>
        </w:rPr>
        <w:t>. Araştırmacılar</w:t>
      </w:r>
      <w:r w:rsidRPr="000A40E6">
        <w:rPr>
          <w:rFonts w:eastAsia="Calibri" w:cs="Times New Roman"/>
          <w:szCs w:val="24"/>
        </w:rPr>
        <w:t xml:space="preserve"> RME'nin retansiyon fazı sırasında, hem 3. hem de 6. ayda gerilim bölgele</w:t>
      </w:r>
      <w:r w:rsidR="00F24CA3" w:rsidRPr="000A40E6">
        <w:rPr>
          <w:rFonts w:eastAsia="Calibri" w:cs="Times New Roman"/>
          <w:szCs w:val="24"/>
        </w:rPr>
        <w:t>rindeki DOS’t</w:t>
      </w:r>
      <w:r w:rsidR="00FD2873" w:rsidRPr="000A40E6">
        <w:rPr>
          <w:rFonts w:eastAsia="Calibri" w:cs="Times New Roman"/>
          <w:szCs w:val="24"/>
        </w:rPr>
        <w:t>a</w:t>
      </w:r>
      <w:r w:rsidRPr="000A40E6">
        <w:rPr>
          <w:rFonts w:eastAsia="Calibri" w:cs="Times New Roman"/>
          <w:szCs w:val="24"/>
        </w:rPr>
        <w:t xml:space="preserve"> </w:t>
      </w:r>
      <w:r w:rsidR="00AA55DE" w:rsidRPr="000A40E6">
        <w:rPr>
          <w:rFonts w:eastAsia="Calibri" w:cs="Times New Roman"/>
          <w:szCs w:val="24"/>
        </w:rPr>
        <w:t>B</w:t>
      </w:r>
      <w:r w:rsidRPr="000A40E6">
        <w:rPr>
          <w:rFonts w:eastAsia="Calibri" w:cs="Times New Roman"/>
          <w:szCs w:val="24"/>
        </w:rPr>
        <w:t>ALP aktivitesinde bir artış olduğu</w:t>
      </w:r>
      <w:r w:rsidR="004D54D5" w:rsidRPr="000A40E6">
        <w:rPr>
          <w:rFonts w:eastAsia="Calibri" w:cs="Times New Roman"/>
          <w:szCs w:val="24"/>
        </w:rPr>
        <w:t xml:space="preserve">nu belirtmişlerdir </w:t>
      </w:r>
      <w:r w:rsidRPr="000A40E6">
        <w:rPr>
          <w:rFonts w:eastAsia="Calibri" w:cs="Times New Roman"/>
          <w:szCs w:val="24"/>
        </w:rPr>
        <w:t>(Perinetti ve diğerleri, 2015). Hayvanlar üzer</w:t>
      </w:r>
      <w:r w:rsidR="006E02E6" w:rsidRPr="000A40E6">
        <w:rPr>
          <w:rFonts w:eastAsia="Calibri" w:cs="Times New Roman"/>
          <w:szCs w:val="24"/>
        </w:rPr>
        <w:t>inde yapılan çalışmalar, kemik</w:t>
      </w:r>
      <w:r w:rsidR="000274F0" w:rsidRPr="000A40E6">
        <w:rPr>
          <w:rFonts w:eastAsia="Calibri" w:cs="Times New Roman"/>
          <w:szCs w:val="24"/>
        </w:rPr>
        <w:t xml:space="preserve"> remodeling döngüsünün</w:t>
      </w:r>
      <w:r w:rsidRPr="000A40E6">
        <w:rPr>
          <w:rFonts w:eastAsia="Calibri" w:cs="Times New Roman"/>
          <w:szCs w:val="24"/>
        </w:rPr>
        <w:t xml:space="preserve"> 3 ile 5 gün gerektiren erken bir rezorpsiyon dalgasıyla başladığını, ardından bunun tersine dönmesi (5-7 gün) ve 7 ile 14 gün süren geç bir kemik oluşumu dalgası ile devam ettiğini göstermiştir (King ve diğerleri, 1991). Bu süreç, hem gerilim hem de basınç bölgelerinde meydana gelir (King ve diğerleri, 1991). Ayrıca, insan kemiği için de benzer bir süreç tarif edilmiştir (</w:t>
      </w:r>
      <w:r w:rsidR="007C032B" w:rsidRPr="000A40E6">
        <w:rPr>
          <w:rFonts w:eastAsia="Calibri" w:cs="Times New Roman"/>
          <w:szCs w:val="24"/>
        </w:rPr>
        <w:t>Christenson, 1997; Rodan, 1992). K</w:t>
      </w:r>
      <w:r w:rsidRPr="000A40E6">
        <w:rPr>
          <w:rFonts w:eastAsia="Calibri" w:cs="Times New Roman"/>
          <w:szCs w:val="24"/>
        </w:rPr>
        <w:t xml:space="preserve">emik oluşumunun ilk rezorpsiyondan 10 gün (Christenson, 1997) veya 3 hafta (Frost, 1991) sonra başladığı </w:t>
      </w:r>
      <w:r w:rsidR="00B31170" w:rsidRPr="000A40E6">
        <w:rPr>
          <w:rFonts w:eastAsia="Calibri" w:cs="Times New Roman"/>
          <w:szCs w:val="24"/>
        </w:rPr>
        <w:t>bildirilmiştir.</w:t>
      </w:r>
    </w:p>
    <w:p w14:paraId="40F24DEE" w14:textId="2209ED15" w:rsidR="005D779D" w:rsidRPr="000A40E6" w:rsidRDefault="003C7B03" w:rsidP="00F756C3">
      <w:pPr>
        <w:suppressAutoHyphens/>
        <w:spacing w:after="120"/>
        <w:rPr>
          <w:rFonts w:eastAsia="Calibri" w:cs="Times New Roman"/>
          <w:kern w:val="2"/>
          <w:szCs w:val="24"/>
          <w14:ligatures w14:val="standardContextual"/>
        </w:rPr>
      </w:pPr>
      <w:r w:rsidRPr="000A40E6">
        <w:rPr>
          <w:rFonts w:eastAsia="Calibri" w:cs="Times New Roman"/>
          <w:szCs w:val="24"/>
        </w:rPr>
        <w:t>Perinetti ve diğerleri</w:t>
      </w:r>
      <w:r w:rsidR="005D779D" w:rsidRPr="000A40E6">
        <w:rPr>
          <w:rFonts w:eastAsia="Calibri" w:cs="Times New Roman"/>
          <w:szCs w:val="24"/>
        </w:rPr>
        <w:t xml:space="preserve"> (2015)</w:t>
      </w:r>
      <w:r w:rsidRPr="000A40E6">
        <w:rPr>
          <w:rFonts w:eastAsia="Calibri" w:cs="Times New Roman"/>
          <w:szCs w:val="24"/>
        </w:rPr>
        <w:t>’nin</w:t>
      </w:r>
      <w:r w:rsidR="005D779D" w:rsidRPr="000A40E6">
        <w:rPr>
          <w:rFonts w:eastAsia="Calibri" w:cs="Times New Roman"/>
          <w:szCs w:val="24"/>
        </w:rPr>
        <w:t xml:space="preserve"> yaptığı çalışma</w:t>
      </w:r>
      <w:r w:rsidR="007C2D46" w:rsidRPr="000A40E6">
        <w:rPr>
          <w:rFonts w:eastAsia="Calibri" w:cs="Times New Roman"/>
          <w:szCs w:val="24"/>
        </w:rPr>
        <w:t xml:space="preserve">dan elde edilen </w:t>
      </w:r>
      <w:r w:rsidR="005D779D" w:rsidRPr="000A40E6">
        <w:rPr>
          <w:rFonts w:eastAsia="Calibri" w:cs="Times New Roman"/>
          <w:szCs w:val="24"/>
        </w:rPr>
        <w:t>k</w:t>
      </w:r>
      <w:r w:rsidR="007C2D46" w:rsidRPr="000A40E6">
        <w:rPr>
          <w:rFonts w:eastAsia="Calibri" w:cs="Times New Roman"/>
          <w:szCs w:val="24"/>
        </w:rPr>
        <w:t>linik çıkarımlar</w:t>
      </w:r>
      <w:r w:rsidR="00CB1A49" w:rsidRPr="000A40E6">
        <w:rPr>
          <w:rFonts w:eastAsia="Calibri" w:cs="Times New Roman"/>
          <w:szCs w:val="24"/>
        </w:rPr>
        <w:t>, destek</w:t>
      </w:r>
      <w:r w:rsidR="005D779D" w:rsidRPr="000A40E6">
        <w:rPr>
          <w:rFonts w:eastAsia="Calibri" w:cs="Times New Roman"/>
          <w:szCs w:val="24"/>
        </w:rPr>
        <w:t xml:space="preserve"> dişlerin gerilim bölgelerindeki alveolar kemik oluşumunun RME'den 6 ay sonra hala aktif olduğunu göstermektedir. Bu bulguların ışığında, </w:t>
      </w:r>
      <w:r w:rsidR="00692B43" w:rsidRPr="000A40E6">
        <w:rPr>
          <w:rFonts w:eastAsia="Calibri" w:cs="Times New Roman"/>
          <w:szCs w:val="24"/>
        </w:rPr>
        <w:t xml:space="preserve">en az </w:t>
      </w:r>
      <w:r w:rsidR="005D779D" w:rsidRPr="000A40E6">
        <w:rPr>
          <w:rFonts w:eastAsia="Calibri" w:cs="Times New Roman"/>
          <w:szCs w:val="24"/>
        </w:rPr>
        <w:t xml:space="preserve">6 </w:t>
      </w:r>
      <w:r w:rsidR="00692B43" w:rsidRPr="000A40E6">
        <w:rPr>
          <w:rFonts w:eastAsia="Calibri" w:cs="Times New Roman"/>
          <w:szCs w:val="24"/>
        </w:rPr>
        <w:t xml:space="preserve">aylık </w:t>
      </w:r>
      <w:r w:rsidR="005D779D" w:rsidRPr="000A40E6">
        <w:rPr>
          <w:rFonts w:eastAsia="Calibri" w:cs="Times New Roman"/>
          <w:szCs w:val="24"/>
        </w:rPr>
        <w:t>bir retansiyon periyodu, bu bölgelerin düzgün bir şekilde mineralizasyonuna izin vermek ve nükset</w:t>
      </w:r>
      <w:r w:rsidR="00B97B4D" w:rsidRPr="000A40E6">
        <w:rPr>
          <w:rFonts w:eastAsia="Calibri" w:cs="Times New Roman"/>
          <w:szCs w:val="24"/>
        </w:rPr>
        <w:t>meyi önlemek için tavsiye edilmektedir</w:t>
      </w:r>
      <w:r w:rsidR="005D779D" w:rsidRPr="000A40E6">
        <w:rPr>
          <w:rFonts w:eastAsia="Calibri" w:cs="Times New Roman"/>
          <w:szCs w:val="24"/>
        </w:rPr>
        <w:t>.</w:t>
      </w:r>
      <w:r w:rsidR="005C229E" w:rsidRPr="000A40E6">
        <w:rPr>
          <w:rFonts w:eastAsia="Calibri" w:cs="Times New Roman"/>
          <w:kern w:val="2"/>
          <w:szCs w:val="24"/>
          <w14:ligatures w14:val="standardContextual"/>
        </w:rPr>
        <w:t xml:space="preserve"> </w:t>
      </w:r>
      <w:r w:rsidR="00F24CA3" w:rsidRPr="000A40E6">
        <w:rPr>
          <w:rFonts w:eastAsia="Calibri" w:cs="Times New Roman"/>
          <w:kern w:val="2"/>
          <w:szCs w:val="24"/>
          <w14:ligatures w14:val="standardContextual"/>
        </w:rPr>
        <w:t>Bizim çalışmamızda ise DOS’t</w:t>
      </w:r>
      <w:r w:rsidR="005D779D" w:rsidRPr="000A40E6">
        <w:rPr>
          <w:rFonts w:eastAsia="Calibri" w:cs="Times New Roman"/>
          <w:kern w:val="2"/>
          <w:szCs w:val="24"/>
          <w14:ligatures w14:val="standardContextual"/>
        </w:rPr>
        <w:t xml:space="preserve">aki </w:t>
      </w:r>
      <w:r w:rsidR="00AA55DE" w:rsidRPr="000A40E6">
        <w:rPr>
          <w:rFonts w:eastAsia="Calibri" w:cs="Times New Roman"/>
          <w:kern w:val="2"/>
          <w:szCs w:val="24"/>
          <w14:ligatures w14:val="standardContextual"/>
        </w:rPr>
        <w:t>B</w:t>
      </w:r>
      <w:r w:rsidR="005D779D" w:rsidRPr="000A40E6">
        <w:rPr>
          <w:rFonts w:eastAsia="Calibri" w:cs="Times New Roman"/>
          <w:kern w:val="2"/>
          <w:szCs w:val="24"/>
          <w14:ligatures w14:val="standardContextual"/>
        </w:rPr>
        <w:t>ALP seviyesi</w:t>
      </w:r>
      <w:r w:rsidR="001B7788" w:rsidRPr="000A40E6">
        <w:rPr>
          <w:rFonts w:eastAsia="Calibri" w:cs="Times New Roman"/>
          <w:kern w:val="2"/>
          <w:szCs w:val="24"/>
          <w14:ligatures w14:val="standardContextual"/>
        </w:rPr>
        <w:t>nin</w:t>
      </w:r>
      <w:r w:rsidR="005D779D" w:rsidRPr="000A40E6">
        <w:rPr>
          <w:rFonts w:eastAsia="Calibri" w:cs="Times New Roman"/>
          <w:kern w:val="2"/>
          <w:szCs w:val="24"/>
          <w14:ligatures w14:val="standardContextual"/>
        </w:rPr>
        <w:t xml:space="preserve">, gerilim </w:t>
      </w:r>
      <w:r w:rsidR="00A9526A" w:rsidRPr="000A40E6">
        <w:rPr>
          <w:rFonts w:eastAsia="Calibri" w:cs="Times New Roman"/>
          <w:kern w:val="2"/>
          <w:szCs w:val="24"/>
          <w14:ligatures w14:val="standardContextual"/>
        </w:rPr>
        <w:t>ve basınç bölgeleri için zaman</w:t>
      </w:r>
      <w:r w:rsidR="00C5018D" w:rsidRPr="000A40E6">
        <w:rPr>
          <w:rFonts w:eastAsia="Calibri" w:cs="Times New Roman"/>
          <w:kern w:val="2"/>
          <w:szCs w:val="24"/>
          <w14:ligatures w14:val="standardContextual"/>
        </w:rPr>
        <w:t xml:space="preserve"> içinde </w:t>
      </w:r>
      <w:r w:rsidR="009D2632" w:rsidRPr="000A40E6">
        <w:rPr>
          <w:rFonts w:eastAsia="Calibri" w:cs="Times New Roman"/>
          <w:kern w:val="2"/>
          <w:szCs w:val="24"/>
          <w14:ligatures w14:val="standardContextual"/>
        </w:rPr>
        <w:t xml:space="preserve">değişmediği </w:t>
      </w:r>
      <w:r w:rsidR="005D779D" w:rsidRPr="000A40E6">
        <w:rPr>
          <w:rFonts w:eastAsia="Calibri" w:cs="Times New Roman"/>
          <w:kern w:val="2"/>
          <w:szCs w:val="24"/>
          <w14:ligatures w14:val="standardContextual"/>
        </w:rPr>
        <w:t xml:space="preserve">ve her bir zaman noktası için bölgeler arasında </w:t>
      </w:r>
      <w:r w:rsidR="00BD0853" w:rsidRPr="000A40E6">
        <w:rPr>
          <w:rFonts w:eastAsia="Calibri" w:cs="Times New Roman"/>
          <w:kern w:val="2"/>
          <w:szCs w:val="24"/>
          <w14:ligatures w14:val="standardContextual"/>
        </w:rPr>
        <w:t xml:space="preserve">istatistiksel olarak </w:t>
      </w:r>
      <w:r w:rsidR="005D779D" w:rsidRPr="000A40E6">
        <w:rPr>
          <w:rFonts w:eastAsia="Calibri" w:cs="Times New Roman"/>
          <w:kern w:val="2"/>
          <w:szCs w:val="24"/>
          <w14:ligatures w14:val="standardContextual"/>
        </w:rPr>
        <w:t>anlamlı düzeyde bir far</w:t>
      </w:r>
      <w:r w:rsidR="00C5018D" w:rsidRPr="000A40E6">
        <w:rPr>
          <w:rFonts w:eastAsia="Calibri" w:cs="Times New Roman"/>
          <w:kern w:val="2"/>
          <w:szCs w:val="24"/>
          <w14:ligatures w14:val="standardContextual"/>
        </w:rPr>
        <w:t>k olmadığı görülmüştür</w:t>
      </w:r>
      <w:r w:rsidR="002D7FB5" w:rsidRPr="000A40E6">
        <w:rPr>
          <w:rFonts w:eastAsia="Calibri" w:cs="Times New Roman"/>
          <w:kern w:val="2"/>
          <w:szCs w:val="24"/>
          <w14:ligatures w14:val="standardContextual"/>
        </w:rPr>
        <w:t>. Ancak, palatinal bölgede</w:t>
      </w:r>
      <w:r w:rsidR="005D779D" w:rsidRPr="000A40E6">
        <w:rPr>
          <w:rFonts w:eastAsia="Calibri" w:cs="Times New Roman"/>
          <w:kern w:val="2"/>
          <w:szCs w:val="24"/>
          <w14:ligatures w14:val="standardContextual"/>
        </w:rPr>
        <w:t xml:space="preserve"> T1’e göre T2 ve T3 zamanları arasında </w:t>
      </w:r>
      <w:r w:rsidR="00C5018D" w:rsidRPr="000A40E6">
        <w:rPr>
          <w:rFonts w:eastAsia="Calibri" w:cs="Times New Roman"/>
          <w:kern w:val="2"/>
          <w:szCs w:val="24"/>
          <w14:ligatures w14:val="standardContextual"/>
        </w:rPr>
        <w:t xml:space="preserve">istatistiksel olarak </w:t>
      </w:r>
      <w:r w:rsidR="005D779D" w:rsidRPr="000A40E6">
        <w:rPr>
          <w:rFonts w:eastAsia="Calibri" w:cs="Times New Roman"/>
          <w:kern w:val="2"/>
          <w:szCs w:val="24"/>
          <w14:ligatures w14:val="standardContextual"/>
        </w:rPr>
        <w:t xml:space="preserve">anlamlı olmasa da bir artış olduğu söylenebilir. </w:t>
      </w:r>
      <w:r w:rsidR="00E41A77" w:rsidRPr="000A40E6">
        <w:rPr>
          <w:rFonts w:eastAsia="Calibri" w:cs="Times New Roman"/>
          <w:kern w:val="2"/>
          <w:szCs w:val="24"/>
          <w14:ligatures w14:val="standardContextual"/>
        </w:rPr>
        <w:t>İstatistiksel olarak a</w:t>
      </w:r>
      <w:r w:rsidR="005D779D" w:rsidRPr="000A40E6">
        <w:rPr>
          <w:rFonts w:eastAsia="Calibri" w:cs="Times New Roman"/>
          <w:kern w:val="2"/>
          <w:szCs w:val="24"/>
          <w14:ligatures w14:val="standardContextual"/>
        </w:rPr>
        <w:t>nlamlı bir artışın görülmemesinin nedeni küçük örneklem büyüklüğü olarak düşünülebilir.</w:t>
      </w:r>
    </w:p>
    <w:p w14:paraId="2AA47E5A" w14:textId="2302838B" w:rsidR="005D779D" w:rsidRPr="000A40E6" w:rsidRDefault="005D779D"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RANKL, birçok hormonun ve sitokinin osteorezorptif etkilerini üretmesine aracılık e</w:t>
      </w:r>
      <w:r w:rsidR="00A23CDC" w:rsidRPr="000A40E6">
        <w:rPr>
          <w:rFonts w:eastAsia="Calibri" w:cs="Times New Roman"/>
          <w:kern w:val="2"/>
          <w:szCs w:val="24"/>
          <w14:ligatures w14:val="standardContextual"/>
        </w:rPr>
        <w:t xml:space="preserve">tmektedir. </w:t>
      </w:r>
      <w:r w:rsidR="00C447F2" w:rsidRPr="000A40E6">
        <w:rPr>
          <w:rFonts w:eastAsia="Calibri" w:cs="Times New Roman"/>
          <w:kern w:val="2"/>
          <w:szCs w:val="24"/>
          <w14:ligatures w14:val="standardContextual"/>
        </w:rPr>
        <w:t>Aynı zamanda</w:t>
      </w:r>
      <w:r w:rsidR="009734E0" w:rsidRPr="000A40E6">
        <w:rPr>
          <w:rFonts w:eastAsia="Calibri" w:cs="Times New Roman"/>
          <w:kern w:val="2"/>
          <w:szCs w:val="24"/>
          <w14:ligatures w14:val="standardContextual"/>
        </w:rPr>
        <w:t xml:space="preserve"> </w:t>
      </w:r>
      <w:r w:rsidRPr="000A40E6">
        <w:rPr>
          <w:rFonts w:eastAsia="Calibri" w:cs="Times New Roman"/>
          <w:kern w:val="2"/>
          <w:szCs w:val="24"/>
          <w14:ligatures w14:val="standardContextual"/>
        </w:rPr>
        <w:t>osteoklast oluşumu ve aktivasyonunun</w:t>
      </w:r>
      <w:r w:rsidR="00A23CDC" w:rsidRPr="000A40E6">
        <w:rPr>
          <w:rFonts w:eastAsia="Calibri" w:cs="Times New Roman"/>
          <w:kern w:val="2"/>
          <w:szCs w:val="24"/>
          <w14:ligatures w14:val="standardContextual"/>
        </w:rPr>
        <w:t xml:space="preserve"> düzenlenmesinde de görev almaktadır </w:t>
      </w:r>
      <w:r w:rsidRPr="000A40E6">
        <w:rPr>
          <w:rFonts w:eastAsia="Calibri" w:cs="Times New Roman"/>
          <w:kern w:val="2"/>
          <w:szCs w:val="24"/>
          <w14:ligatures w14:val="standardContextual"/>
        </w:rPr>
        <w:t>(</w:t>
      </w:r>
      <w:r w:rsidRPr="000A40E6">
        <w:rPr>
          <w:rFonts w:cs="Times New Roman"/>
          <w:szCs w:val="24"/>
        </w:rPr>
        <w:t>Yamaguchi</w:t>
      </w:r>
      <w:r w:rsidRPr="000A40E6">
        <w:rPr>
          <w:rFonts w:eastAsia="Calibri" w:cs="Times New Roman"/>
          <w:kern w:val="2"/>
          <w:szCs w:val="24"/>
          <w14:ligatures w14:val="standardContextual"/>
        </w:rPr>
        <w:t xml:space="preserve"> ve diğerleri, 2006). RANKL ve onun iki reseptörü olan RANK ve OPG'nin, osteoklastogenezi düzenleyici önemli moleküller olmaları nedeniyle remodeling sürecinde rol oynadıkları gösterilmiştir (</w:t>
      </w:r>
      <w:r w:rsidRPr="000A40E6">
        <w:rPr>
          <w:rFonts w:cs="Times New Roman"/>
          <w:szCs w:val="24"/>
        </w:rPr>
        <w:t>Suda ve diğerleri, 1999)</w:t>
      </w:r>
      <w:r w:rsidRPr="000A40E6">
        <w:rPr>
          <w:rFonts w:eastAsia="Calibri" w:cs="Times New Roman"/>
          <w:kern w:val="2"/>
          <w:szCs w:val="24"/>
          <w14:ligatures w14:val="standardContextual"/>
        </w:rPr>
        <w:t>. OPG ise, osteoblastik hücreler tarafından üretilip salınan bir TNF reseptörü üyesidir ve RANKL’a bağlanmak için RANK ile rekabet eder. OPG'nin kemik hücreleri üzerindeki biyolojik etkileri arasında osteoklast farklılaşmasının son aşamalarının inhibisyonu, matris osteoklast baskılanmasının aktivasyonu ve osteoklast apoptozunun hızlandırılması yer alır (</w:t>
      </w:r>
      <w:r w:rsidR="00CA55B5" w:rsidRPr="000A40E6">
        <w:rPr>
          <w:rFonts w:cs="Times New Roman"/>
          <w:szCs w:val="24"/>
        </w:rPr>
        <w:t xml:space="preserve">Kanzaki ve diğerleri, 2001; </w:t>
      </w:r>
      <w:r w:rsidRPr="000A40E6">
        <w:rPr>
          <w:rFonts w:cs="Times New Roman"/>
          <w:szCs w:val="24"/>
        </w:rPr>
        <w:t>Yamaguchi</w:t>
      </w:r>
      <w:r w:rsidR="00CA55B5" w:rsidRPr="000A40E6">
        <w:rPr>
          <w:rFonts w:eastAsia="Calibri" w:cs="Times New Roman"/>
          <w:kern w:val="2"/>
          <w:szCs w:val="24"/>
          <w14:ligatures w14:val="standardContextual"/>
        </w:rPr>
        <w:t xml:space="preserve"> ve diğerleri; 2006</w:t>
      </w:r>
      <w:r w:rsidRPr="000A40E6">
        <w:rPr>
          <w:rFonts w:eastAsia="Calibri" w:cs="Times New Roman"/>
          <w:kern w:val="2"/>
          <w:szCs w:val="24"/>
          <w14:ligatures w14:val="standardContextual"/>
        </w:rPr>
        <w:t xml:space="preserve">). Hem RANKL hem de OPG, sırasıyla osteoklastogenezin pozitif ve negatif düzenleyicileri olarak görev yapar ve kemiğin remodelingini </w:t>
      </w:r>
      <w:r w:rsidR="007674F0" w:rsidRPr="000A40E6">
        <w:rPr>
          <w:rFonts w:eastAsia="Calibri" w:cs="Times New Roman"/>
          <w:kern w:val="2"/>
          <w:szCs w:val="24"/>
          <w14:ligatures w14:val="standardContextual"/>
        </w:rPr>
        <w:t>düzenler</w:t>
      </w:r>
      <w:r w:rsidRPr="000A40E6">
        <w:rPr>
          <w:rFonts w:eastAsia="Calibri" w:cs="Times New Roman"/>
          <w:kern w:val="2"/>
          <w:szCs w:val="24"/>
          <w14:ligatures w14:val="standardContextual"/>
        </w:rPr>
        <w:t xml:space="preserve"> (</w:t>
      </w:r>
      <w:r w:rsidRPr="000A40E6">
        <w:rPr>
          <w:rFonts w:cs="Times New Roman"/>
          <w:szCs w:val="24"/>
        </w:rPr>
        <w:t>Ogasawara</w:t>
      </w:r>
      <w:r w:rsidRPr="000A40E6">
        <w:rPr>
          <w:rFonts w:eastAsia="Calibri" w:cs="Times New Roman"/>
          <w:kern w:val="2"/>
          <w:szCs w:val="24"/>
          <w14:ligatures w14:val="standardContextual"/>
        </w:rPr>
        <w:t xml:space="preserve"> ve diğerleri,</w:t>
      </w:r>
      <w:r w:rsidRPr="000A40E6">
        <w:rPr>
          <w:rFonts w:cs="Times New Roman"/>
          <w:szCs w:val="24"/>
        </w:rPr>
        <w:t xml:space="preserve"> 2004)</w:t>
      </w:r>
      <w:r w:rsidRPr="000A40E6">
        <w:rPr>
          <w:rFonts w:eastAsia="Calibri" w:cs="Times New Roman"/>
          <w:kern w:val="2"/>
          <w:szCs w:val="24"/>
          <w14:ligatures w14:val="standardContextual"/>
        </w:rPr>
        <w:t xml:space="preserve">. Ortodontik diş hareketi sırasında RANKL/OPG oranının anlamlı olarak daha yüksek </w:t>
      </w:r>
      <w:r w:rsidR="00652E67" w:rsidRPr="000A40E6">
        <w:rPr>
          <w:rFonts w:eastAsia="Calibri" w:cs="Times New Roman"/>
          <w:kern w:val="2"/>
          <w:szCs w:val="24"/>
          <w14:ligatures w14:val="standardContextual"/>
        </w:rPr>
        <w:t xml:space="preserve">düzeyde </w:t>
      </w:r>
      <w:r w:rsidRPr="000A40E6">
        <w:rPr>
          <w:rFonts w:eastAsia="Calibri" w:cs="Times New Roman"/>
          <w:kern w:val="2"/>
          <w:szCs w:val="24"/>
          <w14:ligatures w14:val="standardContextual"/>
        </w:rPr>
        <w:t>olduğu saptanmıştır (</w:t>
      </w:r>
      <w:r w:rsidRPr="000A40E6">
        <w:rPr>
          <w:rFonts w:cs="Times New Roman"/>
          <w:szCs w:val="24"/>
        </w:rPr>
        <w:t>Yamaguchi</w:t>
      </w:r>
      <w:r w:rsidRPr="000A40E6">
        <w:rPr>
          <w:rFonts w:eastAsia="Calibri" w:cs="Times New Roman"/>
          <w:kern w:val="2"/>
          <w:szCs w:val="24"/>
          <w14:ligatures w14:val="standardContextual"/>
        </w:rPr>
        <w:t xml:space="preserve"> ve diğerleri, 2006). Bu nedenle, periodontal ligamentte RANKL ve OPG salınımının düzenlenmesi, ortodontik diş hareketi sırasında kemiğin remodelinginde kritik roller oynayabilir (</w:t>
      </w:r>
      <w:r w:rsidRPr="000A40E6">
        <w:rPr>
          <w:rFonts w:cs="Times New Roman"/>
          <w:szCs w:val="24"/>
        </w:rPr>
        <w:t>Yamaguchi</w:t>
      </w:r>
      <w:r w:rsidRPr="000A40E6">
        <w:rPr>
          <w:rFonts w:eastAsia="Calibri" w:cs="Times New Roman"/>
          <w:kern w:val="2"/>
          <w:szCs w:val="24"/>
          <w14:ligatures w14:val="standardContextual"/>
        </w:rPr>
        <w:t xml:space="preserve"> ve diğerleri, 2006). Artan RANKL/OPG oranı, osteoklast progenitörlerinin olgun ve a</w:t>
      </w:r>
      <w:r w:rsidR="00BB62BD" w:rsidRPr="000A40E6">
        <w:rPr>
          <w:rFonts w:eastAsia="Calibri" w:cs="Times New Roman"/>
          <w:kern w:val="2"/>
          <w:szCs w:val="24"/>
          <w14:ligatures w14:val="standardContextual"/>
        </w:rPr>
        <w:t>ktif osteoklastlara dönüşümünün</w:t>
      </w:r>
      <w:r w:rsidRPr="000A40E6">
        <w:rPr>
          <w:rFonts w:eastAsia="Calibri" w:cs="Times New Roman"/>
          <w:kern w:val="2"/>
          <w:szCs w:val="24"/>
          <w14:ligatures w14:val="standardContextual"/>
        </w:rPr>
        <w:t xml:space="preserve"> artmasının yanı sıra osteoklast ömrünün uzamasına </w:t>
      </w:r>
      <w:r w:rsidR="000608AE" w:rsidRPr="000A40E6">
        <w:rPr>
          <w:rFonts w:eastAsia="Calibri" w:cs="Times New Roman"/>
          <w:kern w:val="2"/>
          <w:szCs w:val="24"/>
          <w14:ligatures w14:val="standardContextual"/>
        </w:rPr>
        <w:t xml:space="preserve">da </w:t>
      </w:r>
      <w:r w:rsidRPr="000A40E6">
        <w:rPr>
          <w:rFonts w:eastAsia="Calibri" w:cs="Times New Roman"/>
          <w:kern w:val="2"/>
          <w:szCs w:val="24"/>
          <w14:ligatures w14:val="standardContextual"/>
        </w:rPr>
        <w:t>işaret edebilir (</w:t>
      </w:r>
      <w:r w:rsidRPr="000A40E6">
        <w:rPr>
          <w:rFonts w:cs="Times New Roman"/>
          <w:szCs w:val="24"/>
        </w:rPr>
        <w:t>Theoleyre ve diğerleri, 2004)</w:t>
      </w:r>
      <w:r w:rsidR="00F24CA3" w:rsidRPr="000A40E6">
        <w:rPr>
          <w:rFonts w:eastAsia="Calibri" w:cs="Times New Roman"/>
          <w:kern w:val="2"/>
          <w:szCs w:val="24"/>
          <w14:ligatures w14:val="standardContextual"/>
        </w:rPr>
        <w:t>. DOS’t</w:t>
      </w:r>
      <w:r w:rsidRPr="000A40E6">
        <w:rPr>
          <w:rFonts w:eastAsia="Calibri" w:cs="Times New Roman"/>
          <w:kern w:val="2"/>
          <w:szCs w:val="24"/>
          <w14:ligatures w14:val="standardContextual"/>
        </w:rPr>
        <w:t>aki RANKL</w:t>
      </w:r>
      <w:r w:rsidR="008569F5" w:rsidRPr="000A40E6">
        <w:rPr>
          <w:rFonts w:eastAsia="Calibri" w:cs="Times New Roman"/>
          <w:kern w:val="2"/>
          <w:szCs w:val="24"/>
          <w14:ligatures w14:val="standardContextual"/>
        </w:rPr>
        <w:t xml:space="preserve">/OPG </w:t>
      </w:r>
      <w:r w:rsidRPr="000A40E6">
        <w:rPr>
          <w:rFonts w:eastAsia="Calibri" w:cs="Times New Roman"/>
          <w:kern w:val="2"/>
          <w:szCs w:val="24"/>
          <w14:ligatures w14:val="standardContextual"/>
        </w:rPr>
        <w:t>oranının periodontal hastalığı olan hastalarda sağlıklı bireylere göre anlamlı derecede yüksek olduğ</w:t>
      </w:r>
      <w:r w:rsidR="008846B0" w:rsidRPr="000A40E6">
        <w:rPr>
          <w:rFonts w:eastAsia="Calibri" w:cs="Times New Roman"/>
          <w:kern w:val="2"/>
          <w:szCs w:val="24"/>
          <w14:ligatures w14:val="standardContextual"/>
        </w:rPr>
        <w:t xml:space="preserve">u </w:t>
      </w:r>
      <w:r w:rsidRPr="000A40E6">
        <w:rPr>
          <w:rFonts w:eastAsia="Calibri" w:cs="Times New Roman"/>
          <w:kern w:val="2"/>
          <w:szCs w:val="24"/>
          <w14:ligatures w14:val="standardContextual"/>
        </w:rPr>
        <w:t>in vivo olarak gösterilmiş</w:t>
      </w:r>
      <w:r w:rsidR="003F3257" w:rsidRPr="000A40E6">
        <w:rPr>
          <w:rFonts w:eastAsia="Calibri" w:cs="Times New Roman"/>
          <w:kern w:val="2"/>
          <w:szCs w:val="24"/>
          <w14:ligatures w14:val="standardContextual"/>
        </w:rPr>
        <w:t>tir</w:t>
      </w:r>
      <w:r w:rsidRPr="000A40E6">
        <w:rPr>
          <w:rFonts w:eastAsia="Calibri" w:cs="Times New Roman"/>
          <w:kern w:val="2"/>
          <w:szCs w:val="24"/>
          <w14:ligatures w14:val="standardContextual"/>
        </w:rPr>
        <w:t xml:space="preserve"> (</w:t>
      </w:r>
      <w:r w:rsidRPr="000A40E6">
        <w:rPr>
          <w:rFonts w:cs="Times New Roman"/>
          <w:szCs w:val="24"/>
        </w:rPr>
        <w:t>Yang ve diğerleri, 2005)</w:t>
      </w:r>
      <w:r w:rsidRPr="000A40E6">
        <w:rPr>
          <w:rFonts w:eastAsia="Calibri" w:cs="Times New Roman"/>
          <w:kern w:val="2"/>
          <w:szCs w:val="24"/>
          <w14:ligatures w14:val="standardContextual"/>
        </w:rPr>
        <w:t>. Grimaud ve diğerleri (</w:t>
      </w:r>
      <w:r w:rsidRPr="000A40E6">
        <w:rPr>
          <w:rFonts w:cs="Times New Roman"/>
          <w:szCs w:val="24"/>
        </w:rPr>
        <w:t>2003)</w:t>
      </w:r>
      <w:r w:rsidR="00442E9D" w:rsidRPr="000A40E6">
        <w:rPr>
          <w:rFonts w:eastAsia="Calibri" w:cs="Times New Roman"/>
          <w:kern w:val="2"/>
          <w:szCs w:val="24"/>
          <w14:ligatures w14:val="standardContextual"/>
        </w:rPr>
        <w:t xml:space="preserve">, OPG ve RANKL sistemlerindeki </w:t>
      </w:r>
      <w:r w:rsidR="00CB7D1E" w:rsidRPr="000A40E6">
        <w:rPr>
          <w:rFonts w:eastAsia="Calibri" w:cs="Times New Roman"/>
          <w:kern w:val="2"/>
          <w:szCs w:val="24"/>
          <w14:ligatures w14:val="standardContextual"/>
        </w:rPr>
        <w:t xml:space="preserve">RANKL’ın artmasıyla oluşan </w:t>
      </w:r>
      <w:r w:rsidR="00761454" w:rsidRPr="000A40E6">
        <w:rPr>
          <w:rFonts w:eastAsia="Calibri" w:cs="Times New Roman"/>
          <w:kern w:val="2"/>
          <w:szCs w:val="24"/>
          <w14:ligatures w14:val="standardContextual"/>
        </w:rPr>
        <w:t xml:space="preserve">durumun </w:t>
      </w:r>
      <w:r w:rsidRPr="000A40E6">
        <w:rPr>
          <w:rFonts w:eastAsia="Calibri" w:cs="Times New Roman"/>
          <w:kern w:val="2"/>
          <w:szCs w:val="24"/>
          <w14:ligatures w14:val="standardContextual"/>
        </w:rPr>
        <w:t>kemik rezorpsiyon mekanizmalarında rol oynayabileceği</w:t>
      </w:r>
      <w:r w:rsidR="00F6047E" w:rsidRPr="000A40E6">
        <w:rPr>
          <w:rFonts w:eastAsia="Calibri" w:cs="Times New Roman"/>
          <w:kern w:val="2"/>
          <w:szCs w:val="24"/>
          <w14:ligatures w14:val="standardContextual"/>
        </w:rPr>
        <w:t>ni</w:t>
      </w:r>
      <w:r w:rsidR="00F9025C" w:rsidRPr="000A40E6">
        <w:rPr>
          <w:rFonts w:eastAsia="Calibri" w:cs="Times New Roman"/>
          <w:kern w:val="2"/>
          <w:szCs w:val="24"/>
          <w14:ligatures w14:val="standardContextual"/>
        </w:rPr>
        <w:t xml:space="preserve"> belirt</w:t>
      </w:r>
      <w:r w:rsidRPr="000A40E6">
        <w:rPr>
          <w:rFonts w:eastAsia="Calibri" w:cs="Times New Roman"/>
          <w:kern w:val="2"/>
          <w:szCs w:val="24"/>
          <w14:ligatures w14:val="standardContextual"/>
        </w:rPr>
        <w:t>miştir.</w:t>
      </w:r>
    </w:p>
    <w:p w14:paraId="039002D7" w14:textId="71D8FBB1" w:rsidR="005D779D" w:rsidRPr="000A40E6" w:rsidRDefault="005D779D"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RANKL, RANK ve OPG düzeyleri ile ilgili insanlarda (</w:t>
      </w:r>
      <w:r w:rsidRPr="000A40E6">
        <w:rPr>
          <w:rFonts w:cs="Times New Roman"/>
          <w:szCs w:val="24"/>
        </w:rPr>
        <w:t>Kawasaki ve diğerleri, 2006)</w:t>
      </w:r>
      <w:r w:rsidRPr="000A40E6">
        <w:rPr>
          <w:rFonts w:eastAsia="Calibri" w:cs="Times New Roman"/>
          <w:kern w:val="2"/>
          <w:szCs w:val="24"/>
          <w14:ligatures w14:val="standardContextual"/>
        </w:rPr>
        <w:t xml:space="preserve"> ve hayvanlarda (Dunn ve diğerleri, 2007) </w:t>
      </w:r>
      <w:r w:rsidR="00AB50BB" w:rsidRPr="000A40E6">
        <w:rPr>
          <w:rFonts w:eastAsia="Calibri" w:cs="Times New Roman"/>
          <w:kern w:val="2"/>
          <w:szCs w:val="24"/>
          <w14:ligatures w14:val="standardContextual"/>
        </w:rPr>
        <w:t>ortodontik diş hareketi</w:t>
      </w:r>
      <w:r w:rsidR="00441E57" w:rsidRPr="000A40E6">
        <w:rPr>
          <w:rFonts w:eastAsia="Calibri" w:cs="Times New Roman"/>
          <w:kern w:val="2"/>
          <w:szCs w:val="24"/>
          <w14:ligatures w14:val="standardContextual"/>
        </w:rPr>
        <w:t xml:space="preserve"> </w:t>
      </w:r>
      <w:r w:rsidRPr="000A40E6">
        <w:rPr>
          <w:rFonts w:eastAsia="Calibri" w:cs="Times New Roman"/>
          <w:kern w:val="2"/>
          <w:szCs w:val="24"/>
          <w14:ligatures w14:val="standardContextual"/>
        </w:rPr>
        <w:t>çalışmalar</w:t>
      </w:r>
      <w:r w:rsidR="00AB50BB" w:rsidRPr="000A40E6">
        <w:rPr>
          <w:rFonts w:eastAsia="Calibri" w:cs="Times New Roman"/>
          <w:kern w:val="2"/>
          <w:szCs w:val="24"/>
          <w14:ligatures w14:val="standardContextual"/>
        </w:rPr>
        <w:t>ı</w:t>
      </w:r>
      <w:r w:rsidR="00D424BC" w:rsidRPr="000A40E6">
        <w:rPr>
          <w:rFonts w:eastAsia="Calibri" w:cs="Times New Roman"/>
          <w:kern w:val="2"/>
          <w:szCs w:val="24"/>
          <w14:ligatures w14:val="standardContextual"/>
        </w:rPr>
        <w:t xml:space="preserve"> olmasına rağmen, </w:t>
      </w:r>
      <w:proofErr w:type="gramStart"/>
      <w:r w:rsidR="006C1268" w:rsidRPr="000A40E6">
        <w:rPr>
          <w:rFonts w:eastAsia="Calibri" w:cs="Times New Roman"/>
          <w:kern w:val="2"/>
          <w:szCs w:val="24"/>
          <w14:ligatures w14:val="standardContextual"/>
        </w:rPr>
        <w:t>literatürde</w:t>
      </w:r>
      <w:proofErr w:type="gramEnd"/>
      <w:r w:rsidR="006C1268" w:rsidRPr="000A40E6">
        <w:rPr>
          <w:rFonts w:eastAsia="Calibri" w:cs="Times New Roman"/>
          <w:kern w:val="2"/>
          <w:szCs w:val="24"/>
          <w14:ligatures w14:val="standardContextual"/>
        </w:rPr>
        <w:t xml:space="preserve"> </w:t>
      </w:r>
      <w:r w:rsidRPr="000A40E6">
        <w:rPr>
          <w:rFonts w:eastAsia="Calibri" w:cs="Times New Roman"/>
          <w:kern w:val="2"/>
          <w:szCs w:val="24"/>
          <w14:ligatures w14:val="standardContextual"/>
        </w:rPr>
        <w:t>RME'ye yanıt olarak midpalatal sütur</w:t>
      </w:r>
      <w:r w:rsidR="004C0485" w:rsidRPr="000A40E6">
        <w:rPr>
          <w:rFonts w:eastAsia="Calibri" w:cs="Times New Roman"/>
          <w:kern w:val="2"/>
          <w:szCs w:val="24"/>
          <w14:ligatures w14:val="standardContextual"/>
        </w:rPr>
        <w:t xml:space="preserve">da </w:t>
      </w:r>
      <w:r w:rsidRPr="000A40E6">
        <w:rPr>
          <w:rFonts w:eastAsia="Calibri" w:cs="Times New Roman"/>
          <w:kern w:val="2"/>
          <w:szCs w:val="24"/>
          <w14:ligatures w14:val="standardContextual"/>
        </w:rPr>
        <w:t xml:space="preserve">bu </w:t>
      </w:r>
      <w:r w:rsidR="00710DA2" w:rsidRPr="000A40E6">
        <w:rPr>
          <w:rFonts w:eastAsia="Calibri" w:cs="Times New Roman"/>
          <w:kern w:val="2"/>
          <w:szCs w:val="24"/>
          <w14:ligatures w14:val="standardContextual"/>
        </w:rPr>
        <w:t>biyomarkerlar</w:t>
      </w:r>
      <w:r w:rsidR="002B4D65" w:rsidRPr="000A40E6">
        <w:rPr>
          <w:rFonts w:eastAsia="Calibri" w:cs="Times New Roman"/>
          <w:kern w:val="2"/>
          <w:szCs w:val="24"/>
          <w14:ligatures w14:val="standardContextual"/>
        </w:rPr>
        <w:t>ı</w:t>
      </w:r>
      <w:r w:rsidR="0097429B" w:rsidRPr="000A40E6">
        <w:rPr>
          <w:rFonts w:eastAsia="Calibri" w:cs="Times New Roman"/>
          <w:kern w:val="2"/>
          <w:szCs w:val="24"/>
          <w14:ligatures w14:val="standardContextual"/>
        </w:rPr>
        <w:t xml:space="preserve"> </w:t>
      </w:r>
      <w:r w:rsidR="00914785" w:rsidRPr="000A40E6">
        <w:rPr>
          <w:rFonts w:eastAsia="Calibri" w:cs="Times New Roman"/>
          <w:kern w:val="2"/>
          <w:szCs w:val="24"/>
          <w14:ligatures w14:val="standardContextual"/>
        </w:rPr>
        <w:t xml:space="preserve">değerlendiren çalışmalar </w:t>
      </w:r>
      <w:r w:rsidR="0097429B" w:rsidRPr="000A40E6">
        <w:rPr>
          <w:rFonts w:eastAsia="Calibri" w:cs="Times New Roman"/>
          <w:kern w:val="2"/>
          <w:szCs w:val="24"/>
          <w14:ligatures w14:val="standardContextual"/>
        </w:rPr>
        <w:t>kısıtlıdır</w:t>
      </w:r>
      <w:r w:rsidRPr="000A40E6">
        <w:rPr>
          <w:rFonts w:eastAsia="Calibri" w:cs="Times New Roman"/>
          <w:kern w:val="2"/>
          <w:szCs w:val="24"/>
          <w14:ligatures w14:val="standardContextual"/>
        </w:rPr>
        <w:t>. Arnez ve diğerleri (2017), RME sırasında farklı iyileşme zamanlarında RANK, RANKL ve OPG genlerinin ekspresyonunu ve RAN</w:t>
      </w:r>
      <w:r w:rsidR="00384C40" w:rsidRPr="000A40E6">
        <w:rPr>
          <w:rFonts w:eastAsia="Calibri" w:cs="Times New Roman"/>
          <w:kern w:val="2"/>
          <w:szCs w:val="24"/>
          <w14:ligatures w14:val="standardContextual"/>
        </w:rPr>
        <w:t>KL/OPG oranını değerlendirmişlerdir</w:t>
      </w:r>
      <w:r w:rsidR="006D2E74" w:rsidRPr="000A40E6">
        <w:rPr>
          <w:rFonts w:eastAsia="Calibri" w:cs="Times New Roman"/>
          <w:kern w:val="2"/>
          <w:szCs w:val="24"/>
          <w14:ligatures w14:val="standardContextual"/>
        </w:rPr>
        <w:t xml:space="preserve">. </w:t>
      </w:r>
      <w:r w:rsidRPr="000A40E6">
        <w:rPr>
          <w:rFonts w:eastAsia="Calibri" w:cs="Times New Roman"/>
          <w:kern w:val="2"/>
          <w:szCs w:val="24"/>
          <w14:ligatures w14:val="standardContextual"/>
        </w:rPr>
        <w:t xml:space="preserve">Bu çalışmada RME grubundaki RANKL/OPG oranının kontrol grubuna </w:t>
      </w:r>
      <w:r w:rsidR="001A0A3B" w:rsidRPr="000A40E6">
        <w:rPr>
          <w:rFonts w:eastAsia="Calibri" w:cs="Times New Roman"/>
          <w:kern w:val="2"/>
          <w:szCs w:val="24"/>
          <w14:ligatures w14:val="standardContextual"/>
        </w:rPr>
        <w:t xml:space="preserve">göre 3. ve 7. günlerde arttığı, </w:t>
      </w:r>
      <w:r w:rsidRPr="000A40E6">
        <w:rPr>
          <w:rFonts w:eastAsia="Calibri" w:cs="Times New Roman"/>
          <w:kern w:val="2"/>
          <w:szCs w:val="24"/>
          <w14:ligatures w14:val="standardContextual"/>
        </w:rPr>
        <w:t xml:space="preserve">10. </w:t>
      </w:r>
      <w:r w:rsidR="008A122D" w:rsidRPr="000A40E6">
        <w:rPr>
          <w:rFonts w:eastAsia="Calibri" w:cs="Times New Roman"/>
          <w:kern w:val="2"/>
          <w:szCs w:val="24"/>
          <w14:ligatures w14:val="standardContextual"/>
        </w:rPr>
        <w:t>g</w:t>
      </w:r>
      <w:r w:rsidRPr="000A40E6">
        <w:rPr>
          <w:rFonts w:eastAsia="Calibri" w:cs="Times New Roman"/>
          <w:kern w:val="2"/>
          <w:szCs w:val="24"/>
          <w14:ligatures w14:val="standardContextual"/>
        </w:rPr>
        <w:t>ünde</w:t>
      </w:r>
      <w:r w:rsidR="00625C7B" w:rsidRPr="000A40E6">
        <w:rPr>
          <w:rFonts w:eastAsia="Calibri" w:cs="Times New Roman"/>
          <w:kern w:val="2"/>
          <w:szCs w:val="24"/>
          <w14:ligatures w14:val="standardContextual"/>
        </w:rPr>
        <w:t xml:space="preserve"> ise azaldığı</w:t>
      </w:r>
      <w:r w:rsidRPr="000A40E6">
        <w:rPr>
          <w:rFonts w:eastAsia="Calibri" w:cs="Times New Roman"/>
          <w:kern w:val="2"/>
          <w:szCs w:val="24"/>
          <w14:ligatures w14:val="standardContextual"/>
        </w:rPr>
        <w:t xml:space="preserve"> göster</w:t>
      </w:r>
      <w:r w:rsidR="00C77A08" w:rsidRPr="000A40E6">
        <w:rPr>
          <w:rFonts w:eastAsia="Calibri" w:cs="Times New Roman"/>
          <w:kern w:val="2"/>
          <w:szCs w:val="24"/>
          <w14:ligatures w14:val="standardContextual"/>
        </w:rPr>
        <w:t>il</w:t>
      </w:r>
      <w:r w:rsidRPr="000A40E6">
        <w:rPr>
          <w:rFonts w:eastAsia="Calibri" w:cs="Times New Roman"/>
          <w:kern w:val="2"/>
          <w:szCs w:val="24"/>
          <w14:ligatures w14:val="standardContextual"/>
        </w:rPr>
        <w:t>miştir. Ayrıca, RME tedavisinin 7. ve 10. günlerinde OPG ekspresyonu kontrol grubuna göre artmıştır.</w:t>
      </w:r>
    </w:p>
    <w:p w14:paraId="46C991CD" w14:textId="748E275F" w:rsidR="005D779D" w:rsidRPr="000A40E6" w:rsidRDefault="005D779D"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Bizim çalışmamızda bukkal ve palatinal bölgeler için RANKL ölçümlerinin zamanla değişmediği görülmüştür. T0 zamanında bukkal ve palatinal bölgeler arasında RANKL ölçümlerinde istatistiksel olarak anlaml</w:t>
      </w:r>
      <w:r w:rsidR="0029174A" w:rsidRPr="000A40E6">
        <w:rPr>
          <w:rFonts w:eastAsia="Calibri" w:cs="Times New Roman"/>
          <w:kern w:val="2"/>
          <w:szCs w:val="24"/>
          <w14:ligatures w14:val="standardContextual"/>
        </w:rPr>
        <w:t>ı bir fark bulunmazken</w:t>
      </w:r>
      <w:r w:rsidR="0018116A" w:rsidRPr="000A40E6">
        <w:rPr>
          <w:rFonts w:eastAsia="Calibri" w:cs="Times New Roman"/>
          <w:kern w:val="2"/>
          <w:szCs w:val="24"/>
          <w14:ligatures w14:val="standardContextual"/>
        </w:rPr>
        <w:t>,</w:t>
      </w:r>
      <w:r w:rsidRPr="000A40E6">
        <w:rPr>
          <w:rFonts w:eastAsia="Calibri" w:cs="Times New Roman"/>
          <w:kern w:val="2"/>
          <w:szCs w:val="24"/>
          <w14:ligatures w14:val="standardContextual"/>
        </w:rPr>
        <w:t xml:space="preserve"> T1 zamanında bukkal bölgenin </w:t>
      </w:r>
      <w:r w:rsidR="0018116A" w:rsidRPr="000A40E6">
        <w:rPr>
          <w:rFonts w:eastAsia="Calibri" w:cs="Times New Roman"/>
          <w:kern w:val="2"/>
          <w:szCs w:val="24"/>
          <w14:ligatures w14:val="standardContextual"/>
        </w:rPr>
        <w:t>RANKL düzeyi</w:t>
      </w:r>
      <w:r w:rsidRPr="000A40E6">
        <w:rPr>
          <w:rFonts w:eastAsia="Calibri" w:cs="Times New Roman"/>
          <w:kern w:val="2"/>
          <w:szCs w:val="24"/>
          <w14:ligatures w14:val="standardContextual"/>
        </w:rPr>
        <w:t xml:space="preserve"> palatinal bölgeye göre </w:t>
      </w:r>
      <w:r w:rsidR="0029174A" w:rsidRPr="000A40E6">
        <w:rPr>
          <w:rFonts w:eastAsia="Calibri" w:cs="Times New Roman"/>
          <w:kern w:val="2"/>
          <w:szCs w:val="24"/>
          <w14:ligatures w14:val="standardContextual"/>
        </w:rPr>
        <w:t xml:space="preserve">istatistiksel </w:t>
      </w:r>
      <w:r w:rsidR="00CF13CC" w:rsidRPr="000A40E6">
        <w:rPr>
          <w:rFonts w:eastAsia="Calibri" w:cs="Times New Roman"/>
          <w:kern w:val="2"/>
          <w:szCs w:val="24"/>
          <w14:ligatures w14:val="standardContextual"/>
        </w:rPr>
        <w:t xml:space="preserve">olarak </w:t>
      </w:r>
      <w:r w:rsidRPr="000A40E6">
        <w:rPr>
          <w:rFonts w:eastAsia="Calibri" w:cs="Times New Roman"/>
          <w:kern w:val="2"/>
          <w:szCs w:val="24"/>
          <w14:ligatures w14:val="standardContextual"/>
        </w:rPr>
        <w:t xml:space="preserve">anlamlı </w:t>
      </w:r>
      <w:r w:rsidR="00373D7B" w:rsidRPr="000A40E6">
        <w:rPr>
          <w:rFonts w:eastAsia="Calibri" w:cs="Times New Roman"/>
          <w:kern w:val="2"/>
          <w:szCs w:val="24"/>
          <w14:ligatures w14:val="standardContextual"/>
        </w:rPr>
        <w:t>düzeyde daha yüksektir</w:t>
      </w:r>
      <w:r w:rsidRPr="000A40E6">
        <w:rPr>
          <w:rFonts w:eastAsia="Calibri" w:cs="Times New Roman"/>
          <w:kern w:val="2"/>
          <w:szCs w:val="24"/>
          <w14:ligatures w14:val="standardContextual"/>
        </w:rPr>
        <w:t xml:space="preserve">. T2 ve T3 zamanlarında ise her iki bölge arasında </w:t>
      </w:r>
      <w:r w:rsidR="007B4C35" w:rsidRPr="000A40E6">
        <w:rPr>
          <w:rFonts w:eastAsia="Calibri" w:cs="Times New Roman"/>
          <w:kern w:val="2"/>
          <w:szCs w:val="24"/>
          <w14:ligatures w14:val="standardContextual"/>
        </w:rPr>
        <w:t xml:space="preserve">istatistiksel olarak </w:t>
      </w:r>
      <w:r w:rsidRPr="000A40E6">
        <w:rPr>
          <w:rFonts w:eastAsia="Calibri" w:cs="Times New Roman"/>
          <w:kern w:val="2"/>
          <w:szCs w:val="24"/>
          <w14:ligatures w14:val="standardContextual"/>
        </w:rPr>
        <w:t>anlamlı düzeyde bir fa</w:t>
      </w:r>
      <w:r w:rsidR="00703931" w:rsidRPr="000A40E6">
        <w:rPr>
          <w:rFonts w:eastAsia="Calibri" w:cs="Times New Roman"/>
          <w:kern w:val="2"/>
          <w:szCs w:val="24"/>
          <w14:ligatures w14:val="standardContextual"/>
        </w:rPr>
        <w:t>rk olmadığı görülmüştür</w:t>
      </w:r>
      <w:r w:rsidRPr="000A40E6">
        <w:rPr>
          <w:rFonts w:eastAsia="Calibri" w:cs="Times New Roman"/>
          <w:kern w:val="2"/>
          <w:szCs w:val="24"/>
          <w14:ligatures w14:val="standardContextual"/>
        </w:rPr>
        <w:t>. OPG ölçümleri ele alındığında, iki bölge için de</w:t>
      </w:r>
      <w:r w:rsidR="00691D77" w:rsidRPr="000A40E6">
        <w:rPr>
          <w:rFonts w:eastAsia="Calibri" w:cs="Times New Roman"/>
          <w:kern w:val="2"/>
          <w:szCs w:val="24"/>
          <w14:ligatures w14:val="standardContextual"/>
        </w:rPr>
        <w:t xml:space="preserve"> ölçümlerin zamanla değişmediği </w:t>
      </w:r>
      <w:r w:rsidRPr="000A40E6">
        <w:rPr>
          <w:rFonts w:eastAsia="Calibri" w:cs="Times New Roman"/>
          <w:kern w:val="2"/>
          <w:szCs w:val="24"/>
          <w14:ligatures w14:val="standardContextual"/>
        </w:rPr>
        <w:t>ve her bir zaman noktasında bölgeler arasında istatistiksel olarak anlamlı bir fa</w:t>
      </w:r>
      <w:r w:rsidR="00231D30" w:rsidRPr="000A40E6">
        <w:rPr>
          <w:rFonts w:eastAsia="Calibri" w:cs="Times New Roman"/>
          <w:kern w:val="2"/>
          <w:szCs w:val="24"/>
          <w14:ligatures w14:val="standardContextual"/>
        </w:rPr>
        <w:t>rk olmadığı görülmüştür</w:t>
      </w:r>
      <w:r w:rsidR="006E2D3F" w:rsidRPr="000A40E6">
        <w:rPr>
          <w:rFonts w:eastAsia="Calibri" w:cs="Times New Roman"/>
          <w:kern w:val="2"/>
          <w:szCs w:val="24"/>
          <w14:ligatures w14:val="standardContextual"/>
        </w:rPr>
        <w:t xml:space="preserve">. </w:t>
      </w:r>
      <w:r w:rsidR="00BA2A56" w:rsidRPr="000A40E6">
        <w:rPr>
          <w:rFonts w:eastAsia="Calibri" w:cs="Times New Roman"/>
          <w:kern w:val="2"/>
          <w:szCs w:val="24"/>
          <w14:ligatures w14:val="standardContextual"/>
        </w:rPr>
        <w:t>İ</w:t>
      </w:r>
      <w:r w:rsidR="00383765" w:rsidRPr="000A40E6">
        <w:rPr>
          <w:rFonts w:eastAsia="Calibri" w:cs="Times New Roman"/>
          <w:kern w:val="2"/>
          <w:szCs w:val="24"/>
          <w14:ligatures w14:val="standardContextual"/>
        </w:rPr>
        <w:t xml:space="preserve">statistiksel olarak </w:t>
      </w:r>
      <w:r w:rsidRPr="000A40E6">
        <w:rPr>
          <w:rFonts w:eastAsia="Calibri" w:cs="Times New Roman"/>
          <w:kern w:val="2"/>
          <w:szCs w:val="24"/>
          <w14:ligatures w14:val="standardContextual"/>
        </w:rPr>
        <w:t>anlamlı</w:t>
      </w:r>
      <w:r w:rsidR="008B3C1E" w:rsidRPr="000A40E6">
        <w:rPr>
          <w:rFonts w:eastAsia="Calibri" w:cs="Times New Roman"/>
          <w:kern w:val="2"/>
          <w:szCs w:val="24"/>
          <w14:ligatures w14:val="standardContextual"/>
        </w:rPr>
        <w:t xml:space="preserve"> bir fark bulunmamasına rağmen</w:t>
      </w:r>
      <w:r w:rsidRPr="000A40E6">
        <w:rPr>
          <w:rFonts w:eastAsia="Calibri" w:cs="Times New Roman"/>
          <w:kern w:val="2"/>
          <w:szCs w:val="24"/>
          <w14:ligatures w14:val="standardContextual"/>
        </w:rPr>
        <w:t xml:space="preserve"> </w:t>
      </w:r>
      <w:r w:rsidR="007C7EDF" w:rsidRPr="000A40E6">
        <w:rPr>
          <w:rFonts w:eastAsia="Calibri" w:cs="Times New Roman"/>
          <w:kern w:val="2"/>
          <w:szCs w:val="24"/>
          <w14:ligatures w14:val="standardContextual"/>
        </w:rPr>
        <w:t xml:space="preserve">zamanla </w:t>
      </w:r>
      <w:r w:rsidRPr="000A40E6">
        <w:rPr>
          <w:rFonts w:eastAsia="Calibri" w:cs="Times New Roman"/>
          <w:kern w:val="2"/>
          <w:szCs w:val="24"/>
          <w14:ligatures w14:val="standardContextual"/>
        </w:rPr>
        <w:t xml:space="preserve">her iki bölge için OPG </w:t>
      </w:r>
      <w:proofErr w:type="gramStart"/>
      <w:r w:rsidRPr="000A40E6">
        <w:rPr>
          <w:rFonts w:eastAsia="Calibri" w:cs="Times New Roman"/>
          <w:kern w:val="2"/>
          <w:szCs w:val="24"/>
          <w14:ligatures w14:val="standardContextual"/>
        </w:rPr>
        <w:t xml:space="preserve">düzeyleri </w:t>
      </w:r>
      <w:r w:rsidR="008B3C1E" w:rsidRPr="000A40E6">
        <w:rPr>
          <w:rFonts w:eastAsia="Calibri" w:cs="Times New Roman"/>
          <w:kern w:val="2"/>
          <w:szCs w:val="24"/>
          <w14:ligatures w14:val="standardContextual"/>
        </w:rPr>
        <w:t xml:space="preserve"> artış</w:t>
      </w:r>
      <w:proofErr w:type="gramEnd"/>
      <w:r w:rsidR="008B3C1E" w:rsidRPr="000A40E6">
        <w:rPr>
          <w:rFonts w:eastAsia="Calibri" w:cs="Times New Roman"/>
          <w:kern w:val="2"/>
          <w:szCs w:val="24"/>
          <w14:ligatures w14:val="standardContextual"/>
        </w:rPr>
        <w:t xml:space="preserve"> göstermiştir.</w:t>
      </w:r>
    </w:p>
    <w:p w14:paraId="42B0B980" w14:textId="68CE1875" w:rsidR="00CE7A2B" w:rsidRPr="000A40E6" w:rsidRDefault="005D779D" w:rsidP="00F756C3">
      <w:pPr>
        <w:suppressAutoHyphens/>
        <w:autoSpaceDE w:val="0"/>
        <w:autoSpaceDN w:val="0"/>
        <w:adjustRightInd w:val="0"/>
        <w:spacing w:after="120"/>
        <w:rPr>
          <w:rFonts w:eastAsia="Calibri" w:cs="Times New Roman"/>
          <w:kern w:val="2"/>
          <w:szCs w:val="24"/>
          <w14:ligatures w14:val="standardContextual"/>
        </w:rPr>
      </w:pPr>
      <w:r w:rsidRPr="000A40E6">
        <w:rPr>
          <w:rFonts w:eastAsia="Calibri" w:cs="Times New Roman"/>
          <w:szCs w:val="24"/>
        </w:rPr>
        <w:t>Nishijima ve diğerleri (2006), adolesan dönemdeki hastalarda or</w:t>
      </w:r>
      <w:r w:rsidR="00CE38AE" w:rsidRPr="000A40E6">
        <w:rPr>
          <w:rFonts w:eastAsia="Calibri" w:cs="Times New Roman"/>
          <w:szCs w:val="24"/>
        </w:rPr>
        <w:t>todontik</w:t>
      </w:r>
      <w:r w:rsidR="002660BD" w:rsidRPr="000A40E6">
        <w:rPr>
          <w:rFonts w:eastAsia="Calibri" w:cs="Times New Roman"/>
          <w:szCs w:val="24"/>
        </w:rPr>
        <w:t xml:space="preserve"> diş</w:t>
      </w:r>
      <w:r w:rsidR="00CE38AE" w:rsidRPr="000A40E6">
        <w:rPr>
          <w:rFonts w:eastAsia="Calibri" w:cs="Times New Roman"/>
          <w:szCs w:val="24"/>
        </w:rPr>
        <w:t xml:space="preserve"> hareket</w:t>
      </w:r>
      <w:r w:rsidR="002660BD" w:rsidRPr="000A40E6">
        <w:rPr>
          <w:rFonts w:eastAsia="Calibri" w:cs="Times New Roman"/>
          <w:szCs w:val="24"/>
        </w:rPr>
        <w:t>i</w:t>
      </w:r>
      <w:r w:rsidR="00F24CA3" w:rsidRPr="000A40E6">
        <w:rPr>
          <w:rFonts w:eastAsia="Calibri" w:cs="Times New Roman"/>
          <w:szCs w:val="24"/>
        </w:rPr>
        <w:t xml:space="preserve"> sırasında DOS't</w:t>
      </w:r>
      <w:r w:rsidRPr="000A40E6">
        <w:rPr>
          <w:rFonts w:eastAsia="Calibri" w:cs="Times New Roman"/>
          <w:szCs w:val="24"/>
        </w:rPr>
        <w:t xml:space="preserve">a RANKL ve OPG düzeylerini </w:t>
      </w:r>
      <w:r w:rsidR="00230ADA" w:rsidRPr="000A40E6">
        <w:rPr>
          <w:rFonts w:eastAsia="Calibri" w:cs="Times New Roman"/>
          <w:szCs w:val="24"/>
        </w:rPr>
        <w:t>değerlendirmişlerdir.</w:t>
      </w:r>
      <w:r w:rsidR="007354DD" w:rsidRPr="000A40E6">
        <w:rPr>
          <w:rFonts w:eastAsia="Calibri" w:cs="Times New Roman"/>
          <w:szCs w:val="24"/>
        </w:rPr>
        <w:t xml:space="preserve"> </w:t>
      </w:r>
      <w:r w:rsidRPr="000A40E6">
        <w:rPr>
          <w:rFonts w:eastAsia="Calibri" w:cs="Times New Roman"/>
          <w:szCs w:val="24"/>
        </w:rPr>
        <w:t xml:space="preserve">Tedavi sırasında RANKL düzeylerinin arttığını ve buna karşılık OPG düzeylerinin </w:t>
      </w:r>
      <w:r w:rsidR="00080586" w:rsidRPr="000A40E6">
        <w:rPr>
          <w:rFonts w:eastAsia="Calibri" w:cs="Times New Roman"/>
          <w:szCs w:val="24"/>
        </w:rPr>
        <w:t>azaldığını belirtmişlerdir</w:t>
      </w:r>
      <w:r w:rsidRPr="000A40E6">
        <w:rPr>
          <w:rFonts w:eastAsia="Calibri" w:cs="Times New Roman"/>
          <w:szCs w:val="24"/>
        </w:rPr>
        <w:t xml:space="preserve">. </w:t>
      </w:r>
      <w:r w:rsidRPr="000A40E6">
        <w:rPr>
          <w:rFonts w:cs="Times New Roman"/>
          <w:szCs w:val="24"/>
        </w:rPr>
        <w:t>Kanzaki</w:t>
      </w:r>
      <w:r w:rsidR="004A028C" w:rsidRPr="000A40E6">
        <w:rPr>
          <w:rFonts w:eastAsia="Calibri" w:cs="Times New Roman"/>
          <w:kern w:val="2"/>
          <w:szCs w:val="24"/>
          <w14:ligatures w14:val="standardContextual"/>
        </w:rPr>
        <w:t xml:space="preserve"> ve diğerleri (2001), </w:t>
      </w:r>
      <w:r w:rsidRPr="000A40E6">
        <w:rPr>
          <w:rFonts w:eastAsia="Calibri" w:cs="Times New Roman"/>
          <w:kern w:val="2"/>
          <w:szCs w:val="24"/>
          <w14:ligatures w14:val="standardContextual"/>
        </w:rPr>
        <w:t>osteoklastogenez sırasında periferik kan mononükleer hücreleri ve periodontal ligament hücreleri arasındaki etkileşimlerin sonuçlarını inceledikleri çalışmada, insan periodontal ligament hücrelerinin, RANKL tarafından rezorptif aktiviteyi ve OPG tarafından inhibisyonu uyaran mekanizmalara karşı çıkarak osteoklastogenezi düzenleyebileceğini göstermiştir. Buna karşılık, OPG gen transferi, RANKL aracılı osteoklastogenezi ve deneysel diş hareketini inhibe etmiştir (</w:t>
      </w:r>
      <w:r w:rsidRPr="000A40E6">
        <w:rPr>
          <w:rFonts w:cs="Times New Roman"/>
          <w:szCs w:val="24"/>
        </w:rPr>
        <w:t>Yamaguchi</w:t>
      </w:r>
      <w:r w:rsidRPr="000A40E6">
        <w:rPr>
          <w:rFonts w:eastAsia="Calibri" w:cs="Times New Roman"/>
          <w:kern w:val="2"/>
          <w:szCs w:val="24"/>
          <w14:ligatures w14:val="standardContextual"/>
        </w:rPr>
        <w:t xml:space="preserve"> ve diğerleri,</w:t>
      </w:r>
      <w:r w:rsidRPr="000A40E6">
        <w:rPr>
          <w:rFonts w:cs="Times New Roman"/>
          <w:szCs w:val="24"/>
        </w:rPr>
        <w:t xml:space="preserve"> 2006)</w:t>
      </w:r>
      <w:r w:rsidR="000800E9" w:rsidRPr="000A40E6">
        <w:rPr>
          <w:rFonts w:eastAsia="Calibri" w:cs="Times New Roman"/>
          <w:kern w:val="2"/>
          <w:szCs w:val="24"/>
          <w14:ligatures w14:val="standardContextual"/>
        </w:rPr>
        <w:t>. Nakano ve diğerleri</w:t>
      </w:r>
      <w:r w:rsidR="000800E9" w:rsidRPr="000A40E6">
        <w:rPr>
          <w:rFonts w:cs="Times New Roman"/>
          <w:szCs w:val="24"/>
        </w:rPr>
        <w:t xml:space="preserve"> </w:t>
      </w:r>
      <w:r w:rsidRPr="000A40E6">
        <w:rPr>
          <w:rFonts w:cs="Times New Roman"/>
          <w:szCs w:val="24"/>
        </w:rPr>
        <w:t>(2011)</w:t>
      </w:r>
      <w:r w:rsidR="000800E9" w:rsidRPr="000A40E6">
        <w:rPr>
          <w:rFonts w:cs="Times New Roman"/>
          <w:szCs w:val="24"/>
        </w:rPr>
        <w:t>’nin</w:t>
      </w:r>
      <w:r w:rsidRPr="000A40E6">
        <w:rPr>
          <w:rFonts w:cs="Times New Roman"/>
          <w:szCs w:val="24"/>
        </w:rPr>
        <w:t xml:space="preserve"> yap</w:t>
      </w:r>
      <w:r w:rsidR="00F84FD4" w:rsidRPr="000A40E6">
        <w:rPr>
          <w:rFonts w:cs="Times New Roman"/>
          <w:szCs w:val="24"/>
        </w:rPr>
        <w:t>t</w:t>
      </w:r>
      <w:r w:rsidRPr="000A40E6">
        <w:rPr>
          <w:rFonts w:cs="Times New Roman"/>
          <w:szCs w:val="24"/>
        </w:rPr>
        <w:t>ığı çalışmada</w:t>
      </w:r>
      <w:r w:rsidRPr="000A40E6">
        <w:rPr>
          <w:rFonts w:eastAsia="Calibri" w:cs="Times New Roman"/>
          <w:kern w:val="2"/>
          <w:szCs w:val="24"/>
          <w14:ligatures w14:val="standardContextual"/>
        </w:rPr>
        <w:t>, basınç kuvvetinin insan periodontal ligament hücrelerinde RANKL ekspresyonunu arttırdığını da göstermiştir. Bu sonuçlar çalışmamızın bulgularını desteklemektedir, çünkü RANKL ekspresyonunun aktif faz olan T1 zamanında basınç bölgesi olan bukkal bölgede arttığı görülmüştür. Bu</w:t>
      </w:r>
      <w:r w:rsidR="002466D8" w:rsidRPr="000A40E6">
        <w:rPr>
          <w:rFonts w:eastAsia="Calibri" w:cs="Times New Roman"/>
          <w:kern w:val="2"/>
          <w:szCs w:val="24"/>
          <w14:ligatures w14:val="standardContextual"/>
        </w:rPr>
        <w:t xml:space="preserve"> durum</w:t>
      </w:r>
      <w:r w:rsidRPr="000A40E6">
        <w:rPr>
          <w:rFonts w:eastAsia="Calibri" w:cs="Times New Roman"/>
          <w:kern w:val="2"/>
          <w:szCs w:val="24"/>
          <w14:ligatures w14:val="standardContextual"/>
        </w:rPr>
        <w:t xml:space="preserve"> daha sonra kemik kütlesini azaltan ve RME'nin ilk günlerinde kemik dokularının mikro yapısını değiştiren kemiğin remodelingini destekleyen osteoklastogenezi ve osteoklastik aktiv</w:t>
      </w:r>
      <w:r w:rsidR="001F71BD" w:rsidRPr="000A40E6">
        <w:rPr>
          <w:rFonts w:eastAsia="Calibri" w:cs="Times New Roman"/>
          <w:kern w:val="2"/>
          <w:szCs w:val="24"/>
          <w14:ligatures w14:val="standardContextual"/>
        </w:rPr>
        <w:t>iteyi uyarmış olabilir. RANKL'da</w:t>
      </w:r>
      <w:r w:rsidRPr="000A40E6">
        <w:rPr>
          <w:rFonts w:eastAsia="Calibri" w:cs="Times New Roman"/>
          <w:kern w:val="2"/>
          <w:szCs w:val="24"/>
          <w14:ligatures w14:val="standardContextual"/>
        </w:rPr>
        <w:t>ki artı</w:t>
      </w:r>
      <w:r w:rsidR="00CF487B" w:rsidRPr="000A40E6">
        <w:rPr>
          <w:rFonts w:eastAsia="Calibri" w:cs="Times New Roman"/>
          <w:kern w:val="2"/>
          <w:szCs w:val="24"/>
          <w14:ligatures w14:val="standardContextual"/>
        </w:rPr>
        <w:t>şlar, RME’den kaynaklanan akut i</w:t>
      </w:r>
      <w:r w:rsidRPr="000A40E6">
        <w:rPr>
          <w:rFonts w:eastAsia="Calibri" w:cs="Times New Roman"/>
          <w:kern w:val="2"/>
          <w:szCs w:val="24"/>
          <w14:ligatures w14:val="standardContextual"/>
        </w:rPr>
        <w:t>nflamasyonu ve kemik rezorpsiyon sürecini yansıtabilir ve kemiğin remodelinginin potansiyel belirt</w:t>
      </w:r>
      <w:r w:rsidR="00E0137F" w:rsidRPr="000A40E6">
        <w:rPr>
          <w:rFonts w:eastAsia="Calibri" w:cs="Times New Roman"/>
          <w:kern w:val="2"/>
          <w:szCs w:val="24"/>
          <w14:ligatures w14:val="standardContextual"/>
        </w:rPr>
        <w:t>eçleri olarak kabul edilebilir. İ</w:t>
      </w:r>
      <w:r w:rsidR="00EB1FAA" w:rsidRPr="000A40E6">
        <w:rPr>
          <w:rFonts w:eastAsia="Calibri" w:cs="Times New Roman"/>
          <w:kern w:val="2"/>
          <w:szCs w:val="24"/>
          <w14:ligatures w14:val="standardContextual"/>
        </w:rPr>
        <w:t xml:space="preserve">statistiksel olarak </w:t>
      </w:r>
      <w:r w:rsidRPr="000A40E6">
        <w:rPr>
          <w:rFonts w:eastAsia="Calibri" w:cs="Times New Roman"/>
          <w:kern w:val="2"/>
          <w:szCs w:val="24"/>
          <w14:ligatures w14:val="standardContextual"/>
        </w:rPr>
        <w:t xml:space="preserve">anlamlı olmasa da </w:t>
      </w:r>
      <w:r w:rsidR="00E0137F" w:rsidRPr="000A40E6">
        <w:rPr>
          <w:rFonts w:eastAsia="Calibri" w:cs="Times New Roman"/>
          <w:kern w:val="2"/>
          <w:szCs w:val="24"/>
          <w14:ligatures w14:val="standardContextual"/>
        </w:rPr>
        <w:t xml:space="preserve">zamanla her iki bölgede </w:t>
      </w:r>
      <w:r w:rsidRPr="000A40E6">
        <w:rPr>
          <w:rFonts w:eastAsia="Calibri" w:cs="Times New Roman"/>
          <w:kern w:val="2"/>
          <w:szCs w:val="24"/>
          <w14:ligatures w14:val="standardContextual"/>
        </w:rPr>
        <w:t>OPG</w:t>
      </w:r>
      <w:r w:rsidR="00A45FAC" w:rsidRPr="000A40E6">
        <w:rPr>
          <w:rFonts w:eastAsia="Calibri" w:cs="Times New Roman"/>
          <w:kern w:val="2"/>
          <w:szCs w:val="24"/>
          <w14:ligatures w14:val="standardContextual"/>
        </w:rPr>
        <w:t xml:space="preserve"> düzeyindeki artışın</w:t>
      </w:r>
      <w:r w:rsidR="00CB7543" w:rsidRPr="000A40E6">
        <w:rPr>
          <w:rFonts w:eastAsia="Calibri" w:cs="Times New Roman"/>
          <w:kern w:val="2"/>
          <w:szCs w:val="24"/>
          <w14:ligatures w14:val="standardContextual"/>
        </w:rPr>
        <w:t xml:space="preserve"> nedeni </w:t>
      </w:r>
      <w:r w:rsidRPr="000A40E6">
        <w:rPr>
          <w:rFonts w:eastAsia="Calibri" w:cs="Times New Roman"/>
          <w:kern w:val="2"/>
          <w:szCs w:val="24"/>
          <w14:ligatures w14:val="standardContextual"/>
        </w:rPr>
        <w:t>kemik oluşumundaki artış</w:t>
      </w:r>
      <w:r w:rsidR="00CB7543" w:rsidRPr="000A40E6">
        <w:rPr>
          <w:rFonts w:eastAsia="Calibri" w:cs="Times New Roman"/>
          <w:kern w:val="2"/>
          <w:szCs w:val="24"/>
          <w14:ligatures w14:val="standardContextual"/>
        </w:rPr>
        <w:t xml:space="preserve"> ile açıklanabilir. </w:t>
      </w:r>
      <w:r w:rsidR="00CE7A2B" w:rsidRPr="000A40E6">
        <w:rPr>
          <w:rFonts w:eastAsia="Calibri" w:cs="Times New Roman"/>
          <w:kern w:val="2"/>
          <w:szCs w:val="24"/>
          <w14:ligatures w14:val="standardContextual"/>
        </w:rPr>
        <w:t>İstatistiksel olarak anlamlı bir artışın görülmemesinin nedeni küçük örneklem büyüklüğü olarak düşünülebilir.</w:t>
      </w:r>
    </w:p>
    <w:p w14:paraId="03F45CBB" w14:textId="2C2F9597" w:rsidR="005D779D" w:rsidRPr="000A40E6" w:rsidRDefault="005D779D" w:rsidP="00F756C3">
      <w:pPr>
        <w:suppressAutoHyphens/>
        <w:spacing w:after="120"/>
        <w:rPr>
          <w:rFonts w:cs="Times New Roman"/>
          <w:szCs w:val="24"/>
        </w:rPr>
      </w:pPr>
      <w:r w:rsidRPr="000A40E6">
        <w:rPr>
          <w:rFonts w:eastAsia="Calibri" w:cs="Times New Roman"/>
          <w:kern w:val="2"/>
          <w:szCs w:val="24"/>
          <w14:ligatures w14:val="standardContextual"/>
        </w:rPr>
        <w:t>Araştırmalar, ortodontik diş hareketinin gerçekleşmesinin diş çe</w:t>
      </w:r>
      <w:r w:rsidR="00604C77" w:rsidRPr="000A40E6">
        <w:rPr>
          <w:rFonts w:eastAsia="Calibri" w:cs="Times New Roman"/>
          <w:kern w:val="2"/>
          <w:szCs w:val="24"/>
          <w14:ligatures w14:val="standardContextual"/>
        </w:rPr>
        <w:t xml:space="preserve">vresinde bir inflamasyon alanı oluşturduğunu </w:t>
      </w:r>
      <w:r w:rsidR="00FF75D3" w:rsidRPr="000A40E6">
        <w:rPr>
          <w:rFonts w:eastAsia="Calibri" w:cs="Times New Roman"/>
          <w:kern w:val="2"/>
          <w:szCs w:val="24"/>
          <w14:ligatures w14:val="standardContextual"/>
        </w:rPr>
        <w:t xml:space="preserve">ve </w:t>
      </w:r>
      <w:r w:rsidRPr="000A40E6">
        <w:rPr>
          <w:rFonts w:eastAsia="Calibri" w:cs="Times New Roman"/>
          <w:kern w:val="2"/>
          <w:szCs w:val="24"/>
          <w14:ligatures w14:val="standardContextual"/>
        </w:rPr>
        <w:t xml:space="preserve">kan akışıyla TNF-α, MMP1, Interlökin-1, TIMP-1, Col-1 gibi bazı büyüme faktörlerini ve sitokinleri </w:t>
      </w:r>
      <w:r w:rsidR="00383588" w:rsidRPr="000A40E6">
        <w:rPr>
          <w:rFonts w:eastAsia="Calibri" w:cs="Times New Roman"/>
          <w:kern w:val="2"/>
          <w:szCs w:val="24"/>
          <w14:ligatures w14:val="standardContextual"/>
        </w:rPr>
        <w:t xml:space="preserve">diş hareketinin </w:t>
      </w:r>
      <w:r w:rsidR="00915F38" w:rsidRPr="000A40E6">
        <w:rPr>
          <w:rFonts w:eastAsia="Calibri" w:cs="Times New Roman"/>
          <w:kern w:val="2"/>
          <w:szCs w:val="24"/>
          <w14:ligatures w14:val="standardContextual"/>
        </w:rPr>
        <w:t xml:space="preserve">gerçekleştiği bölgeye iletimine sebep </w:t>
      </w:r>
      <w:r w:rsidR="00BF1227" w:rsidRPr="000A40E6">
        <w:rPr>
          <w:rFonts w:eastAsia="Calibri" w:cs="Times New Roman"/>
          <w:kern w:val="2"/>
          <w:szCs w:val="24"/>
          <w14:ligatures w14:val="standardContextual"/>
        </w:rPr>
        <w:t xml:space="preserve">olduğunu </w:t>
      </w:r>
      <w:r w:rsidR="00383588" w:rsidRPr="000A40E6">
        <w:rPr>
          <w:rFonts w:eastAsia="Calibri" w:cs="Times New Roman"/>
          <w:kern w:val="2"/>
          <w:szCs w:val="24"/>
          <w14:ligatures w14:val="standardContextual"/>
        </w:rPr>
        <w:t xml:space="preserve">belirtmiştir. Ayrıca inflamatuar olayların, </w:t>
      </w:r>
      <w:r w:rsidRPr="000A40E6">
        <w:rPr>
          <w:rFonts w:eastAsia="Calibri" w:cs="Times New Roman"/>
          <w:kern w:val="2"/>
          <w:szCs w:val="24"/>
          <w14:ligatures w14:val="standardContextual"/>
        </w:rPr>
        <w:t>kemik iyileşmesine katkıda bulunabilen ve daha sonra kemiği yeniden şekillendi</w:t>
      </w:r>
      <w:r w:rsidR="00383588" w:rsidRPr="000A40E6">
        <w:rPr>
          <w:rFonts w:eastAsia="Calibri" w:cs="Times New Roman"/>
          <w:kern w:val="2"/>
          <w:szCs w:val="24"/>
          <w14:ligatures w14:val="standardContextual"/>
        </w:rPr>
        <w:t>ren genleri aktive edilebildiğ</w:t>
      </w:r>
      <w:r w:rsidRPr="000A40E6">
        <w:rPr>
          <w:rFonts w:eastAsia="Calibri" w:cs="Times New Roman"/>
          <w:kern w:val="2"/>
          <w:szCs w:val="24"/>
          <w14:ligatures w14:val="standardContextual"/>
        </w:rPr>
        <w:t xml:space="preserve">i </w:t>
      </w:r>
      <w:r w:rsidR="00383588" w:rsidRPr="000A40E6">
        <w:rPr>
          <w:rFonts w:eastAsia="Calibri" w:cs="Times New Roman"/>
          <w:kern w:val="2"/>
          <w:szCs w:val="24"/>
          <w14:ligatures w14:val="standardContextual"/>
        </w:rPr>
        <w:t xml:space="preserve">belirtilmiştir </w:t>
      </w:r>
      <w:r w:rsidRPr="000A40E6">
        <w:rPr>
          <w:rFonts w:eastAsia="Calibri" w:cs="Times New Roman"/>
          <w:kern w:val="2"/>
          <w:szCs w:val="24"/>
          <w14:ligatures w14:val="standardContextual"/>
        </w:rPr>
        <w:t>(</w:t>
      </w:r>
      <w:r w:rsidRPr="000A40E6">
        <w:rPr>
          <w:rFonts w:cs="Times New Roman"/>
          <w:szCs w:val="24"/>
        </w:rPr>
        <w:t>Garlet ve diğerleri, 2007)</w:t>
      </w:r>
      <w:r w:rsidRPr="000A40E6">
        <w:rPr>
          <w:rFonts w:eastAsia="Calibri" w:cs="Times New Roman"/>
          <w:kern w:val="2"/>
          <w:szCs w:val="24"/>
          <w14:ligatures w14:val="standardContextual"/>
        </w:rPr>
        <w:t>.</w:t>
      </w:r>
      <w:r w:rsidR="00A54514" w:rsidRPr="000A40E6">
        <w:rPr>
          <w:rFonts w:eastAsia="Calibri" w:cs="Times New Roman"/>
          <w:kern w:val="2"/>
          <w:szCs w:val="24"/>
          <w14:ligatures w14:val="standardContextual"/>
        </w:rPr>
        <w:t xml:space="preserve"> </w:t>
      </w:r>
      <w:r w:rsidRPr="000A40E6">
        <w:rPr>
          <w:rFonts w:eastAsia="Calibri" w:cs="Times New Roman"/>
          <w:kern w:val="2"/>
          <w:szCs w:val="24"/>
          <w14:ligatures w14:val="standardContextual"/>
        </w:rPr>
        <w:t>Bu nedenle ortodontik diş hareketinin düzenlenmesinde bazı inflamatuar sitokinlerin rol oynayabileceği öne sürülmüştür (</w:t>
      </w:r>
      <w:r w:rsidRPr="000A40E6">
        <w:rPr>
          <w:rFonts w:cs="Times New Roman"/>
          <w:szCs w:val="24"/>
        </w:rPr>
        <w:t>Yamaguchi ve diğerleri, 2006)</w:t>
      </w:r>
      <w:r w:rsidRPr="000A40E6">
        <w:rPr>
          <w:rFonts w:eastAsia="Calibri" w:cs="Times New Roman"/>
          <w:kern w:val="2"/>
          <w:szCs w:val="24"/>
          <w14:ligatures w14:val="standardContextual"/>
        </w:rPr>
        <w:t xml:space="preserve">. </w:t>
      </w:r>
      <w:r w:rsidR="0084199B" w:rsidRPr="000A40E6">
        <w:rPr>
          <w:rFonts w:cs="Times New Roman"/>
          <w:szCs w:val="24"/>
        </w:rPr>
        <w:t>Bu i</w:t>
      </w:r>
      <w:r w:rsidRPr="000A40E6">
        <w:rPr>
          <w:rFonts w:cs="Times New Roman"/>
          <w:szCs w:val="24"/>
        </w:rPr>
        <w:t>nflamatuar mediatörlerin seviyelerinin izlenmesi, invaziv olmayan, kolay ve nispeten hızlı bir yöntemdir ve ortodontik veya ortopedik tedavi sırasında periodontal dokularda meydana gelen remodelingin derecesini belirlemeye yardımcı olabilir. Ayrıca, bu bilgi klinisyene ortodontik veya ortopedik retansiyon için uygun zaman konusunda</w:t>
      </w:r>
      <w:r w:rsidR="0097752A" w:rsidRPr="000A40E6">
        <w:rPr>
          <w:rFonts w:cs="Times New Roman"/>
          <w:szCs w:val="24"/>
        </w:rPr>
        <w:t xml:space="preserve"> da</w:t>
      </w:r>
      <w:r w:rsidRPr="000A40E6">
        <w:rPr>
          <w:rFonts w:cs="Times New Roman"/>
          <w:szCs w:val="24"/>
        </w:rPr>
        <w:t xml:space="preserve"> yol gösterebilir (Tzannetou ve diğerleri, 2008).</w:t>
      </w:r>
    </w:p>
    <w:p w14:paraId="509629FB" w14:textId="2C3CB6EE" w:rsidR="005D779D" w:rsidRPr="000A40E6" w:rsidRDefault="005D779D" w:rsidP="00F756C3">
      <w:pPr>
        <w:suppressAutoHyphens/>
        <w:spacing w:after="120"/>
        <w:rPr>
          <w:rFonts w:cs="Times New Roman"/>
          <w:szCs w:val="24"/>
        </w:rPr>
      </w:pPr>
      <w:r w:rsidRPr="000A40E6">
        <w:rPr>
          <w:rFonts w:eastAsia="Calibri" w:cs="Times New Roman"/>
          <w:kern w:val="2"/>
          <w:szCs w:val="24"/>
          <w14:ligatures w14:val="standardContextual"/>
        </w:rPr>
        <w:t>TNF-α, nötrofillerin fagositik kabiliyetini arttırırken</w:t>
      </w:r>
      <w:r w:rsidRPr="000A40E6">
        <w:rPr>
          <w:rFonts w:cs="Times New Roman"/>
          <w:szCs w:val="24"/>
        </w:rPr>
        <w:t>,</w:t>
      </w:r>
      <w:r w:rsidR="00CC1CA5" w:rsidRPr="000A40E6">
        <w:rPr>
          <w:rFonts w:eastAsia="Calibri" w:cs="Times New Roman"/>
          <w:kern w:val="2"/>
          <w:szCs w:val="24"/>
          <w14:ligatures w14:val="standardContextual"/>
        </w:rPr>
        <w:t xml:space="preserve"> i</w:t>
      </w:r>
      <w:r w:rsidRPr="000A40E6">
        <w:rPr>
          <w:rFonts w:eastAsia="Calibri" w:cs="Times New Roman"/>
          <w:kern w:val="2"/>
          <w:szCs w:val="24"/>
          <w14:ligatures w14:val="standardContextual"/>
        </w:rPr>
        <w:t xml:space="preserve">nflamatuar yanıtı </w:t>
      </w:r>
      <w:r w:rsidR="00592A9E" w:rsidRPr="000A40E6">
        <w:rPr>
          <w:rFonts w:eastAsia="Calibri" w:cs="Times New Roman"/>
          <w:kern w:val="2"/>
          <w:szCs w:val="24"/>
          <w14:ligatures w14:val="standardContextual"/>
        </w:rPr>
        <w:t>uyarabilir</w:t>
      </w:r>
      <w:r w:rsidR="000A3553" w:rsidRPr="000A40E6">
        <w:rPr>
          <w:rFonts w:eastAsia="Calibri" w:cs="Times New Roman"/>
          <w:kern w:val="2"/>
          <w:szCs w:val="24"/>
          <w14:ligatures w14:val="standardContextual"/>
        </w:rPr>
        <w:t xml:space="preserve">. Ayrıca </w:t>
      </w:r>
      <w:r w:rsidRPr="000A40E6">
        <w:rPr>
          <w:rFonts w:eastAsia="Calibri" w:cs="Times New Roman"/>
          <w:kern w:val="2"/>
          <w:szCs w:val="24"/>
          <w14:ligatures w14:val="standardContextual"/>
        </w:rPr>
        <w:t>osteoklastların aktivitesini arttırarak bağ dokusu hasarına yol açar ve oral doku onarımını etkiler (</w:t>
      </w:r>
      <w:r w:rsidR="004B5B35" w:rsidRPr="000A40E6">
        <w:rPr>
          <w:rFonts w:cs="Times New Roman"/>
          <w:szCs w:val="24"/>
        </w:rPr>
        <w:t xml:space="preserve">Okunnu ve Berg, 2019; </w:t>
      </w:r>
      <w:r w:rsidRPr="000A40E6">
        <w:rPr>
          <w:rFonts w:cs="Times New Roman"/>
          <w:szCs w:val="24"/>
        </w:rPr>
        <w:t>Wright</w:t>
      </w:r>
      <w:r w:rsidR="004B5B35" w:rsidRPr="000A40E6">
        <w:rPr>
          <w:rFonts w:eastAsia="Calibri" w:cs="Times New Roman"/>
          <w:kern w:val="2"/>
          <w:szCs w:val="24"/>
          <w14:ligatures w14:val="standardContextual"/>
        </w:rPr>
        <w:t xml:space="preserve"> ve diğerleri, 2017</w:t>
      </w:r>
      <w:r w:rsidRPr="000A40E6">
        <w:rPr>
          <w:rFonts w:cs="Times New Roman"/>
          <w:szCs w:val="24"/>
        </w:rPr>
        <w:t>). IL-1, IL-6 ve TNF-α osteoblastlarda ve osteositlerde kemik yapım sinyallerine yanıt olarak üretilir ve kemiğin remodelinginde önemli bir rol oynar (Tan ve diğerleri, 2006). Bu sitokinler, osteoklast öncüllerinin farklılaşmasına ve o</w:t>
      </w:r>
      <w:r w:rsidR="007577B7" w:rsidRPr="000A40E6">
        <w:rPr>
          <w:rFonts w:cs="Times New Roman"/>
          <w:szCs w:val="24"/>
        </w:rPr>
        <w:t xml:space="preserve">steoklast aktivitesine yol açarak </w:t>
      </w:r>
      <w:r w:rsidRPr="000A40E6">
        <w:rPr>
          <w:rFonts w:cs="Times New Roman"/>
          <w:szCs w:val="24"/>
        </w:rPr>
        <w:t>kemik rezorpsiyonuna neden olur (Garrett ve diğerleri, 1990). TNF-</w:t>
      </w:r>
      <w:r w:rsidRPr="000A40E6">
        <w:rPr>
          <w:rFonts w:eastAsia="Calibri" w:cs="Times New Roman"/>
          <w:kern w:val="2"/>
          <w:szCs w:val="24"/>
          <w14:ligatures w14:val="standardContextual"/>
        </w:rPr>
        <w:t>α</w:t>
      </w:r>
      <w:r w:rsidR="0032109C" w:rsidRPr="000A40E6">
        <w:rPr>
          <w:rFonts w:cs="Times New Roman"/>
          <w:szCs w:val="24"/>
        </w:rPr>
        <w:t xml:space="preserve"> gibi i</w:t>
      </w:r>
      <w:r w:rsidRPr="000A40E6">
        <w:rPr>
          <w:rFonts w:cs="Times New Roman"/>
          <w:szCs w:val="24"/>
        </w:rPr>
        <w:t>nflamatuar sitokinler, osteoklastogenez ve MMP ekspresyonunun pozitif düze</w:t>
      </w:r>
      <w:r w:rsidR="00DD3069" w:rsidRPr="000A40E6">
        <w:rPr>
          <w:rFonts w:cs="Times New Roman"/>
          <w:szCs w:val="24"/>
        </w:rPr>
        <w:t>nleyicileri olarak işlev görür ve</w:t>
      </w:r>
      <w:r w:rsidRPr="000A40E6">
        <w:rPr>
          <w:rFonts w:cs="Times New Roman"/>
          <w:szCs w:val="24"/>
        </w:rPr>
        <w:t xml:space="preserve"> baskın bir katabolik etki gösterir (Kobayashi ve diğerleri, 2000). Aynı zamanda osteositler için apoptotik bir faktördür ve aynı anda osteoblastları inhibe ederken, periodontal ligament basıncına maruz kalan taraftaki kemiği rezorbe etmek için osteoklast salınımında sinyal olabilir (Alhadlaq ve Patil, 2015). Ortodontik diş hareketi sırasın</w:t>
      </w:r>
      <w:r w:rsidR="00947EC0" w:rsidRPr="000A40E6">
        <w:rPr>
          <w:rFonts w:cs="Times New Roman"/>
          <w:szCs w:val="24"/>
        </w:rPr>
        <w:t>da diş eti oluğu sıvısında TNF-</w:t>
      </w:r>
      <w:r w:rsidRPr="000A40E6">
        <w:rPr>
          <w:rFonts w:cs="Times New Roman"/>
          <w:szCs w:val="24"/>
        </w:rPr>
        <w:t>α  seviyesi artar ve basınç bölgesinde kemik rezorpsiyonunu indükler (Kojima ve diğerleri, 2013).</w:t>
      </w:r>
    </w:p>
    <w:p w14:paraId="2BD556EE" w14:textId="3042853B" w:rsidR="005D779D" w:rsidRPr="000A40E6" w:rsidRDefault="00457282" w:rsidP="00F756C3">
      <w:pPr>
        <w:suppressAutoHyphens/>
        <w:spacing w:after="120"/>
        <w:rPr>
          <w:rFonts w:cs="Times New Roman"/>
          <w:szCs w:val="24"/>
        </w:rPr>
      </w:pPr>
      <w:r w:rsidRPr="000A40E6">
        <w:rPr>
          <w:rFonts w:cs="Times New Roman"/>
          <w:szCs w:val="24"/>
        </w:rPr>
        <w:t>Bas</w:t>
      </w:r>
      <w:r w:rsidR="005D779D" w:rsidRPr="000A40E6">
        <w:rPr>
          <w:rFonts w:cs="Times New Roman"/>
          <w:szCs w:val="24"/>
        </w:rPr>
        <w:t>aran ve diğerleri</w:t>
      </w:r>
      <w:r w:rsidR="00B036BE" w:rsidRPr="000A40E6">
        <w:rPr>
          <w:rFonts w:cs="Times New Roman"/>
          <w:szCs w:val="24"/>
        </w:rPr>
        <w:t xml:space="preserve"> (2006</w:t>
      </w:r>
      <w:r w:rsidRPr="000A40E6">
        <w:rPr>
          <w:rFonts w:cs="Times New Roman"/>
          <w:szCs w:val="24"/>
        </w:rPr>
        <w:t>b</w:t>
      </w:r>
      <w:r w:rsidR="00B036BE" w:rsidRPr="000A40E6">
        <w:rPr>
          <w:rFonts w:cs="Times New Roman"/>
          <w:szCs w:val="24"/>
        </w:rPr>
        <w:t xml:space="preserve">), 16-19 yaş aralığındaki </w:t>
      </w:r>
      <w:r w:rsidR="005D779D" w:rsidRPr="000A40E6">
        <w:rPr>
          <w:rFonts w:cs="Times New Roman"/>
          <w:szCs w:val="24"/>
        </w:rPr>
        <w:t>çocu</w:t>
      </w:r>
      <w:r w:rsidR="009C1967" w:rsidRPr="000A40E6">
        <w:rPr>
          <w:rFonts w:cs="Times New Roman"/>
          <w:szCs w:val="24"/>
        </w:rPr>
        <w:t>klarda molar distalizasyonu sonrası</w:t>
      </w:r>
      <w:r w:rsidR="005D779D" w:rsidRPr="000A40E6">
        <w:rPr>
          <w:rFonts w:cs="Times New Roman"/>
          <w:szCs w:val="24"/>
        </w:rPr>
        <w:t>, TNF-</w:t>
      </w:r>
      <w:r w:rsidR="005D779D" w:rsidRPr="000A40E6">
        <w:rPr>
          <w:rFonts w:ascii="Cambria Math" w:hAnsi="Cambria Math" w:cs="Cambria Math"/>
          <w:szCs w:val="24"/>
        </w:rPr>
        <w:t>𝛼</w:t>
      </w:r>
      <w:r w:rsidR="005D779D" w:rsidRPr="000A40E6">
        <w:rPr>
          <w:rFonts w:cs="Times New Roman"/>
          <w:szCs w:val="24"/>
        </w:rPr>
        <w:t xml:space="preserve"> ve IL-1</w:t>
      </w:r>
      <w:r w:rsidR="005D779D" w:rsidRPr="000A40E6">
        <w:rPr>
          <w:rFonts w:ascii="Cambria Math" w:hAnsi="Cambria Math" w:cs="Cambria Math"/>
          <w:szCs w:val="24"/>
        </w:rPr>
        <w:t>𝛽</w:t>
      </w:r>
      <w:r w:rsidR="005D779D" w:rsidRPr="000A40E6">
        <w:rPr>
          <w:rFonts w:cs="Times New Roman"/>
          <w:szCs w:val="24"/>
        </w:rPr>
        <w:t xml:space="preserve"> seviyelerin</w:t>
      </w:r>
      <w:r w:rsidR="00DA77C6" w:rsidRPr="000A40E6">
        <w:rPr>
          <w:rFonts w:cs="Times New Roman"/>
          <w:szCs w:val="24"/>
        </w:rPr>
        <w:t>de artış olduğunu gözlemlemişlerdir</w:t>
      </w:r>
      <w:r w:rsidR="005D779D" w:rsidRPr="000A40E6">
        <w:rPr>
          <w:rFonts w:cs="Times New Roman"/>
          <w:szCs w:val="24"/>
        </w:rPr>
        <w:t>. L</w:t>
      </w:r>
      <w:r w:rsidR="00B036BE" w:rsidRPr="000A40E6">
        <w:rPr>
          <w:rFonts w:cs="Times New Roman"/>
          <w:szCs w:val="24"/>
        </w:rPr>
        <w:t xml:space="preserve">owney ve diğerleri (1995), </w:t>
      </w:r>
      <w:r w:rsidR="005D779D" w:rsidRPr="000A40E6">
        <w:rPr>
          <w:rFonts w:cs="Times New Roman"/>
          <w:szCs w:val="24"/>
        </w:rPr>
        <w:t>TNF-</w:t>
      </w:r>
      <w:r w:rsidR="005D779D" w:rsidRPr="000A40E6">
        <w:rPr>
          <w:rFonts w:ascii="Cambria Math" w:hAnsi="Cambria Math" w:cs="Cambria Math"/>
          <w:szCs w:val="24"/>
        </w:rPr>
        <w:t>𝛼</w:t>
      </w:r>
      <w:r w:rsidR="00B036BE" w:rsidRPr="000A40E6">
        <w:rPr>
          <w:rFonts w:cs="Times New Roman"/>
          <w:szCs w:val="24"/>
        </w:rPr>
        <w:t xml:space="preserve"> ekspresyonunu </w:t>
      </w:r>
      <w:r w:rsidR="005D779D" w:rsidRPr="000A40E6">
        <w:rPr>
          <w:rFonts w:cs="Times New Roman"/>
          <w:szCs w:val="24"/>
        </w:rPr>
        <w:t xml:space="preserve">incelemiş ve ortodontik tedavi sırasında </w:t>
      </w:r>
      <w:r w:rsidR="00B036BE" w:rsidRPr="000A40E6">
        <w:rPr>
          <w:rFonts w:cs="Times New Roman"/>
          <w:szCs w:val="24"/>
        </w:rPr>
        <w:t>TNF-</w:t>
      </w:r>
      <w:r w:rsidR="00B036BE" w:rsidRPr="000A40E6">
        <w:rPr>
          <w:rFonts w:ascii="Cambria Math" w:hAnsi="Cambria Math" w:cs="Cambria Math"/>
          <w:szCs w:val="24"/>
        </w:rPr>
        <w:t>𝛼</w:t>
      </w:r>
      <w:r w:rsidR="00B036BE" w:rsidRPr="000A40E6">
        <w:rPr>
          <w:rFonts w:cs="Times New Roman"/>
          <w:szCs w:val="24"/>
        </w:rPr>
        <w:t xml:space="preserve"> seviyesinde </w:t>
      </w:r>
      <w:r w:rsidR="005D779D" w:rsidRPr="000A40E6">
        <w:rPr>
          <w:rFonts w:cs="Times New Roman"/>
          <w:szCs w:val="24"/>
        </w:rPr>
        <w:t>bir artış bulmuşlardır. Grant ve diğerleri (2013) tarafından yapılan çalışmada, ortodontik kuvvet uygulamasından 4 saat sonra g</w:t>
      </w:r>
      <w:r w:rsidR="00A45E3D" w:rsidRPr="000A40E6">
        <w:rPr>
          <w:rFonts w:cs="Times New Roman"/>
          <w:szCs w:val="24"/>
        </w:rPr>
        <w:t>erilim tarafındaki IL-6 ve TNF-</w:t>
      </w:r>
      <w:r w:rsidR="005D779D" w:rsidRPr="000A40E6">
        <w:rPr>
          <w:rFonts w:cs="Times New Roman"/>
          <w:szCs w:val="24"/>
        </w:rPr>
        <w:t>α s</w:t>
      </w:r>
      <w:r w:rsidR="002B59D7" w:rsidRPr="000A40E6">
        <w:rPr>
          <w:rFonts w:cs="Times New Roman"/>
          <w:szCs w:val="24"/>
        </w:rPr>
        <w:t xml:space="preserve">eviyesi, basınç tarafındakinden </w:t>
      </w:r>
      <w:r w:rsidR="005D779D" w:rsidRPr="000A40E6">
        <w:rPr>
          <w:rFonts w:cs="Times New Roman"/>
          <w:szCs w:val="24"/>
        </w:rPr>
        <w:t>daha yüksek bulunmuştur. Ren ve diğerler</w:t>
      </w:r>
      <w:r w:rsidR="000800E9" w:rsidRPr="000A40E6">
        <w:rPr>
          <w:rFonts w:cs="Times New Roman"/>
          <w:szCs w:val="24"/>
        </w:rPr>
        <w:t xml:space="preserve">i </w:t>
      </w:r>
      <w:r w:rsidR="005D779D" w:rsidRPr="000A40E6">
        <w:rPr>
          <w:rFonts w:cs="Times New Roman"/>
          <w:szCs w:val="24"/>
        </w:rPr>
        <w:t>(2007)</w:t>
      </w:r>
      <w:r w:rsidR="000800E9" w:rsidRPr="000A40E6">
        <w:rPr>
          <w:rFonts w:cs="Times New Roman"/>
          <w:szCs w:val="24"/>
        </w:rPr>
        <w:t>’nin</w:t>
      </w:r>
      <w:r w:rsidR="005D779D" w:rsidRPr="000A40E6">
        <w:rPr>
          <w:rFonts w:cs="Times New Roman"/>
          <w:szCs w:val="24"/>
        </w:rPr>
        <w:t>, ortodontik diş hareketi sırasında kısa ve uzun süreli</w:t>
      </w:r>
      <w:r w:rsidR="008E4A6D" w:rsidRPr="000A40E6">
        <w:rPr>
          <w:rFonts w:cs="Times New Roman"/>
          <w:szCs w:val="24"/>
        </w:rPr>
        <w:t xml:space="preserve"> olarak </w:t>
      </w:r>
      <w:r w:rsidR="00F24CA3" w:rsidRPr="000A40E6">
        <w:rPr>
          <w:rFonts w:cs="Times New Roman"/>
          <w:szCs w:val="24"/>
        </w:rPr>
        <w:t>DOS’t</w:t>
      </w:r>
      <w:r w:rsidR="00A45E3D" w:rsidRPr="000A40E6">
        <w:rPr>
          <w:rFonts w:cs="Times New Roman"/>
          <w:szCs w:val="24"/>
        </w:rPr>
        <w:t xml:space="preserve">aki sitokin düzeylerini </w:t>
      </w:r>
      <w:r w:rsidR="005D779D" w:rsidRPr="000A40E6">
        <w:rPr>
          <w:rFonts w:cs="Times New Roman"/>
          <w:szCs w:val="24"/>
        </w:rPr>
        <w:t>değerlendirdikleri çalışmada, IL-6 ve TNF-</w:t>
      </w:r>
      <w:r w:rsidR="005D779D" w:rsidRPr="000A40E6">
        <w:rPr>
          <w:rFonts w:eastAsia="Calibri" w:cs="Times New Roman"/>
          <w:kern w:val="2"/>
          <w:szCs w:val="24"/>
          <w14:ligatures w14:val="standardContextual"/>
        </w:rPr>
        <w:t xml:space="preserve"> α</w:t>
      </w:r>
      <w:r w:rsidR="005D779D" w:rsidRPr="000A40E6">
        <w:rPr>
          <w:rFonts w:cs="Times New Roman"/>
          <w:szCs w:val="24"/>
        </w:rPr>
        <w:t xml:space="preserve"> seviyesinin 24 saatte önemli ölçüde arttığını ve ortodontik diş hareketinin lineer fazında bu sitokinlerin </w:t>
      </w:r>
      <w:proofErr w:type="gramStart"/>
      <w:r w:rsidR="005D779D" w:rsidRPr="000A40E6">
        <w:rPr>
          <w:rFonts w:cs="Times New Roman"/>
          <w:szCs w:val="24"/>
        </w:rPr>
        <w:t>konsantrasyonunun</w:t>
      </w:r>
      <w:proofErr w:type="gramEnd"/>
      <w:r w:rsidR="005D779D" w:rsidRPr="000A40E6">
        <w:rPr>
          <w:rFonts w:cs="Times New Roman"/>
          <w:szCs w:val="24"/>
        </w:rPr>
        <w:t xml:space="preserve"> neredeyse başlangıç düzeyine düştüğünü</w:t>
      </w:r>
      <w:r w:rsidR="002833D4" w:rsidRPr="000A40E6">
        <w:rPr>
          <w:rFonts w:cs="Times New Roman"/>
          <w:szCs w:val="24"/>
        </w:rPr>
        <w:t xml:space="preserve"> belirtmişlerdir. </w:t>
      </w:r>
      <w:proofErr w:type="gramStart"/>
      <w:r w:rsidR="005D779D" w:rsidRPr="000A40E6">
        <w:rPr>
          <w:rFonts w:cs="Times New Roman"/>
          <w:szCs w:val="24"/>
        </w:rPr>
        <w:t>Kesintili kuvvet uygulaması 1. saat (Karacay ve diğerleri, 2007) ve 24. saat (Ren ve diğerleri, 2007; Uematsu ve diğerleri, 1996) sonunda TNF-α düzeylerinde artışa neden olurken, sürekli kuvvet uygulaması 24. saat (Alikhani ve diğerleri, 2013;  Kaya ve diğe</w:t>
      </w:r>
      <w:r w:rsidR="00B910D7" w:rsidRPr="000A40E6">
        <w:rPr>
          <w:rFonts w:cs="Times New Roman"/>
          <w:szCs w:val="24"/>
        </w:rPr>
        <w:t>rleri, 2011) veya 4. saat ile</w:t>
      </w:r>
      <w:r w:rsidR="005D779D" w:rsidRPr="000A40E6">
        <w:rPr>
          <w:rFonts w:cs="Times New Roman"/>
          <w:szCs w:val="24"/>
        </w:rPr>
        <w:t xml:space="preserve"> 42. günde TNF-α düzeylerinde artışa neden olmuştur (Grant ve diğerleri, 2013).</w:t>
      </w:r>
      <w:proofErr w:type="gramEnd"/>
    </w:p>
    <w:p w14:paraId="312C4274" w14:textId="02FDE7D4" w:rsidR="00061E00" w:rsidRPr="000A40E6" w:rsidRDefault="005D779D" w:rsidP="00F756C3">
      <w:pPr>
        <w:suppressAutoHyphens/>
        <w:spacing w:after="120"/>
        <w:rPr>
          <w:rFonts w:eastAsia="Calibri" w:cs="Times New Roman"/>
          <w:kern w:val="2"/>
          <w:szCs w:val="24"/>
          <w14:ligatures w14:val="standardContextual"/>
        </w:rPr>
      </w:pPr>
      <w:r w:rsidRPr="000A40E6">
        <w:rPr>
          <w:rFonts w:cs="Times New Roman"/>
          <w:szCs w:val="24"/>
        </w:rPr>
        <w:t>Tang ve diğerleri (2021) yaptığı çalışmada, adolesan dönemde RME tedavisi gören hastaların TNF-α seviyelerinde kademeli olarak artış saptamıştır. TNF-α seviyesi 24. saatte yükselmey</w:t>
      </w:r>
      <w:r w:rsidR="002E0236" w:rsidRPr="000A40E6">
        <w:rPr>
          <w:rFonts w:cs="Times New Roman"/>
          <w:szCs w:val="24"/>
        </w:rPr>
        <w:t>e başlayıp, 1. haftanın sonunda</w:t>
      </w:r>
      <w:r w:rsidR="00CC3D43" w:rsidRPr="000A40E6">
        <w:rPr>
          <w:rFonts w:cs="Times New Roman"/>
          <w:szCs w:val="24"/>
        </w:rPr>
        <w:t xml:space="preserve"> maksimum seviyeye</w:t>
      </w:r>
      <w:r w:rsidRPr="000A40E6">
        <w:rPr>
          <w:rFonts w:cs="Times New Roman"/>
          <w:szCs w:val="24"/>
        </w:rPr>
        <w:t xml:space="preserve"> ulaşmıştır. 1 </w:t>
      </w:r>
      <w:proofErr w:type="gramStart"/>
      <w:r w:rsidRPr="000A40E6">
        <w:rPr>
          <w:rFonts w:cs="Times New Roman"/>
          <w:szCs w:val="24"/>
        </w:rPr>
        <w:t xml:space="preserve">haftalık </w:t>
      </w:r>
      <w:r w:rsidR="00A86853" w:rsidRPr="000A40E6">
        <w:rPr>
          <w:rFonts w:cs="Times New Roman"/>
          <w:szCs w:val="24"/>
        </w:rPr>
        <w:t xml:space="preserve"> aktif</w:t>
      </w:r>
      <w:proofErr w:type="gramEnd"/>
      <w:r w:rsidR="00A86853" w:rsidRPr="000A40E6">
        <w:rPr>
          <w:rFonts w:cs="Times New Roman"/>
          <w:szCs w:val="24"/>
        </w:rPr>
        <w:t xml:space="preserve"> </w:t>
      </w:r>
      <w:r w:rsidRPr="000A40E6">
        <w:rPr>
          <w:rFonts w:cs="Times New Roman"/>
          <w:szCs w:val="24"/>
        </w:rPr>
        <w:t>RME tedavisi</w:t>
      </w:r>
      <w:r w:rsidR="00BF2869" w:rsidRPr="000A40E6">
        <w:rPr>
          <w:rFonts w:cs="Times New Roman"/>
          <w:szCs w:val="24"/>
        </w:rPr>
        <w:t>ni</w:t>
      </w:r>
      <w:r w:rsidR="00D65E9C" w:rsidRPr="000A40E6">
        <w:rPr>
          <w:rFonts w:cs="Times New Roman"/>
          <w:szCs w:val="24"/>
        </w:rPr>
        <w:t xml:space="preserve"> takip eden 1</w:t>
      </w:r>
      <w:r w:rsidR="00A86853" w:rsidRPr="000A40E6">
        <w:rPr>
          <w:rFonts w:cs="Times New Roman"/>
          <w:szCs w:val="24"/>
        </w:rPr>
        <w:t>.</w:t>
      </w:r>
      <w:r w:rsidRPr="000A40E6">
        <w:rPr>
          <w:rFonts w:cs="Times New Roman"/>
          <w:szCs w:val="24"/>
        </w:rPr>
        <w:t xml:space="preserve"> </w:t>
      </w:r>
      <w:r w:rsidR="00D65E9C" w:rsidRPr="000A40E6">
        <w:rPr>
          <w:rFonts w:cs="Times New Roman"/>
          <w:szCs w:val="24"/>
        </w:rPr>
        <w:t>4</w:t>
      </w:r>
      <w:r w:rsidR="00A86853" w:rsidRPr="000A40E6">
        <w:rPr>
          <w:rFonts w:cs="Times New Roman"/>
          <w:szCs w:val="24"/>
        </w:rPr>
        <w:t>.</w:t>
      </w:r>
      <w:r w:rsidR="00D65E9C" w:rsidRPr="000A40E6">
        <w:rPr>
          <w:rFonts w:cs="Times New Roman"/>
          <w:szCs w:val="24"/>
        </w:rPr>
        <w:t xml:space="preserve"> ve 7</w:t>
      </w:r>
      <w:r w:rsidR="00A86853" w:rsidRPr="000A40E6">
        <w:rPr>
          <w:rFonts w:cs="Times New Roman"/>
          <w:szCs w:val="24"/>
        </w:rPr>
        <w:t>. haftadaki</w:t>
      </w:r>
      <w:r w:rsidRPr="000A40E6">
        <w:rPr>
          <w:rFonts w:cs="Times New Roman"/>
          <w:szCs w:val="24"/>
        </w:rPr>
        <w:t xml:space="preserve"> retansiyon dönemlerinde kademeli olarak düşmüştür.</w:t>
      </w:r>
      <w:r w:rsidR="00325163" w:rsidRPr="000A40E6">
        <w:rPr>
          <w:rFonts w:cs="Times New Roman"/>
          <w:szCs w:val="24"/>
        </w:rPr>
        <w:t xml:space="preserve"> Ancak </w:t>
      </w:r>
      <w:r w:rsidRPr="000A40E6">
        <w:rPr>
          <w:rFonts w:cs="Times New Roman"/>
          <w:szCs w:val="24"/>
        </w:rPr>
        <w:t xml:space="preserve">başlangıç seviyesinden önemli ölçüde yüksek bulunmuştur. Bizim çalışmamızda </w:t>
      </w:r>
      <w:r w:rsidRPr="000A40E6">
        <w:rPr>
          <w:rFonts w:eastAsia="Calibri" w:cs="Times New Roman"/>
          <w:kern w:val="2"/>
          <w:szCs w:val="24"/>
          <w14:ligatures w14:val="standardContextual"/>
        </w:rPr>
        <w:t xml:space="preserve">bukkal ve palatinal bölgeler için TNF-α </w:t>
      </w:r>
      <w:r w:rsidR="004C2DA9" w:rsidRPr="000A40E6">
        <w:rPr>
          <w:rFonts w:eastAsia="Calibri" w:cs="Times New Roman"/>
          <w:kern w:val="2"/>
          <w:szCs w:val="24"/>
          <w14:ligatures w14:val="standardContextual"/>
        </w:rPr>
        <w:t>ölçümlerinin zaman içinde</w:t>
      </w:r>
      <w:r w:rsidRPr="000A40E6">
        <w:rPr>
          <w:rFonts w:eastAsia="Calibri" w:cs="Times New Roman"/>
          <w:kern w:val="2"/>
          <w:szCs w:val="24"/>
          <w14:ligatures w14:val="standardContextual"/>
        </w:rPr>
        <w:t xml:space="preserve"> değişmediği görülmüştü</w:t>
      </w:r>
      <w:r w:rsidR="00B830DA" w:rsidRPr="000A40E6">
        <w:rPr>
          <w:rFonts w:eastAsia="Calibri" w:cs="Times New Roman"/>
          <w:kern w:val="2"/>
          <w:szCs w:val="24"/>
          <w14:ligatures w14:val="standardContextual"/>
        </w:rPr>
        <w:t>r</w:t>
      </w:r>
      <w:r w:rsidRPr="000A40E6">
        <w:rPr>
          <w:rFonts w:eastAsia="Calibri" w:cs="Times New Roman"/>
          <w:kern w:val="2"/>
          <w:szCs w:val="24"/>
          <w14:ligatures w14:val="standardContextual"/>
        </w:rPr>
        <w:t xml:space="preserve">. T0, T2 ve T3 zamanlarında palatinal bölgenin TNF-α düzeyi, bukkal bölgeye göre </w:t>
      </w:r>
      <w:r w:rsidR="00F31F2F" w:rsidRPr="000A40E6">
        <w:rPr>
          <w:rFonts w:eastAsia="Calibri" w:cs="Times New Roman"/>
          <w:kern w:val="2"/>
          <w:szCs w:val="24"/>
          <w14:ligatures w14:val="standardContextual"/>
        </w:rPr>
        <w:t xml:space="preserve">istatistiksel olarak </w:t>
      </w:r>
      <w:r w:rsidRPr="000A40E6">
        <w:rPr>
          <w:rFonts w:eastAsia="Calibri" w:cs="Times New Roman"/>
          <w:kern w:val="2"/>
          <w:szCs w:val="24"/>
          <w14:ligatures w14:val="standardContextual"/>
        </w:rPr>
        <w:t>anlaml</w:t>
      </w:r>
      <w:r w:rsidR="004C2DA9" w:rsidRPr="000A40E6">
        <w:rPr>
          <w:rFonts w:eastAsia="Calibri" w:cs="Times New Roman"/>
          <w:kern w:val="2"/>
          <w:szCs w:val="24"/>
          <w14:ligatures w14:val="standardContextual"/>
        </w:rPr>
        <w:t>ı düzeyde daha yüksektir</w:t>
      </w:r>
      <w:r w:rsidRPr="000A40E6">
        <w:rPr>
          <w:rFonts w:eastAsia="Calibri" w:cs="Times New Roman"/>
          <w:kern w:val="2"/>
          <w:szCs w:val="24"/>
          <w14:ligatures w14:val="standardContextual"/>
        </w:rPr>
        <w:t xml:space="preserve">. T1 zamanında ise bukkal ve palatinal bölgeler arasında TNF-α düzeyi bakımından istatistiksel olarak anlamlı </w:t>
      </w:r>
      <w:r w:rsidR="00E72FA0" w:rsidRPr="000A40E6">
        <w:rPr>
          <w:rFonts w:eastAsia="Calibri" w:cs="Times New Roman"/>
          <w:kern w:val="2"/>
          <w:szCs w:val="24"/>
          <w14:ligatures w14:val="standardContextual"/>
        </w:rPr>
        <w:t>bir fark görülmemiştir</w:t>
      </w:r>
      <w:r w:rsidR="00E81E9F" w:rsidRPr="000A40E6">
        <w:rPr>
          <w:rFonts w:eastAsia="Calibri" w:cs="Times New Roman"/>
          <w:kern w:val="2"/>
          <w:szCs w:val="24"/>
          <w14:ligatures w14:val="standardContextual"/>
        </w:rPr>
        <w:t xml:space="preserve">. </w:t>
      </w:r>
      <w:r w:rsidRPr="000A40E6">
        <w:rPr>
          <w:rFonts w:cs="Times New Roman"/>
          <w:szCs w:val="24"/>
        </w:rPr>
        <w:t xml:space="preserve">RME sırasında, inflamatuar maddelerin hasara neden olup ardından periodontal doku onarım sürecine </w:t>
      </w:r>
      <w:proofErr w:type="gramStart"/>
      <w:r w:rsidRPr="000A40E6">
        <w:rPr>
          <w:rFonts w:cs="Times New Roman"/>
          <w:szCs w:val="24"/>
        </w:rPr>
        <w:t>dahil</w:t>
      </w:r>
      <w:proofErr w:type="gramEnd"/>
      <w:r w:rsidRPr="000A40E6">
        <w:rPr>
          <w:rFonts w:cs="Times New Roman"/>
          <w:szCs w:val="24"/>
        </w:rPr>
        <w:t xml:space="preserve"> ol</w:t>
      </w:r>
      <w:r w:rsidR="00FE7C91" w:rsidRPr="000A40E6">
        <w:rPr>
          <w:rFonts w:cs="Times New Roman"/>
          <w:szCs w:val="24"/>
        </w:rPr>
        <w:t>duğu ve inflamatuar reaksiyonun</w:t>
      </w:r>
      <w:r w:rsidRPr="000A40E6">
        <w:rPr>
          <w:rFonts w:cs="Times New Roman"/>
          <w:szCs w:val="24"/>
        </w:rPr>
        <w:t xml:space="preserve"> diş eti oluğu s</w:t>
      </w:r>
      <w:r w:rsidR="00FE7C91" w:rsidRPr="000A40E6">
        <w:rPr>
          <w:rFonts w:cs="Times New Roman"/>
          <w:szCs w:val="24"/>
        </w:rPr>
        <w:t>ıvısındaki TNF-α artışına neden</w:t>
      </w:r>
      <w:r w:rsidR="00E81E9F" w:rsidRPr="000A40E6">
        <w:rPr>
          <w:rFonts w:cs="Times New Roman"/>
          <w:szCs w:val="24"/>
        </w:rPr>
        <w:t xml:space="preserve"> olduğu düşünülmektedir.</w:t>
      </w:r>
    </w:p>
    <w:p w14:paraId="1C7CB902" w14:textId="77777777" w:rsidR="008A2AC0" w:rsidRPr="000A40E6" w:rsidRDefault="008A2AC0" w:rsidP="00F756C3">
      <w:pPr>
        <w:suppressAutoHyphens/>
        <w:spacing w:after="120"/>
        <w:rPr>
          <w:rFonts w:cs="Times New Roman"/>
          <w:szCs w:val="24"/>
        </w:rPr>
      </w:pPr>
    </w:p>
    <w:p w14:paraId="6B7EC1D3" w14:textId="77777777" w:rsidR="008A2AC0" w:rsidRPr="000A40E6" w:rsidRDefault="008A2AC0" w:rsidP="00F756C3">
      <w:pPr>
        <w:suppressAutoHyphens/>
        <w:spacing w:after="120"/>
        <w:rPr>
          <w:rFonts w:eastAsia="Calibri" w:cs="Times New Roman"/>
          <w:kern w:val="2"/>
          <w:szCs w:val="24"/>
          <w14:ligatures w14:val="standardContextual"/>
        </w:rPr>
      </w:pPr>
    </w:p>
    <w:p w14:paraId="14C56868" w14:textId="77777777" w:rsidR="002675EF" w:rsidRPr="000A40E6" w:rsidRDefault="002675EF" w:rsidP="00F756C3">
      <w:pPr>
        <w:suppressAutoHyphens/>
        <w:spacing w:after="120"/>
        <w:rPr>
          <w:rFonts w:eastAsia="Calibri" w:cs="Times New Roman"/>
          <w:kern w:val="2"/>
          <w:szCs w:val="24"/>
          <w14:ligatures w14:val="standardContextual"/>
        </w:rPr>
      </w:pPr>
    </w:p>
    <w:p w14:paraId="4628C2E3" w14:textId="77777777" w:rsidR="00014C31" w:rsidRPr="000A40E6" w:rsidRDefault="00014C31" w:rsidP="00F756C3">
      <w:pPr>
        <w:suppressAutoHyphens/>
        <w:spacing w:after="120"/>
        <w:rPr>
          <w:rFonts w:eastAsia="Calibri" w:cs="Times New Roman"/>
          <w:kern w:val="2"/>
          <w:szCs w:val="24"/>
          <w14:ligatures w14:val="standardContextual"/>
        </w:rPr>
      </w:pPr>
    </w:p>
    <w:p w14:paraId="24C96844" w14:textId="77777777" w:rsidR="00014C31" w:rsidRPr="000A40E6" w:rsidRDefault="00014C31" w:rsidP="00F756C3">
      <w:pPr>
        <w:suppressAutoHyphens/>
        <w:spacing w:after="120"/>
        <w:rPr>
          <w:rFonts w:eastAsia="Calibri" w:cs="Times New Roman"/>
          <w:kern w:val="2"/>
          <w:szCs w:val="24"/>
          <w14:ligatures w14:val="standardContextual"/>
        </w:rPr>
      </w:pPr>
    </w:p>
    <w:p w14:paraId="5DB1BE76" w14:textId="77777777" w:rsidR="00014C31" w:rsidRPr="000A40E6" w:rsidRDefault="00014C31" w:rsidP="00F756C3">
      <w:pPr>
        <w:suppressAutoHyphens/>
        <w:spacing w:after="120"/>
        <w:rPr>
          <w:rFonts w:eastAsia="Calibri" w:cs="Times New Roman"/>
          <w:kern w:val="2"/>
          <w:szCs w:val="24"/>
          <w14:ligatures w14:val="standardContextual"/>
        </w:rPr>
      </w:pPr>
    </w:p>
    <w:p w14:paraId="06E492D5" w14:textId="77777777" w:rsidR="00014C31" w:rsidRPr="000A40E6" w:rsidRDefault="00014C31" w:rsidP="00F756C3">
      <w:pPr>
        <w:suppressAutoHyphens/>
        <w:spacing w:after="120"/>
        <w:rPr>
          <w:rFonts w:eastAsia="Calibri" w:cs="Times New Roman"/>
          <w:kern w:val="2"/>
          <w:szCs w:val="24"/>
          <w14:ligatures w14:val="standardContextual"/>
        </w:rPr>
      </w:pPr>
    </w:p>
    <w:p w14:paraId="09E1A051" w14:textId="77777777" w:rsidR="00014C31" w:rsidRPr="000A40E6" w:rsidRDefault="00014C31" w:rsidP="00F756C3">
      <w:pPr>
        <w:suppressAutoHyphens/>
        <w:spacing w:after="120"/>
        <w:rPr>
          <w:rFonts w:eastAsia="Calibri" w:cs="Times New Roman"/>
          <w:kern w:val="2"/>
          <w:szCs w:val="24"/>
          <w14:ligatures w14:val="standardContextual"/>
        </w:rPr>
      </w:pPr>
    </w:p>
    <w:p w14:paraId="2FCFF9FA" w14:textId="77777777" w:rsidR="00014C31" w:rsidRPr="000A40E6" w:rsidRDefault="00014C31" w:rsidP="00F756C3">
      <w:pPr>
        <w:suppressAutoHyphens/>
        <w:spacing w:after="120"/>
        <w:rPr>
          <w:rFonts w:eastAsia="Calibri" w:cs="Times New Roman"/>
          <w:kern w:val="2"/>
          <w:szCs w:val="24"/>
          <w14:ligatures w14:val="standardContextual"/>
        </w:rPr>
      </w:pPr>
    </w:p>
    <w:p w14:paraId="1CA4B6F1" w14:textId="3AB026A3" w:rsidR="00AC4D1E" w:rsidRPr="000A40E6" w:rsidRDefault="00AC4D1E" w:rsidP="00F756C3">
      <w:pPr>
        <w:suppressAutoHyphens/>
        <w:autoSpaceDE w:val="0"/>
        <w:autoSpaceDN w:val="0"/>
        <w:adjustRightInd w:val="0"/>
        <w:spacing w:after="120"/>
        <w:rPr>
          <w:rFonts w:eastAsia="Calibri" w:cs="Times New Roman"/>
          <w:kern w:val="2"/>
          <w:szCs w:val="24"/>
          <w14:ligatures w14:val="standardContextual"/>
        </w:rPr>
      </w:pPr>
    </w:p>
    <w:p w14:paraId="12C7138F" w14:textId="37C7172A" w:rsidR="00F301EB" w:rsidRPr="000A40E6" w:rsidRDefault="00F301EB" w:rsidP="00F756C3">
      <w:pPr>
        <w:suppressAutoHyphens/>
        <w:spacing w:after="200" w:line="276" w:lineRule="auto"/>
        <w:ind w:firstLine="0"/>
        <w:jc w:val="left"/>
        <w:rPr>
          <w:rFonts w:eastAsia="Calibri" w:cs="Times New Roman"/>
          <w:kern w:val="2"/>
          <w:szCs w:val="24"/>
          <w14:ligatures w14:val="standardContextual"/>
        </w:rPr>
      </w:pPr>
      <w:r w:rsidRPr="000A40E6">
        <w:rPr>
          <w:rFonts w:eastAsia="Calibri" w:cs="Times New Roman"/>
          <w:kern w:val="2"/>
          <w:szCs w:val="24"/>
          <w14:ligatures w14:val="standardContextual"/>
        </w:rPr>
        <w:br w:type="page"/>
      </w:r>
    </w:p>
    <w:p w14:paraId="1358571E" w14:textId="2A490389" w:rsidR="006B5976" w:rsidRPr="000A40E6" w:rsidRDefault="004C1D44" w:rsidP="00A3711B">
      <w:pPr>
        <w:suppressAutoHyphens/>
        <w:spacing w:after="120"/>
        <w:ind w:firstLine="0"/>
        <w:jc w:val="center"/>
        <w:rPr>
          <w:rFonts w:cs="Times New Roman"/>
          <w:b/>
          <w:sz w:val="28"/>
          <w:szCs w:val="24"/>
        </w:rPr>
      </w:pPr>
      <w:bookmarkStart w:id="149" w:name="_Toc136443434"/>
      <w:r w:rsidRPr="000A40E6">
        <w:rPr>
          <w:rFonts w:cs="Times New Roman"/>
          <w:b/>
          <w:sz w:val="28"/>
          <w:szCs w:val="24"/>
        </w:rPr>
        <w:t>6. SONUÇ VE ÖNERİLER</w:t>
      </w:r>
      <w:bookmarkEnd w:id="149"/>
    </w:p>
    <w:p w14:paraId="35113B8E" w14:textId="77777777" w:rsidR="00427B31" w:rsidRPr="000A40E6" w:rsidRDefault="00427B31" w:rsidP="00F756C3">
      <w:pPr>
        <w:suppressAutoHyphens/>
        <w:spacing w:after="120"/>
        <w:ind w:firstLine="0"/>
        <w:rPr>
          <w:rFonts w:cs="Times New Roman"/>
          <w:b/>
          <w:szCs w:val="24"/>
        </w:rPr>
      </w:pPr>
    </w:p>
    <w:p w14:paraId="364A52ED" w14:textId="77777777" w:rsidR="00427B31" w:rsidRPr="000A40E6" w:rsidRDefault="00427B31" w:rsidP="00F756C3">
      <w:pPr>
        <w:suppressAutoHyphens/>
        <w:spacing w:after="120"/>
        <w:ind w:firstLine="0"/>
        <w:rPr>
          <w:rFonts w:cs="Times New Roman"/>
          <w:b/>
          <w:szCs w:val="24"/>
        </w:rPr>
      </w:pPr>
    </w:p>
    <w:p w14:paraId="03009191" w14:textId="77777777" w:rsidR="00427B31" w:rsidRPr="000A40E6" w:rsidRDefault="00427B31" w:rsidP="00F756C3">
      <w:pPr>
        <w:suppressAutoHyphens/>
        <w:spacing w:after="120"/>
        <w:rPr>
          <w:rFonts w:eastAsia="Calibri" w:cs="Times New Roman"/>
          <w:szCs w:val="24"/>
        </w:rPr>
      </w:pPr>
      <w:r w:rsidRPr="000A40E6">
        <w:rPr>
          <w:rFonts w:eastAsia="Calibri" w:cs="Times New Roman"/>
          <w:szCs w:val="24"/>
        </w:rPr>
        <w:t>Pubertal dönemde maksiller ekspansiyon endikasyonu bulunan ve RME ile tedavi edilen hastalarda kemik remodelingini diş eti oluğu sıvısında inceleyen çalışmamızda aşağıdaki sonuçlar elde edilmiştir:</w:t>
      </w:r>
    </w:p>
    <w:p w14:paraId="47DD269E" w14:textId="77777777" w:rsidR="00427B31" w:rsidRPr="000A40E6" w:rsidRDefault="00427B31" w:rsidP="00F756C3">
      <w:pPr>
        <w:suppressAutoHyphens/>
        <w:spacing w:after="120"/>
        <w:rPr>
          <w:rFonts w:cs="Times New Roman"/>
          <w:szCs w:val="24"/>
        </w:rPr>
      </w:pPr>
      <w:r w:rsidRPr="000A40E6">
        <w:rPr>
          <w:rFonts w:eastAsia="Calibri" w:cs="Times New Roman"/>
          <w:kern w:val="2"/>
          <w:szCs w:val="24"/>
          <w14:ligatures w14:val="standardContextual"/>
        </w:rPr>
        <w:t>1.</w:t>
      </w:r>
      <w:r w:rsidRPr="000A40E6">
        <w:rPr>
          <w:rFonts w:cs="Times New Roman"/>
          <w:szCs w:val="24"/>
        </w:rPr>
        <w:t xml:space="preserve"> Çalışmamızda plak indeksi</w:t>
      </w:r>
      <w:r w:rsidRPr="000A40E6">
        <w:rPr>
          <w:rFonts w:eastAsia="Calibri" w:cs="Times New Roman"/>
          <w:kern w:val="2"/>
          <w:szCs w:val="24"/>
          <w14:ligatures w14:val="standardContextual"/>
        </w:rPr>
        <w:t>, gingival indeks ve sondlamada kanama ölçümleri zamana göre artış göstermiştir. Ancak T1 ile T2, T2 ile T3 zamanları arasında istatistiksel olarak anlamlı bir fark görülmemiştir. Bu ölçümler, T0 zamanında diğer zamanlara göre ve T1 zamanında T3’e göre istatistiksel olarak anlamlı düzeyde daha düşük elde edilmiştir. Plak indeksi ve gingival indeksin zamanla artışı periodontal dokuların sağlığını etkilemeyecek şekilde sağlıklı sınırlar içerisinde yer almaktadır</w:t>
      </w:r>
      <w:r w:rsidRPr="000A40E6">
        <w:rPr>
          <w:rFonts w:cs="Times New Roman"/>
          <w:szCs w:val="24"/>
        </w:rPr>
        <w:t>.</w:t>
      </w:r>
    </w:p>
    <w:p w14:paraId="0A1F450F" w14:textId="61B356C0" w:rsidR="00427B31" w:rsidRPr="000A40E6" w:rsidRDefault="00427B31" w:rsidP="00F756C3">
      <w:pPr>
        <w:suppressAutoHyphens/>
        <w:spacing w:after="120"/>
        <w:rPr>
          <w:rFonts w:eastAsia="Calibri" w:cs="Times New Roman"/>
          <w:strike/>
          <w:kern w:val="2"/>
          <w:szCs w:val="24"/>
          <w14:ligatures w14:val="standardContextual"/>
        </w:rPr>
      </w:pPr>
      <w:r w:rsidRPr="000A40E6">
        <w:rPr>
          <w:rFonts w:cs="Times New Roman"/>
          <w:szCs w:val="24"/>
        </w:rPr>
        <w:t xml:space="preserve">2. </w:t>
      </w:r>
      <w:r w:rsidRPr="000A40E6">
        <w:rPr>
          <w:rFonts w:eastAsia="Calibri" w:cs="Times New Roman"/>
          <w:kern w:val="2"/>
          <w:szCs w:val="24"/>
          <w14:ligatures w14:val="standardContextual"/>
        </w:rPr>
        <w:t>Çalışmamızda bukkal ve distal bölgenin cep derinliği ölçümlerinin zamana göre istatistiksel olarak anlamlı bir fark gösterdiği saptanmıştır. Bukkal ve distal bölgelerdeki cep derinliğinin T1 ve T2 anında T0’a göre istatistiksel olarak anlamlı olmasa da arttığı, T3 anında ise T1 ve T2 ile benzer düzeyde olup T0’a göre istatistiksel olarak anlamlı bir fark oluşturacak şekilde arttığı tespit edilmiştir.</w:t>
      </w:r>
    </w:p>
    <w:p w14:paraId="6CA909C4" w14:textId="3814006F" w:rsidR="00427B31" w:rsidRPr="000A40E6" w:rsidRDefault="00427B31" w:rsidP="00F756C3">
      <w:pPr>
        <w:suppressAutoHyphens/>
        <w:spacing w:after="120"/>
        <w:rPr>
          <w:rFonts w:eastAsia="Calibri" w:cs="Times New Roman"/>
          <w:strike/>
          <w:kern w:val="2"/>
          <w:szCs w:val="24"/>
          <w14:ligatures w14:val="standardContextual"/>
        </w:rPr>
      </w:pPr>
      <w:r w:rsidRPr="000A40E6">
        <w:rPr>
          <w:rFonts w:eastAsia="Calibri" w:cs="Times New Roman"/>
          <w:szCs w:val="24"/>
        </w:rPr>
        <w:t xml:space="preserve">3. </w:t>
      </w:r>
      <w:r w:rsidRPr="000A40E6">
        <w:rPr>
          <w:rFonts w:eastAsia="Calibri" w:cs="Times New Roman"/>
          <w:kern w:val="2"/>
          <w:szCs w:val="24"/>
          <w14:ligatures w14:val="standardContextual"/>
        </w:rPr>
        <w:t>Çalışmamızda bukkal bölgeden alınan DOS hacminin, T1 ve T2 zamanlarında istatistiksel olarak anlamlı düzeyde arttığı, T3 zamanında ise T2 zamanıyla benzer düzeyde kaldığı görülmüştür. Palatinal bölgeden alınan DOS hacminin ise T1 zamanında T0’a göre; T2 ve T3 zamanlarında T1’e göre istatistiksel olarak anlamlı olmasa da arttığı, fakat T2 ve T3 zamanlarında T0’a göre istatistiksel olarak anlamlı düzeyde daha yüksek olduğu tespit edilmiştir.</w:t>
      </w:r>
    </w:p>
    <w:p w14:paraId="2BE8A2AF" w14:textId="5E2E5D59" w:rsidR="00427B31" w:rsidRPr="000A40E6" w:rsidRDefault="00427B31" w:rsidP="00F756C3">
      <w:pPr>
        <w:suppressAutoHyphens/>
        <w:spacing w:after="120"/>
        <w:rPr>
          <w:rFonts w:eastAsia="Calibri" w:cs="Times New Roman"/>
          <w:strike/>
          <w:kern w:val="2"/>
          <w:szCs w:val="24"/>
          <w14:ligatures w14:val="standardContextual"/>
        </w:rPr>
      </w:pPr>
      <w:r w:rsidRPr="000A40E6">
        <w:rPr>
          <w:rFonts w:eastAsia="Calibri" w:cs="Times New Roman"/>
          <w:szCs w:val="24"/>
        </w:rPr>
        <w:t xml:space="preserve">4. </w:t>
      </w:r>
      <w:r w:rsidRPr="000A40E6">
        <w:rPr>
          <w:rFonts w:eastAsia="Calibri" w:cs="Times New Roman"/>
          <w:kern w:val="2"/>
          <w:szCs w:val="24"/>
          <w14:ligatures w14:val="standardContextual"/>
        </w:rPr>
        <w:t>Çalışmamızda DOS’taki BALP seviyesinin, gerilim ve basınç bölgelerinde zaman içinde değişmediği ve her bir zaman noktası için bölgeler arasında istatistiksel olarak anlamlı düzeyde bir fark olmadığı görülmüştür. Ancak,</w:t>
      </w:r>
      <w:r w:rsidR="005C3E2F" w:rsidRPr="000A40E6">
        <w:rPr>
          <w:rFonts w:eastAsia="Calibri" w:cs="Times New Roman"/>
          <w:kern w:val="2"/>
          <w:szCs w:val="24"/>
          <w14:ligatures w14:val="standardContextual"/>
        </w:rPr>
        <w:t xml:space="preserve"> palatinal bölgede</w:t>
      </w:r>
      <w:r w:rsidRPr="000A40E6">
        <w:rPr>
          <w:rFonts w:eastAsia="Calibri" w:cs="Times New Roman"/>
          <w:kern w:val="2"/>
          <w:szCs w:val="24"/>
          <w14:ligatures w14:val="standardContextual"/>
        </w:rPr>
        <w:t xml:space="preserve"> T1’e göre T2 ve T3 zamanları arasında istatistiksel olarak anlamlı olmasa da bir artış tespit edilmiştir.</w:t>
      </w:r>
    </w:p>
    <w:p w14:paraId="16B5DE6E" w14:textId="72617664" w:rsidR="00427B31" w:rsidRPr="000A40E6" w:rsidRDefault="00427B31"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5. Çalışmamızda T0 zamanında bukkal ve palatinal bölgeler arasında RANKL ölçümlerinde istatistiksel olarak anlamlı bir fark bulunmazken T1 zamanında bukkal bölgenin RANKL düzeyi, palatinal bölgeye göre anlamlı düzeyde daha yüksek tespit edilmiştir. T2 ve T3 zamanlarında ise her iki bölge arasında istatistiksel olarak anlamlı düzeyde bir fark olmadığı görülmüştür.</w:t>
      </w:r>
    </w:p>
    <w:p w14:paraId="5A22E70B" w14:textId="16A53BBF" w:rsidR="00427B31" w:rsidRPr="000A40E6" w:rsidRDefault="00427B31" w:rsidP="00F756C3">
      <w:pPr>
        <w:suppressAutoHyphens/>
        <w:spacing w:after="120"/>
        <w:rPr>
          <w:rFonts w:eastAsia="Calibri" w:cs="Times New Roman"/>
          <w:strike/>
          <w:kern w:val="2"/>
          <w:szCs w:val="24"/>
          <w14:ligatures w14:val="standardContextual"/>
        </w:rPr>
      </w:pPr>
      <w:r w:rsidRPr="000A40E6">
        <w:rPr>
          <w:rFonts w:eastAsia="Calibri" w:cs="Times New Roman"/>
          <w:kern w:val="2"/>
          <w:szCs w:val="24"/>
          <w14:ligatures w14:val="standardContextual"/>
        </w:rPr>
        <w:t xml:space="preserve">6. Çalışmamızda DOS’taki OPG seviyesinin, iki bölge için de zamanla değişmediği ve her bir zaman noktasında bölgeler arasında istatistiksel olarak anlamlı bir fark oluşmadığı tespit edilmiştir. Ancak,  </w:t>
      </w:r>
      <w:r w:rsidR="00F90069" w:rsidRPr="000A40E6">
        <w:rPr>
          <w:rFonts w:eastAsia="Calibri" w:cs="Times New Roman"/>
          <w:kern w:val="2"/>
          <w:szCs w:val="24"/>
          <w14:ligatures w14:val="standardContextual"/>
        </w:rPr>
        <w:t xml:space="preserve">zamanla her iki bölgede de </w:t>
      </w:r>
      <w:r w:rsidRPr="000A40E6">
        <w:rPr>
          <w:rFonts w:eastAsia="Calibri" w:cs="Times New Roman"/>
          <w:kern w:val="2"/>
          <w:szCs w:val="24"/>
          <w14:ligatures w14:val="standardContextual"/>
        </w:rPr>
        <w:t>istatistiksel olarak anlamlı olmasa da bir artış gözlenmiştir.</w:t>
      </w:r>
    </w:p>
    <w:p w14:paraId="08067CF9" w14:textId="2007D2E4" w:rsidR="00427B31" w:rsidRPr="000A40E6" w:rsidRDefault="00427B31" w:rsidP="00F756C3">
      <w:pPr>
        <w:suppressAutoHyphens/>
        <w:spacing w:after="120"/>
        <w:rPr>
          <w:rFonts w:eastAsia="Calibri" w:cs="Times New Roman"/>
          <w:kern w:val="2"/>
          <w:szCs w:val="24"/>
          <w14:ligatures w14:val="standardContextual"/>
        </w:rPr>
      </w:pPr>
      <w:r w:rsidRPr="000A40E6">
        <w:rPr>
          <w:rFonts w:eastAsia="Calibri" w:cs="Times New Roman"/>
          <w:kern w:val="2"/>
          <w:szCs w:val="24"/>
          <w14:ligatures w14:val="standardContextual"/>
        </w:rPr>
        <w:t xml:space="preserve">7. </w:t>
      </w:r>
      <w:r w:rsidRPr="000A40E6">
        <w:rPr>
          <w:rFonts w:cs="Times New Roman"/>
          <w:szCs w:val="24"/>
        </w:rPr>
        <w:t xml:space="preserve">Çalışmamızda </w:t>
      </w:r>
      <w:r w:rsidRPr="000A40E6">
        <w:rPr>
          <w:rFonts w:eastAsia="Calibri" w:cs="Times New Roman"/>
          <w:kern w:val="2"/>
          <w:szCs w:val="24"/>
          <w14:ligatures w14:val="standardContextual"/>
        </w:rPr>
        <w:t>bukkal ve palatinal bölgeler için TNF-α ölçümlerinin zaman içinde değişmediği görülmüştür. T0, T2 ve T3 zamanlarında palatinal bölgenin TNF-α düzeyi, bukkal bölgeye göre istatistiksel olarak anlamlı düzeyde daha yüksektir. T1 zamanında ise bukkal ve palatinal bölgeler arasında TNF-α düzeyi bakımından istatistiksel olarak anlamlı bir fark görülmemiştir.</w:t>
      </w:r>
    </w:p>
    <w:p w14:paraId="7BF5061D" w14:textId="67323258" w:rsidR="00427B31" w:rsidRPr="000A40E6" w:rsidRDefault="00427B31" w:rsidP="00F756C3">
      <w:pPr>
        <w:suppressAutoHyphens/>
        <w:spacing w:after="120"/>
        <w:rPr>
          <w:rFonts w:cs="Times New Roman"/>
          <w:szCs w:val="24"/>
        </w:rPr>
      </w:pPr>
      <w:r w:rsidRPr="000A40E6">
        <w:rPr>
          <w:rFonts w:cs="Times New Roman"/>
          <w:szCs w:val="24"/>
        </w:rPr>
        <w:t xml:space="preserve">Bu çalışmanın alternatif hipotezi olan ‘3 aylık ve 6 aylık retansiyon dönemleri ile RME’nin kemik metabolik aktiviteleri arasında bir </w:t>
      </w:r>
      <w:proofErr w:type="gramStart"/>
      <w:r w:rsidRPr="000A40E6">
        <w:rPr>
          <w:rFonts w:cs="Times New Roman"/>
          <w:szCs w:val="24"/>
        </w:rPr>
        <w:t>korelasyon</w:t>
      </w:r>
      <w:proofErr w:type="gramEnd"/>
      <w:r w:rsidRPr="000A40E6">
        <w:rPr>
          <w:rFonts w:cs="Times New Roman"/>
          <w:szCs w:val="24"/>
        </w:rPr>
        <w:t xml:space="preserve"> gözlenmektedir’ hipotezi reddedilmiştir. </w:t>
      </w:r>
      <w:r w:rsidRPr="000A40E6">
        <w:rPr>
          <w:rFonts w:eastAsia="Calibri" w:cs="Times New Roman"/>
          <w:kern w:val="2"/>
          <w:szCs w:val="24"/>
          <w14:ligatures w14:val="standardContextual"/>
        </w:rPr>
        <w:t xml:space="preserve">Başlangıç hipotezi olan </w:t>
      </w:r>
      <w:r w:rsidRPr="000A40E6">
        <w:rPr>
          <w:rFonts w:cs="Times New Roman"/>
          <w:szCs w:val="24"/>
        </w:rPr>
        <w:t xml:space="preserve">‘3 aylık ve 6 aylık retansiyon dönemleri ile RME’nin kemik metabolik aktiviteleri arasında bir </w:t>
      </w:r>
      <w:proofErr w:type="gramStart"/>
      <w:r w:rsidRPr="000A40E6">
        <w:rPr>
          <w:rFonts w:cs="Times New Roman"/>
          <w:szCs w:val="24"/>
        </w:rPr>
        <w:t>korelasyon</w:t>
      </w:r>
      <w:proofErr w:type="gramEnd"/>
      <w:r w:rsidRPr="000A40E6">
        <w:rPr>
          <w:rFonts w:cs="Times New Roman"/>
          <w:szCs w:val="24"/>
        </w:rPr>
        <w:t xml:space="preserve"> gözlenmemektedir’ hipotezi kabul edilmiştir.</w:t>
      </w:r>
    </w:p>
    <w:p w14:paraId="01F88671" w14:textId="0BC238AE" w:rsidR="00427B31" w:rsidRPr="000A40E6" w:rsidRDefault="00427B31" w:rsidP="00F756C3">
      <w:pPr>
        <w:suppressAutoHyphens/>
        <w:spacing w:after="120"/>
        <w:rPr>
          <w:rFonts w:cs="Times New Roman"/>
          <w:szCs w:val="24"/>
        </w:rPr>
      </w:pPr>
      <w:r w:rsidRPr="000A40E6">
        <w:rPr>
          <w:rFonts w:cs="Times New Roman"/>
          <w:szCs w:val="24"/>
        </w:rPr>
        <w:t xml:space="preserve">Farklı retansiyon süreleri ve </w:t>
      </w:r>
      <w:r w:rsidRPr="000A40E6">
        <w:rPr>
          <w:rFonts w:eastAsia="Calibri" w:cs="Times New Roman"/>
          <w:kern w:val="2"/>
          <w:szCs w:val="24"/>
          <w14:ligatures w14:val="standardContextual"/>
        </w:rPr>
        <w:t>daha büyük örneklem hacmine sahip</w:t>
      </w:r>
      <w:r w:rsidRPr="000A40E6">
        <w:rPr>
          <w:rFonts w:cs="Times New Roman"/>
          <w:szCs w:val="24"/>
        </w:rPr>
        <w:t xml:space="preserve"> ileri çalışmalar yapılması önerilebilir.</w:t>
      </w:r>
    </w:p>
    <w:p w14:paraId="71267D2A" w14:textId="77777777" w:rsidR="00427B31" w:rsidRPr="000A40E6" w:rsidRDefault="00427B31" w:rsidP="00F756C3">
      <w:pPr>
        <w:suppressAutoHyphens/>
        <w:spacing w:after="120"/>
        <w:rPr>
          <w:rFonts w:cs="Times New Roman"/>
          <w:szCs w:val="24"/>
        </w:rPr>
      </w:pPr>
    </w:p>
    <w:p w14:paraId="4AB83834" w14:textId="77777777" w:rsidR="00FB5D5D" w:rsidRPr="000A40E6" w:rsidRDefault="00FB5D5D" w:rsidP="00F756C3">
      <w:pPr>
        <w:suppressAutoHyphens/>
        <w:autoSpaceDE w:val="0"/>
        <w:autoSpaceDN w:val="0"/>
        <w:adjustRightInd w:val="0"/>
        <w:spacing w:after="120"/>
        <w:rPr>
          <w:rFonts w:cs="Times New Roman"/>
          <w:szCs w:val="24"/>
        </w:rPr>
      </w:pPr>
    </w:p>
    <w:p w14:paraId="5D0C83E3" w14:textId="20DF751B" w:rsidR="00FB5D5D" w:rsidRPr="000A40E6" w:rsidRDefault="00FB5D5D" w:rsidP="00F756C3">
      <w:pPr>
        <w:suppressAutoHyphens/>
        <w:autoSpaceDE w:val="0"/>
        <w:autoSpaceDN w:val="0"/>
        <w:adjustRightInd w:val="0"/>
        <w:spacing w:after="120"/>
        <w:rPr>
          <w:rFonts w:cs="Times New Roman"/>
          <w:szCs w:val="24"/>
        </w:rPr>
      </w:pPr>
    </w:p>
    <w:p w14:paraId="63A20C09" w14:textId="77777777" w:rsidR="00037C07" w:rsidRPr="000A40E6" w:rsidRDefault="00037C07" w:rsidP="00F756C3">
      <w:pPr>
        <w:suppressAutoHyphens/>
        <w:autoSpaceDE w:val="0"/>
        <w:autoSpaceDN w:val="0"/>
        <w:adjustRightInd w:val="0"/>
        <w:spacing w:after="120"/>
        <w:rPr>
          <w:rFonts w:cs="Times New Roman"/>
          <w:szCs w:val="24"/>
        </w:rPr>
      </w:pPr>
    </w:p>
    <w:p w14:paraId="5AB49DCB" w14:textId="77777777" w:rsidR="00037C07" w:rsidRPr="000A40E6" w:rsidRDefault="00037C07" w:rsidP="00F756C3">
      <w:pPr>
        <w:suppressAutoHyphens/>
        <w:autoSpaceDE w:val="0"/>
        <w:autoSpaceDN w:val="0"/>
        <w:adjustRightInd w:val="0"/>
        <w:spacing w:after="120"/>
        <w:rPr>
          <w:rFonts w:cs="Times New Roman"/>
          <w:szCs w:val="24"/>
        </w:rPr>
      </w:pPr>
    </w:p>
    <w:p w14:paraId="5E165D7F" w14:textId="38AF722D" w:rsidR="00F301EB" w:rsidRPr="000A40E6" w:rsidRDefault="00F301EB" w:rsidP="00F756C3">
      <w:pPr>
        <w:suppressAutoHyphens/>
        <w:spacing w:after="200" w:line="276" w:lineRule="auto"/>
        <w:ind w:firstLine="0"/>
        <w:jc w:val="left"/>
        <w:rPr>
          <w:rFonts w:cs="Times New Roman"/>
          <w:szCs w:val="24"/>
        </w:rPr>
      </w:pPr>
      <w:r w:rsidRPr="000A40E6">
        <w:rPr>
          <w:rFonts w:cs="Times New Roman"/>
          <w:szCs w:val="24"/>
        </w:rPr>
        <w:br w:type="page"/>
      </w:r>
    </w:p>
    <w:p w14:paraId="0239BD9D" w14:textId="51305A6A" w:rsidR="00E7095A" w:rsidRPr="000A40E6" w:rsidRDefault="00997174" w:rsidP="00A3711B">
      <w:pPr>
        <w:suppressAutoHyphens/>
        <w:spacing w:after="120"/>
        <w:ind w:firstLine="0"/>
        <w:jc w:val="center"/>
        <w:rPr>
          <w:rFonts w:cs="Times New Roman"/>
          <w:b/>
          <w:sz w:val="28"/>
          <w:szCs w:val="24"/>
        </w:rPr>
      </w:pPr>
      <w:bookmarkStart w:id="150" w:name="_Toc136443435"/>
      <w:r w:rsidRPr="000A40E6">
        <w:rPr>
          <w:rFonts w:cs="Times New Roman"/>
          <w:b/>
          <w:sz w:val="28"/>
          <w:szCs w:val="24"/>
        </w:rPr>
        <w:t>KAYNAKLAR</w:t>
      </w:r>
      <w:bookmarkEnd w:id="150"/>
    </w:p>
    <w:p w14:paraId="470975B1" w14:textId="77777777" w:rsidR="00D42FA4" w:rsidRPr="000A40E6" w:rsidRDefault="00D42FA4" w:rsidP="00F756C3">
      <w:pPr>
        <w:suppressAutoHyphens/>
        <w:spacing w:after="120"/>
        <w:ind w:firstLine="0"/>
        <w:rPr>
          <w:rFonts w:cs="Times New Roman"/>
          <w:b/>
          <w:szCs w:val="24"/>
        </w:rPr>
      </w:pPr>
    </w:p>
    <w:p w14:paraId="50F4D154" w14:textId="77777777" w:rsidR="00D42FA4" w:rsidRPr="000A40E6" w:rsidRDefault="00D42FA4" w:rsidP="00F756C3">
      <w:pPr>
        <w:suppressAutoHyphens/>
        <w:spacing w:after="120"/>
        <w:ind w:firstLine="0"/>
        <w:rPr>
          <w:rFonts w:cs="Times New Roman"/>
          <w:b/>
          <w:szCs w:val="24"/>
        </w:rPr>
      </w:pPr>
    </w:p>
    <w:p w14:paraId="27BC7681" w14:textId="77777777" w:rsidR="00A3711B" w:rsidRPr="000A40E6" w:rsidRDefault="00A3711B" w:rsidP="00A3711B">
      <w:pPr>
        <w:suppressAutoHyphens/>
        <w:spacing w:after="120"/>
        <w:ind w:left="567" w:hanging="567"/>
        <w:rPr>
          <w:rFonts w:cs="Times New Roman"/>
          <w:szCs w:val="24"/>
          <w:lang w:val="en-GB"/>
        </w:rPr>
      </w:pPr>
      <w:r w:rsidRPr="000A40E6">
        <w:rPr>
          <w:rFonts w:cs="Times New Roman"/>
          <w:szCs w:val="24"/>
        </w:rPr>
        <w:t>Acun Kaya, F</w:t>
      </w:r>
      <w:proofErr w:type="gramStart"/>
      <w:r w:rsidRPr="000A40E6">
        <w:rPr>
          <w:rFonts w:cs="Times New Roman"/>
          <w:szCs w:val="24"/>
        </w:rPr>
        <w:t>.,</w:t>
      </w:r>
      <w:proofErr w:type="gramEnd"/>
      <w:r w:rsidRPr="000A40E6">
        <w:rPr>
          <w:rFonts w:cs="Times New Roman"/>
          <w:szCs w:val="24"/>
        </w:rPr>
        <w:t xml:space="preserve"> Gunduz Arslan, S., Kaya, C. A, Arslan, H., &amp; Hamamci, O. (2011). The Gingival Crevicular Fluid Levels of IL-1β, IL-6 and TNF-α in Late Adult Rats. </w:t>
      </w:r>
      <w:r w:rsidRPr="000A40E6">
        <w:rPr>
          <w:rFonts w:cs="Times New Roman"/>
          <w:i/>
          <w:szCs w:val="24"/>
        </w:rPr>
        <w:t>International Dental Research</w:t>
      </w:r>
      <w:r w:rsidRPr="000A40E6">
        <w:rPr>
          <w:rFonts w:cs="Times New Roman"/>
          <w:szCs w:val="24"/>
        </w:rPr>
        <w:t>, 1(1), 7-12.</w:t>
      </w:r>
    </w:p>
    <w:p w14:paraId="041AEC6A" w14:textId="77777777" w:rsidR="00A3711B" w:rsidRPr="000A40E6" w:rsidRDefault="00A3711B" w:rsidP="00A3711B">
      <w:pPr>
        <w:suppressAutoHyphens/>
        <w:spacing w:after="120"/>
        <w:ind w:left="567" w:hanging="567"/>
        <w:rPr>
          <w:rFonts w:cs="Times New Roman"/>
          <w:b/>
          <w:szCs w:val="24"/>
        </w:rPr>
      </w:pPr>
      <w:r w:rsidRPr="000A40E6">
        <w:rPr>
          <w:rFonts w:cs="Times New Roman"/>
          <w:szCs w:val="24"/>
        </w:rPr>
        <w:t>Adams, G. L</w:t>
      </w:r>
      <w:proofErr w:type="gramStart"/>
      <w:r w:rsidRPr="000A40E6">
        <w:rPr>
          <w:rFonts w:cs="Times New Roman"/>
          <w:szCs w:val="24"/>
        </w:rPr>
        <w:t>.,</w:t>
      </w:r>
      <w:proofErr w:type="gramEnd"/>
      <w:r w:rsidRPr="000A40E6">
        <w:rPr>
          <w:rFonts w:cs="Times New Roman"/>
          <w:szCs w:val="24"/>
        </w:rPr>
        <w:t xml:space="preserve"> Gansky, S. A., Miller, A. J, Harrell, W. E., &amp; Hatcher, D. C. (2004). Comparison between traditional 2-dimensional cephalometry and a 3-dimensional approach on human dry skulls. </w:t>
      </w:r>
      <w:r w:rsidRPr="000A40E6">
        <w:rPr>
          <w:rFonts w:cs="Times New Roman"/>
          <w:i/>
          <w:szCs w:val="24"/>
        </w:rPr>
        <w:t>American Journal of Orthodontics and Dentofacial Orthopedics,</w:t>
      </w:r>
      <w:r w:rsidRPr="000A40E6">
        <w:rPr>
          <w:rFonts w:cs="Times New Roman"/>
          <w:szCs w:val="24"/>
        </w:rPr>
        <w:t xml:space="preserve"> 126(4), 397-409.</w:t>
      </w:r>
    </w:p>
    <w:p w14:paraId="17EC3EC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Adebanjo, O. A</w:t>
      </w:r>
      <w:proofErr w:type="gramStart"/>
      <w:r w:rsidRPr="000A40E6">
        <w:rPr>
          <w:rFonts w:cs="Times New Roman"/>
          <w:szCs w:val="24"/>
        </w:rPr>
        <w:t>.,</w:t>
      </w:r>
      <w:proofErr w:type="gramEnd"/>
      <w:r w:rsidRPr="000A40E6">
        <w:rPr>
          <w:rFonts w:cs="Times New Roman"/>
          <w:szCs w:val="24"/>
        </w:rPr>
        <w:t xml:space="preserve"> Moonga, B. S., Yamate, T., Sun, L., Minkin, C., Abe, E., &amp; Zaidi, M. (1998). Mode </w:t>
      </w:r>
      <w:proofErr w:type="gramStart"/>
      <w:r w:rsidRPr="000A40E6">
        <w:rPr>
          <w:rFonts w:cs="Times New Roman"/>
          <w:szCs w:val="24"/>
        </w:rPr>
        <w:t>of  action</w:t>
      </w:r>
      <w:proofErr w:type="gramEnd"/>
      <w:r w:rsidRPr="000A40E6">
        <w:rPr>
          <w:rFonts w:cs="Times New Roman"/>
          <w:szCs w:val="24"/>
        </w:rPr>
        <w:t xml:space="preserve">  of  interleukin-6  on  mature osteoclasts.  </w:t>
      </w:r>
      <w:proofErr w:type="gramStart"/>
      <w:r w:rsidRPr="000A40E6">
        <w:rPr>
          <w:rFonts w:cs="Times New Roman"/>
          <w:szCs w:val="24"/>
        </w:rPr>
        <w:t>Novel  interactions</w:t>
      </w:r>
      <w:proofErr w:type="gramEnd"/>
      <w:r w:rsidRPr="000A40E6">
        <w:rPr>
          <w:rFonts w:cs="Times New Roman"/>
          <w:szCs w:val="24"/>
        </w:rPr>
        <w:t xml:space="preserve">  with extracellular  Ca2+  sensing  in  the regulation  of  osteoclastic  bone resorption. </w:t>
      </w:r>
      <w:r w:rsidRPr="000A40E6">
        <w:rPr>
          <w:rFonts w:cs="Times New Roman"/>
          <w:i/>
          <w:szCs w:val="24"/>
        </w:rPr>
        <w:t>The Journal of Cell Biology</w:t>
      </w:r>
      <w:r w:rsidRPr="000A40E6">
        <w:rPr>
          <w:rFonts w:cs="Times New Roman"/>
          <w:szCs w:val="24"/>
        </w:rPr>
        <w:t>, 142(5), 1347–1356.</w:t>
      </w:r>
    </w:p>
    <w:p w14:paraId="5D32235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Adkins, M. D</w:t>
      </w:r>
      <w:proofErr w:type="gramStart"/>
      <w:r w:rsidRPr="000A40E6">
        <w:rPr>
          <w:rFonts w:cs="Times New Roman"/>
          <w:szCs w:val="24"/>
        </w:rPr>
        <w:t>.,</w:t>
      </w:r>
      <w:proofErr w:type="gramEnd"/>
      <w:r w:rsidRPr="000A40E6">
        <w:rPr>
          <w:rFonts w:cs="Times New Roman"/>
          <w:szCs w:val="24"/>
        </w:rPr>
        <w:t xml:space="preserve"> Nanda, R. S., &amp; Currier, G. F. (1990). Arch perimeter changes on rapid palatal expansion. </w:t>
      </w:r>
      <w:r w:rsidRPr="000A40E6">
        <w:rPr>
          <w:rFonts w:cs="Times New Roman"/>
          <w:i/>
          <w:szCs w:val="24"/>
        </w:rPr>
        <w:t>American Journal of Orthodontics and Dentofacial Orthopedics</w:t>
      </w:r>
      <w:r w:rsidRPr="000A40E6">
        <w:rPr>
          <w:rFonts w:cs="Times New Roman"/>
          <w:szCs w:val="24"/>
        </w:rPr>
        <w:t>, 97(3), 194- 199.</w:t>
      </w:r>
    </w:p>
    <w:p w14:paraId="678213B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Aggarwal, B. B. (2000). Tumour necrosis factors receptor associated signalling molecules and their role in activation of apoptosis, JNK and NF-kappaB. </w:t>
      </w:r>
      <w:r w:rsidRPr="000A40E6">
        <w:rPr>
          <w:rFonts w:cs="Times New Roman"/>
          <w:i/>
          <w:szCs w:val="24"/>
        </w:rPr>
        <w:t>Ann Rheum Dis</w:t>
      </w:r>
      <w:r w:rsidRPr="000A40E6">
        <w:rPr>
          <w:rFonts w:cs="Times New Roman"/>
          <w:szCs w:val="24"/>
        </w:rPr>
        <w:t>, 59 Suppl 1:i6-16.</w:t>
      </w:r>
    </w:p>
    <w:p w14:paraId="043B819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Aguiar M. C</w:t>
      </w:r>
      <w:proofErr w:type="gramStart"/>
      <w:r w:rsidRPr="000A40E6">
        <w:rPr>
          <w:rFonts w:cs="Times New Roman"/>
          <w:szCs w:val="24"/>
        </w:rPr>
        <w:t>.,</w:t>
      </w:r>
      <w:proofErr w:type="gramEnd"/>
      <w:r w:rsidRPr="000A40E6">
        <w:rPr>
          <w:rFonts w:cs="Times New Roman"/>
          <w:szCs w:val="24"/>
        </w:rPr>
        <w:t xml:space="preserve"> Perinetti, G., &amp; Capelli, J. Jr. (2017). The Gingival Crevicular Fluid as a Source of Biomarkers to Enhance Efciency of Orthodontic and Functional Treatment of Growing Patients. </w:t>
      </w:r>
      <w:r w:rsidRPr="000A40E6">
        <w:rPr>
          <w:rFonts w:cs="Times New Roman"/>
          <w:i/>
          <w:szCs w:val="24"/>
        </w:rPr>
        <w:t>BioMed Research International</w:t>
      </w:r>
      <w:r w:rsidRPr="000A40E6">
        <w:rPr>
          <w:rFonts w:cs="Times New Roman"/>
          <w:szCs w:val="24"/>
        </w:rPr>
        <w:t>, 7.</w:t>
      </w:r>
    </w:p>
    <w:p w14:paraId="79E842F7" w14:textId="77777777" w:rsidR="00A3711B" w:rsidRPr="000A40E6" w:rsidRDefault="00A3711B" w:rsidP="00A3711B">
      <w:pPr>
        <w:suppressAutoHyphens/>
        <w:spacing w:after="120"/>
        <w:ind w:left="567" w:hanging="567"/>
        <w:rPr>
          <w:rFonts w:cs="Times New Roman"/>
          <w:b/>
          <w:szCs w:val="24"/>
        </w:rPr>
      </w:pPr>
      <w:r w:rsidRPr="000A40E6">
        <w:rPr>
          <w:rFonts w:cs="Times New Roman"/>
          <w:szCs w:val="24"/>
        </w:rPr>
        <w:t>Ahrari, F</w:t>
      </w:r>
      <w:proofErr w:type="gramStart"/>
      <w:r w:rsidRPr="000A40E6">
        <w:rPr>
          <w:rFonts w:cs="Times New Roman"/>
          <w:szCs w:val="24"/>
        </w:rPr>
        <w:t>.,</w:t>
      </w:r>
      <w:proofErr w:type="gramEnd"/>
      <w:r w:rsidRPr="000A40E6">
        <w:rPr>
          <w:rFonts w:cs="Times New Roman"/>
          <w:szCs w:val="24"/>
        </w:rPr>
        <w:t xml:space="preserve"> &amp; Eslami, N. (2011). Non surgical treatment of maxillary deficiency using tongue guard </w:t>
      </w:r>
      <w:proofErr w:type="gramStart"/>
      <w:r w:rsidRPr="000A40E6">
        <w:rPr>
          <w:rFonts w:cs="Times New Roman"/>
          <w:szCs w:val="24"/>
        </w:rPr>
        <w:t>appliance:a</w:t>
      </w:r>
      <w:proofErr w:type="gramEnd"/>
      <w:r w:rsidRPr="000A40E6">
        <w:rPr>
          <w:rFonts w:cs="Times New Roman"/>
          <w:szCs w:val="24"/>
        </w:rPr>
        <w:t xml:space="preserve"> case report. </w:t>
      </w:r>
      <w:r w:rsidRPr="000A40E6">
        <w:rPr>
          <w:rFonts w:cs="Times New Roman"/>
          <w:i/>
          <w:szCs w:val="24"/>
        </w:rPr>
        <w:t>J Dent Res Dent Clin Dent Prospects</w:t>
      </w:r>
      <w:r w:rsidRPr="000A40E6">
        <w:rPr>
          <w:rFonts w:cs="Times New Roman"/>
          <w:szCs w:val="24"/>
        </w:rPr>
        <w:t>, 5(4), 136-40.</w:t>
      </w:r>
    </w:p>
    <w:p w14:paraId="5E5E034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Ahuja, S. S</w:t>
      </w:r>
      <w:proofErr w:type="gramStart"/>
      <w:r w:rsidRPr="000A40E6">
        <w:rPr>
          <w:rFonts w:cs="Times New Roman"/>
          <w:szCs w:val="24"/>
        </w:rPr>
        <w:t>.,</w:t>
      </w:r>
      <w:proofErr w:type="gramEnd"/>
      <w:r w:rsidRPr="000A40E6">
        <w:rPr>
          <w:rFonts w:cs="Times New Roman"/>
          <w:szCs w:val="24"/>
        </w:rPr>
        <w:t xml:space="preserve"> Zhao, S., Bellido, T., Plotkin, L. I., Jimenez, F., &amp; Bonewald, L. F. (2003) CD40 ligand blocks apoptosis induced by tumor necrosis factor alpha, glucocorticoids, and etoposide in osteoblasts and the osteocyte-like cell line murine long bone osteocyte-Y4. </w:t>
      </w:r>
      <w:r w:rsidRPr="000A40E6">
        <w:rPr>
          <w:rFonts w:cs="Times New Roman"/>
          <w:i/>
          <w:szCs w:val="24"/>
        </w:rPr>
        <w:t>Endocrinology</w:t>
      </w:r>
      <w:r w:rsidRPr="000A40E6">
        <w:rPr>
          <w:rFonts w:cs="Times New Roman"/>
          <w:szCs w:val="24"/>
        </w:rPr>
        <w:t>, 144(5), 1761-1769.</w:t>
      </w:r>
    </w:p>
    <w:p w14:paraId="57AFA27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Ainamo, J</w:t>
      </w:r>
      <w:proofErr w:type="gramStart"/>
      <w:r w:rsidRPr="000A40E6">
        <w:rPr>
          <w:rFonts w:cs="Times New Roman"/>
          <w:szCs w:val="24"/>
        </w:rPr>
        <w:t>.,</w:t>
      </w:r>
      <w:proofErr w:type="gramEnd"/>
      <w:r w:rsidRPr="000A40E6">
        <w:rPr>
          <w:rFonts w:cs="Times New Roman"/>
          <w:szCs w:val="24"/>
        </w:rPr>
        <w:t xml:space="preserve"> &amp; Bay, I. (1975). Problems and proposals for recording gingivitis and plaque. </w:t>
      </w:r>
      <w:r w:rsidRPr="000A40E6">
        <w:rPr>
          <w:rFonts w:cs="Times New Roman"/>
          <w:i/>
          <w:szCs w:val="24"/>
        </w:rPr>
        <w:t>International Dental Journal</w:t>
      </w:r>
      <w:r w:rsidRPr="000A40E6">
        <w:rPr>
          <w:rFonts w:cs="Times New Roman"/>
          <w:szCs w:val="24"/>
        </w:rPr>
        <w:t>, 25(4), 229-235.</w:t>
      </w:r>
    </w:p>
    <w:p w14:paraId="07F87E8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Akkaya, S</w:t>
      </w:r>
      <w:proofErr w:type="gramStart"/>
      <w:r w:rsidRPr="000A40E6">
        <w:rPr>
          <w:rFonts w:cs="Times New Roman"/>
          <w:szCs w:val="24"/>
        </w:rPr>
        <w:t>.,</w:t>
      </w:r>
      <w:proofErr w:type="gramEnd"/>
      <w:r w:rsidRPr="000A40E6">
        <w:rPr>
          <w:rFonts w:cs="Times New Roman"/>
          <w:szCs w:val="24"/>
        </w:rPr>
        <w:t xml:space="preserve"> Lorenzon, S., &amp; Uçem, T. T., (1999). A comparison of sagittal and vertical effects between bonded rapid and slow maxillary expansion procedures, </w:t>
      </w:r>
      <w:proofErr w:type="gramStart"/>
      <w:r w:rsidRPr="000A40E6">
        <w:rPr>
          <w:rFonts w:cs="Times New Roman"/>
          <w:i/>
          <w:szCs w:val="24"/>
        </w:rPr>
        <w:t>European  Journal</w:t>
      </w:r>
      <w:proofErr w:type="gramEnd"/>
      <w:r w:rsidRPr="000A40E6">
        <w:rPr>
          <w:rFonts w:cs="Times New Roman"/>
          <w:i/>
          <w:szCs w:val="24"/>
        </w:rPr>
        <w:t xml:space="preserve"> of Orthodontics</w:t>
      </w:r>
      <w:r w:rsidRPr="000A40E6">
        <w:rPr>
          <w:rFonts w:cs="Times New Roman"/>
          <w:szCs w:val="24"/>
        </w:rPr>
        <w:t>, 21(2), 175–180</w:t>
      </w:r>
      <w:r w:rsidRPr="000A40E6">
        <w:rPr>
          <w:rFonts w:cs="Times New Roman"/>
          <w:szCs w:val="24"/>
          <w:shd w:val="clear" w:color="auto" w:fill="FFFFFF"/>
        </w:rPr>
        <w:t>.</w:t>
      </w:r>
    </w:p>
    <w:p w14:paraId="6319FB7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Alexander, S. A. (1991). Effects of orthodontic attachments on the gingival health of permanent second molars. </w:t>
      </w:r>
      <w:proofErr w:type="gramStart"/>
      <w:r w:rsidRPr="000A40E6">
        <w:rPr>
          <w:rFonts w:cs="Times New Roman"/>
          <w:i/>
          <w:szCs w:val="24"/>
        </w:rPr>
        <w:t>American  Journal</w:t>
      </w:r>
      <w:proofErr w:type="gramEnd"/>
      <w:r w:rsidRPr="000A40E6">
        <w:rPr>
          <w:rFonts w:cs="Times New Roman"/>
          <w:i/>
          <w:szCs w:val="24"/>
        </w:rPr>
        <w:t xml:space="preserve"> of Orthodontics and Dentofacial Orthopedics</w:t>
      </w:r>
      <w:r w:rsidRPr="000A40E6">
        <w:rPr>
          <w:rFonts w:cs="Times New Roman"/>
          <w:szCs w:val="24"/>
        </w:rPr>
        <w:t xml:space="preserve"> 100(4), 337-340.</w:t>
      </w:r>
    </w:p>
    <w:p w14:paraId="76D0236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Alfaqeeh,  S. A</w:t>
      </w:r>
      <w:proofErr w:type="gramStart"/>
      <w:r w:rsidRPr="000A40E6">
        <w:rPr>
          <w:rFonts w:cs="Times New Roman"/>
          <w:szCs w:val="24"/>
        </w:rPr>
        <w:t>.,</w:t>
      </w:r>
      <w:proofErr w:type="gramEnd"/>
      <w:r w:rsidRPr="000A40E6">
        <w:rPr>
          <w:rFonts w:cs="Times New Roman"/>
          <w:szCs w:val="24"/>
        </w:rPr>
        <w:t xml:space="preserve"> </w:t>
      </w:r>
      <w:r w:rsidRPr="000A40E6">
        <w:rPr>
          <w:rFonts w:cs="Times New Roman"/>
          <w:szCs w:val="24"/>
          <w:shd w:val="clear" w:color="auto" w:fill="FFFFFF"/>
        </w:rPr>
        <w:t>&amp;</w:t>
      </w:r>
      <w:r w:rsidRPr="000A40E6">
        <w:rPr>
          <w:rFonts w:cs="Times New Roman"/>
          <w:szCs w:val="24"/>
        </w:rPr>
        <w:t xml:space="preserve"> Anil,  S. (2011). Lactate </w:t>
      </w:r>
      <w:proofErr w:type="gramStart"/>
      <w:r w:rsidRPr="000A40E6">
        <w:rPr>
          <w:rFonts w:cs="Times New Roman"/>
          <w:szCs w:val="24"/>
        </w:rPr>
        <w:t>dehydrogenase  activity</w:t>
      </w:r>
      <w:proofErr w:type="gramEnd"/>
      <w:r w:rsidRPr="000A40E6">
        <w:rPr>
          <w:rFonts w:cs="Times New Roman"/>
          <w:szCs w:val="24"/>
        </w:rPr>
        <w:t xml:space="preserve">  in  gingival crevicular  fluid  as  a  marker  in orthodontic  tooth  movement.  </w:t>
      </w:r>
      <w:r w:rsidRPr="000A40E6">
        <w:rPr>
          <w:rFonts w:cs="Times New Roman"/>
          <w:i/>
          <w:szCs w:val="24"/>
        </w:rPr>
        <w:t>The Open Dentistry Journal</w:t>
      </w:r>
      <w:r w:rsidRPr="000A40E6">
        <w:rPr>
          <w:rFonts w:cs="Times New Roman"/>
          <w:szCs w:val="24"/>
        </w:rPr>
        <w:t>, 5, 105-109.</w:t>
      </w:r>
    </w:p>
    <w:p w14:paraId="29EBCC5D"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rPr>
        <w:t>Alhadlaq, A. M</w:t>
      </w:r>
      <w:proofErr w:type="gramStart"/>
      <w:r w:rsidRPr="000A40E6">
        <w:rPr>
          <w:rFonts w:cs="Times New Roman"/>
          <w:szCs w:val="24"/>
        </w:rPr>
        <w:t>.,</w:t>
      </w:r>
      <w:proofErr w:type="gramEnd"/>
      <w:r w:rsidRPr="000A40E6">
        <w:rPr>
          <w:rFonts w:cs="Times New Roman"/>
          <w:szCs w:val="24"/>
        </w:rPr>
        <w:t xml:space="preserve"> &amp; Patil, S. (2015). Biomarkers of orthodontic tooth movement in gingival crevicular fluid: a systematic review. </w:t>
      </w:r>
      <w:r w:rsidRPr="000A40E6">
        <w:rPr>
          <w:rFonts w:cs="Times New Roman"/>
          <w:i/>
          <w:szCs w:val="24"/>
        </w:rPr>
        <w:t>The Journal of Contemporary Dental Practice</w:t>
      </w:r>
      <w:r w:rsidRPr="000A40E6">
        <w:rPr>
          <w:rFonts w:cs="Times New Roman"/>
          <w:szCs w:val="24"/>
        </w:rPr>
        <w:t>, 16(7), 578– 587.</w:t>
      </w:r>
    </w:p>
    <w:p w14:paraId="560BD57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Alhashimi, N</w:t>
      </w:r>
      <w:proofErr w:type="gramStart"/>
      <w:r w:rsidRPr="000A40E6">
        <w:rPr>
          <w:rFonts w:cs="Times New Roman"/>
          <w:szCs w:val="24"/>
        </w:rPr>
        <w:t>.,</w:t>
      </w:r>
      <w:proofErr w:type="gramEnd"/>
      <w:r w:rsidRPr="000A40E6">
        <w:rPr>
          <w:rFonts w:cs="Times New Roman"/>
          <w:szCs w:val="24"/>
        </w:rPr>
        <w:t xml:space="preserve"> Frithiof, L., Brudvik, P., &amp; Bakhiet, M. (2001). Orthodontic tooth movement and de novo synthesis of proinflammatory cytokines. </w:t>
      </w:r>
      <w:proofErr w:type="gramStart"/>
      <w:r w:rsidRPr="000A40E6">
        <w:rPr>
          <w:rFonts w:cs="Times New Roman"/>
          <w:i/>
          <w:szCs w:val="24"/>
        </w:rPr>
        <w:t>American  Journal</w:t>
      </w:r>
      <w:proofErr w:type="gramEnd"/>
      <w:r w:rsidRPr="000A40E6">
        <w:rPr>
          <w:rFonts w:cs="Times New Roman"/>
          <w:i/>
          <w:szCs w:val="24"/>
        </w:rPr>
        <w:t xml:space="preserve"> of Orthodontics and Dentofacial Orthopedics</w:t>
      </w:r>
      <w:r w:rsidRPr="000A40E6">
        <w:rPr>
          <w:rFonts w:cs="Times New Roman"/>
          <w:szCs w:val="24"/>
        </w:rPr>
        <w:t>, 119(3), 307</w:t>
      </w:r>
      <w:r w:rsidRPr="000A40E6">
        <w:rPr>
          <w:rFonts w:cs="Times New Roman"/>
          <w:szCs w:val="24"/>
        </w:rPr>
        <w:noBreakHyphen/>
        <w:t>312.</w:t>
      </w:r>
    </w:p>
    <w:p w14:paraId="1F0818B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Alikhani, M</w:t>
      </w:r>
      <w:proofErr w:type="gramStart"/>
      <w:r w:rsidRPr="000A40E6">
        <w:rPr>
          <w:rFonts w:cs="Times New Roman"/>
          <w:szCs w:val="24"/>
        </w:rPr>
        <w:t>.,</w:t>
      </w:r>
      <w:proofErr w:type="gramEnd"/>
      <w:r w:rsidRPr="000A40E6">
        <w:rPr>
          <w:rFonts w:cs="Times New Roman"/>
          <w:szCs w:val="24"/>
        </w:rPr>
        <w:t xml:space="preserve"> Raptis, M., Zoldan, B., Sangsuwon, C., Lee, Y. B., Alyami, B., &amp; Khoo, E. (2013). Effect of micro-osteoperforations on the rate of tooth movement. </w:t>
      </w:r>
      <w:r w:rsidRPr="000A40E6">
        <w:rPr>
          <w:rFonts w:cs="Times New Roman"/>
          <w:i/>
          <w:szCs w:val="24"/>
        </w:rPr>
        <w:t>American Journal of Orthodontics and Dentofacial Orthopedics</w:t>
      </w:r>
      <w:r w:rsidRPr="000A40E6">
        <w:rPr>
          <w:rFonts w:cs="Times New Roman"/>
          <w:szCs w:val="24"/>
        </w:rPr>
        <w:t>, 144(5), 639-648.</w:t>
      </w:r>
    </w:p>
    <w:p w14:paraId="14A99F1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Al-Shammari, K. F</w:t>
      </w:r>
      <w:proofErr w:type="gramStart"/>
      <w:r w:rsidRPr="000A40E6">
        <w:rPr>
          <w:rFonts w:cs="Times New Roman"/>
          <w:szCs w:val="24"/>
        </w:rPr>
        <w:t>.,</w:t>
      </w:r>
      <w:proofErr w:type="gramEnd"/>
      <w:r w:rsidRPr="000A40E6">
        <w:rPr>
          <w:rFonts w:cs="Times New Roman"/>
          <w:szCs w:val="24"/>
        </w:rPr>
        <w:t xml:space="preserve"> Giannobile, W. V., Aldredge, W. A., Iacono, V.J., Eber, R. M., Wang, H. L., &amp; Oringer, R. J. (2001). Effect of non-surgical periodontal therapy on C-telopeptide pyrodinole cross-links (ICTP) and interleukin–1 levels. </w:t>
      </w:r>
      <w:r w:rsidRPr="000A40E6">
        <w:rPr>
          <w:rFonts w:cs="Times New Roman"/>
          <w:i/>
          <w:szCs w:val="24"/>
        </w:rPr>
        <w:t xml:space="preserve">Journal </w:t>
      </w:r>
      <w:proofErr w:type="gramStart"/>
      <w:r w:rsidRPr="000A40E6">
        <w:rPr>
          <w:rFonts w:cs="Times New Roman"/>
          <w:i/>
          <w:szCs w:val="24"/>
        </w:rPr>
        <w:t>of  Periodontology</w:t>
      </w:r>
      <w:proofErr w:type="gramEnd"/>
      <w:r w:rsidRPr="000A40E6">
        <w:rPr>
          <w:rFonts w:cs="Times New Roman"/>
          <w:szCs w:val="24"/>
        </w:rPr>
        <w:t>, 72(8), 1045–1051.</w:t>
      </w:r>
    </w:p>
    <w:p w14:paraId="4A4A0BE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Alstad, S</w:t>
      </w:r>
      <w:proofErr w:type="gramStart"/>
      <w:r w:rsidRPr="000A40E6">
        <w:rPr>
          <w:rFonts w:cs="Times New Roman"/>
          <w:szCs w:val="24"/>
        </w:rPr>
        <w:t>.,</w:t>
      </w:r>
      <w:proofErr w:type="gramEnd"/>
      <w:r w:rsidRPr="000A40E6">
        <w:rPr>
          <w:rFonts w:cs="Times New Roman"/>
          <w:szCs w:val="24"/>
        </w:rPr>
        <w:t xml:space="preserve"> </w:t>
      </w:r>
      <w:r w:rsidRPr="000A40E6">
        <w:rPr>
          <w:rFonts w:cs="Times New Roman"/>
          <w:szCs w:val="24"/>
          <w:shd w:val="clear" w:color="auto" w:fill="FFFFFF"/>
        </w:rPr>
        <w:t xml:space="preserve">&amp; </w:t>
      </w:r>
      <w:r w:rsidRPr="000A40E6">
        <w:rPr>
          <w:rFonts w:cs="Times New Roman"/>
          <w:szCs w:val="24"/>
        </w:rPr>
        <w:t xml:space="preserve">Zachrisson, B.U. (1979). Longitudinal study of periodontal condition associated with orthodontic treatment in adolescents. </w:t>
      </w:r>
      <w:r w:rsidRPr="000A40E6">
        <w:rPr>
          <w:rFonts w:cs="Times New Roman"/>
          <w:i/>
          <w:szCs w:val="24"/>
        </w:rPr>
        <w:t>American Journal of Orthodontics</w:t>
      </w:r>
      <w:r w:rsidRPr="000A40E6">
        <w:rPr>
          <w:rFonts w:cs="Times New Roman"/>
          <w:szCs w:val="24"/>
        </w:rPr>
        <w:t>, 76(3), 277-286.</w:t>
      </w:r>
    </w:p>
    <w:p w14:paraId="15B86E9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Angle, E.H. (1860). Treatment of irregularity of the permanent or adult teeth-Part II. </w:t>
      </w:r>
      <w:r w:rsidRPr="000A40E6">
        <w:rPr>
          <w:rFonts w:cs="Times New Roman"/>
          <w:i/>
          <w:szCs w:val="24"/>
        </w:rPr>
        <w:t>Dent Cosmos</w:t>
      </w:r>
      <w:r w:rsidRPr="000A40E6">
        <w:rPr>
          <w:rFonts w:cs="Times New Roman"/>
          <w:szCs w:val="24"/>
        </w:rPr>
        <w:t>, 10(2), 599-601.</w:t>
      </w:r>
    </w:p>
    <w:p w14:paraId="5F78965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Arat, Z. M</w:t>
      </w:r>
      <w:proofErr w:type="gramStart"/>
      <w:r w:rsidRPr="000A40E6">
        <w:rPr>
          <w:rFonts w:cs="Times New Roman"/>
          <w:szCs w:val="24"/>
        </w:rPr>
        <w:t>.,</w:t>
      </w:r>
      <w:proofErr w:type="gramEnd"/>
      <w:r w:rsidRPr="000A40E6">
        <w:rPr>
          <w:rFonts w:cs="Times New Roman"/>
          <w:szCs w:val="24"/>
        </w:rPr>
        <w:t xml:space="preserve"> Gokalp, H., Atasever, T. </w:t>
      </w:r>
      <w:r w:rsidRPr="000A40E6">
        <w:rPr>
          <w:rFonts w:cs="Times New Roman"/>
          <w:szCs w:val="24"/>
          <w:shd w:val="clear" w:color="auto" w:fill="FFFFFF"/>
        </w:rPr>
        <w:t>&amp;</w:t>
      </w:r>
      <w:r w:rsidRPr="000A40E6">
        <w:rPr>
          <w:rFonts w:cs="Times New Roman"/>
          <w:szCs w:val="24"/>
        </w:rPr>
        <w:t xml:space="preserve"> Turkkahraman, H. (2003). 99mTechnetiumlabeled methylene diphosphonate uptake in maxillary bone during and after rapid maxillary expansion. </w:t>
      </w:r>
      <w:r w:rsidRPr="000A40E6">
        <w:rPr>
          <w:rFonts w:cs="Times New Roman"/>
          <w:i/>
          <w:szCs w:val="24"/>
        </w:rPr>
        <w:t>The Angle Orthodontist</w:t>
      </w:r>
      <w:r w:rsidRPr="000A40E6">
        <w:rPr>
          <w:rFonts w:cs="Times New Roman"/>
          <w:szCs w:val="24"/>
        </w:rPr>
        <w:t>, 73(5), 545-549.</w:t>
      </w:r>
    </w:p>
    <w:p w14:paraId="302C538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Araugio, R. M. D. S</w:t>
      </w:r>
      <w:proofErr w:type="gramStart"/>
      <w:r w:rsidRPr="000A40E6">
        <w:rPr>
          <w:rFonts w:cs="Times New Roman"/>
          <w:szCs w:val="24"/>
        </w:rPr>
        <w:t>.,</w:t>
      </w:r>
      <w:proofErr w:type="gramEnd"/>
      <w:r w:rsidRPr="000A40E6">
        <w:rPr>
          <w:rFonts w:cs="Times New Roman"/>
          <w:szCs w:val="24"/>
        </w:rPr>
        <w:t xml:space="preserve"> Landre, J.R, J., Silva, D. D. L. A., Pacheco, W., Pithon, M. M. &amp; Oliveira, D. D. (2013). Influence of the expansion screw height on the dental effects of the hyrax expander: A study with finite elements. </w:t>
      </w:r>
      <w:r w:rsidRPr="000A40E6">
        <w:rPr>
          <w:rFonts w:cs="Times New Roman"/>
          <w:i/>
          <w:szCs w:val="24"/>
        </w:rPr>
        <w:t>American Journal of Orthodontics and Dentofacial Orthopedics</w:t>
      </w:r>
      <w:r w:rsidRPr="000A40E6">
        <w:rPr>
          <w:rFonts w:cs="Times New Roman"/>
          <w:szCs w:val="24"/>
        </w:rPr>
        <w:t>, 143(2), 221- 227.</w:t>
      </w:r>
    </w:p>
    <w:p w14:paraId="2F8C7C2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Arnez, M.F.M</w:t>
      </w:r>
      <w:proofErr w:type="gramStart"/>
      <w:r w:rsidRPr="000A40E6">
        <w:rPr>
          <w:rFonts w:cs="Times New Roman"/>
          <w:szCs w:val="24"/>
        </w:rPr>
        <w:t>.,</w:t>
      </w:r>
      <w:proofErr w:type="gramEnd"/>
      <w:r w:rsidRPr="000A40E6">
        <w:rPr>
          <w:rFonts w:cs="Times New Roman"/>
          <w:szCs w:val="24"/>
        </w:rPr>
        <w:t xml:space="preserve"> Ribeiro, L.S.N., Barretto, G.D., Monteiro,P.M., Ervolino E., &amp; Stuani, M.B.S. (2017). RANK/RANKL/OPG expression in rapid maxillary expansion. </w:t>
      </w:r>
      <w:r w:rsidRPr="000A40E6">
        <w:rPr>
          <w:rFonts w:cs="Times New Roman"/>
          <w:i/>
          <w:szCs w:val="24"/>
        </w:rPr>
        <w:t>Brazilian Dental Journal</w:t>
      </w:r>
      <w:r w:rsidRPr="000A40E6">
        <w:rPr>
          <w:rFonts w:cs="Times New Roman"/>
          <w:szCs w:val="24"/>
        </w:rPr>
        <w:t>, 28(3), 296-300.</w:t>
      </w:r>
    </w:p>
    <w:p w14:paraId="3B8349B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Asanza, S</w:t>
      </w:r>
      <w:proofErr w:type="gramStart"/>
      <w:r w:rsidRPr="000A40E6">
        <w:rPr>
          <w:rFonts w:cs="Times New Roman"/>
          <w:szCs w:val="24"/>
        </w:rPr>
        <w:t>.,</w:t>
      </w:r>
      <w:proofErr w:type="gramEnd"/>
      <w:r w:rsidRPr="000A40E6">
        <w:rPr>
          <w:rFonts w:cs="Times New Roman"/>
          <w:szCs w:val="24"/>
        </w:rPr>
        <w:t xml:space="preserve"> Cisneros, G. J., Nieberg, L. G. (1997). Comparison of Hyrax and bonded expansion appliances. </w:t>
      </w:r>
      <w:r w:rsidRPr="000A40E6">
        <w:rPr>
          <w:rFonts w:cs="Times New Roman"/>
          <w:i/>
          <w:szCs w:val="24"/>
        </w:rPr>
        <w:t>The Angle Orthodontist</w:t>
      </w:r>
      <w:r w:rsidRPr="000A40E6">
        <w:rPr>
          <w:rFonts w:cs="Times New Roman"/>
          <w:szCs w:val="24"/>
        </w:rPr>
        <w:t>, 67(1), 15-22.</w:t>
      </w:r>
    </w:p>
    <w:p w14:paraId="36AFED1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Atug Ozcan, S. S</w:t>
      </w:r>
      <w:proofErr w:type="gramStart"/>
      <w:r w:rsidRPr="000A40E6">
        <w:rPr>
          <w:rFonts w:cs="Times New Roman"/>
          <w:szCs w:val="24"/>
        </w:rPr>
        <w:t>.,</w:t>
      </w:r>
      <w:proofErr w:type="gramEnd"/>
      <w:r w:rsidRPr="000A40E6">
        <w:rPr>
          <w:rFonts w:cs="Times New Roman"/>
          <w:szCs w:val="24"/>
        </w:rPr>
        <w:t xml:space="preserve"> Ceylan, I., Ozcan, E., Kurt, N., Dagsuyu, I. M., ve Canakcı, C.F. (2014). Evaluation of oxidative stress biomarkers in patients with fixed orthodontic appliances. Disease markers. </w:t>
      </w:r>
      <w:r w:rsidRPr="000A40E6">
        <w:rPr>
          <w:rFonts w:cs="Times New Roman"/>
          <w:i/>
          <w:szCs w:val="24"/>
        </w:rPr>
        <w:t>Hindawi Publishing Corporation</w:t>
      </w:r>
      <w:r w:rsidRPr="000A40E6">
        <w:rPr>
          <w:rFonts w:cs="Times New Roman"/>
          <w:szCs w:val="24"/>
        </w:rPr>
        <w:t>, 1–7.</w:t>
      </w:r>
    </w:p>
    <w:p w14:paraId="1628402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Awawdeh, L.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Lundy, F. T., Linden, G. J., Shaw, C., Kennedy, J. G., &amp; Lamey, P. J. (2002). Quantitative analysis of substance P, neurokinin A and calcitonin gene</w:t>
      </w:r>
      <w:r w:rsidRPr="000A40E6">
        <w:rPr>
          <w:rFonts w:ascii="Cambria Math" w:hAnsi="Cambria Math" w:cs="Cambria Math"/>
          <w:szCs w:val="24"/>
          <w:shd w:val="clear" w:color="auto" w:fill="FFFFFF"/>
        </w:rPr>
        <w:t>‐</w:t>
      </w:r>
      <w:r w:rsidRPr="000A40E6">
        <w:rPr>
          <w:rFonts w:cs="Times New Roman"/>
          <w:szCs w:val="24"/>
          <w:shd w:val="clear" w:color="auto" w:fill="FFFFFF"/>
        </w:rPr>
        <w:t>related peptide in gingival crevicular fluid associated with painful human teeth. </w:t>
      </w:r>
      <w:r w:rsidRPr="000A40E6">
        <w:rPr>
          <w:rFonts w:cs="Times New Roman"/>
          <w:i/>
          <w:iCs/>
          <w:szCs w:val="24"/>
          <w:shd w:val="clear" w:color="auto" w:fill="FFFFFF"/>
        </w:rPr>
        <w:t>European journal of oral sciences</w:t>
      </w:r>
      <w:r w:rsidRPr="000A40E6">
        <w:rPr>
          <w:rFonts w:cs="Times New Roman"/>
          <w:szCs w:val="24"/>
          <w:shd w:val="clear" w:color="auto" w:fill="FFFFFF"/>
        </w:rPr>
        <w:t>, </w:t>
      </w:r>
      <w:r w:rsidRPr="000A40E6">
        <w:rPr>
          <w:rFonts w:cs="Times New Roman"/>
          <w:i/>
          <w:iCs/>
          <w:szCs w:val="24"/>
          <w:shd w:val="clear" w:color="auto" w:fill="FFFFFF"/>
        </w:rPr>
        <w:t>110</w:t>
      </w:r>
      <w:r w:rsidRPr="000A40E6">
        <w:rPr>
          <w:rFonts w:cs="Times New Roman"/>
          <w:szCs w:val="24"/>
          <w:shd w:val="clear" w:color="auto" w:fill="FFFFFF"/>
        </w:rPr>
        <w:t>(3), 185-191.</w:t>
      </w:r>
    </w:p>
    <w:p w14:paraId="213146F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Ay, Z. Y</w:t>
      </w:r>
      <w:proofErr w:type="gramStart"/>
      <w:r w:rsidRPr="000A40E6">
        <w:rPr>
          <w:rFonts w:cs="Times New Roman"/>
          <w:szCs w:val="24"/>
        </w:rPr>
        <w:t>.,</w:t>
      </w:r>
      <w:proofErr w:type="gramEnd"/>
      <w:r w:rsidRPr="000A40E6">
        <w:rPr>
          <w:rFonts w:cs="Times New Roman"/>
          <w:szCs w:val="24"/>
        </w:rPr>
        <w:t xml:space="preserve"> Sayin, M. O., Ozat, Y., Goster, T., Atilla, A. O. </w:t>
      </w:r>
      <w:r w:rsidRPr="000A40E6">
        <w:rPr>
          <w:rFonts w:cs="Times New Roman"/>
          <w:szCs w:val="24"/>
          <w:shd w:val="clear" w:color="auto" w:fill="FFFFFF"/>
        </w:rPr>
        <w:t>&amp;</w:t>
      </w:r>
      <w:r w:rsidRPr="000A40E6">
        <w:rPr>
          <w:rFonts w:cs="Times New Roman"/>
          <w:szCs w:val="24"/>
        </w:rPr>
        <w:t xml:space="preserve"> Bozkurt, F. Y. (2007). Appropriate oral hygiene motivation method for patients with fixed appliances. </w:t>
      </w:r>
      <w:r w:rsidRPr="000A40E6">
        <w:rPr>
          <w:rFonts w:cs="Times New Roman"/>
          <w:i/>
          <w:szCs w:val="24"/>
        </w:rPr>
        <w:t>The Angle Orthodontist</w:t>
      </w:r>
      <w:r w:rsidRPr="000A40E6">
        <w:rPr>
          <w:rFonts w:cs="Times New Roman"/>
          <w:szCs w:val="24"/>
        </w:rPr>
        <w:t>, 77(6), 1085-1089.</w:t>
      </w:r>
    </w:p>
    <w:p w14:paraId="7A7B8FA5" w14:textId="77777777" w:rsidR="00A3711B" w:rsidRPr="000A40E6" w:rsidRDefault="00A3711B" w:rsidP="00A3711B">
      <w:pPr>
        <w:suppressAutoHyphens/>
        <w:spacing w:after="120"/>
        <w:ind w:left="567" w:hanging="567"/>
        <w:rPr>
          <w:rFonts w:cs="Times New Roman"/>
          <w:szCs w:val="24"/>
          <w:u w:val="single"/>
        </w:rPr>
      </w:pPr>
      <w:r w:rsidRPr="000A40E6">
        <w:rPr>
          <w:rFonts w:cs="Times New Roman"/>
          <w:szCs w:val="24"/>
        </w:rPr>
        <w:t>Baccetti, T</w:t>
      </w:r>
      <w:proofErr w:type="gramStart"/>
      <w:r w:rsidRPr="000A40E6">
        <w:rPr>
          <w:rFonts w:cs="Times New Roman"/>
          <w:szCs w:val="24"/>
        </w:rPr>
        <w:t>.,</w:t>
      </w:r>
      <w:proofErr w:type="gramEnd"/>
      <w:r w:rsidRPr="000A40E6">
        <w:rPr>
          <w:rFonts w:cs="Times New Roman"/>
          <w:szCs w:val="24"/>
        </w:rPr>
        <w:t xml:space="preserve"> Franchi, L., Cameron, C.G., </w:t>
      </w:r>
      <w:r w:rsidRPr="000A40E6">
        <w:rPr>
          <w:rFonts w:cs="Times New Roman"/>
          <w:szCs w:val="24"/>
          <w:shd w:val="clear" w:color="auto" w:fill="FFFFFF"/>
        </w:rPr>
        <w:t xml:space="preserve">&amp; </w:t>
      </w:r>
      <w:r w:rsidRPr="000A40E6">
        <w:rPr>
          <w:rFonts w:cs="Times New Roman"/>
          <w:szCs w:val="24"/>
        </w:rPr>
        <w:t xml:space="preserve">McNamara, Jr. J.A. (2001). Treatment timing for rapid maxillary expansion. </w:t>
      </w:r>
      <w:r w:rsidRPr="000A40E6">
        <w:rPr>
          <w:rFonts w:cs="Times New Roman"/>
          <w:i/>
          <w:szCs w:val="24"/>
        </w:rPr>
        <w:t>The Angle orthodontist</w:t>
      </w:r>
      <w:r w:rsidRPr="000A40E6">
        <w:rPr>
          <w:rFonts w:cs="Times New Roman"/>
          <w:szCs w:val="24"/>
        </w:rPr>
        <w:t>, 71(5), 343-350.</w:t>
      </w:r>
    </w:p>
    <w:p w14:paraId="7142B60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Baccetti, T</w:t>
      </w:r>
      <w:proofErr w:type="gramStart"/>
      <w:r w:rsidRPr="000A40E6">
        <w:rPr>
          <w:rFonts w:cs="Times New Roman"/>
          <w:szCs w:val="24"/>
        </w:rPr>
        <w:t>.,</w:t>
      </w:r>
      <w:proofErr w:type="gramEnd"/>
      <w:r w:rsidRPr="000A40E6">
        <w:rPr>
          <w:rFonts w:cs="Times New Roman"/>
          <w:szCs w:val="24"/>
        </w:rPr>
        <w:t xml:space="preserve"> Mucedero, M., Leonardi, M. &amp; Cozza, P. (2009). Interceptive treatment of palatal impaction of maxillary canines with rapid maxillary expansion: a randomized clinical trial. </w:t>
      </w:r>
      <w:r w:rsidRPr="000A40E6">
        <w:rPr>
          <w:rFonts w:cs="Times New Roman"/>
          <w:i/>
          <w:szCs w:val="24"/>
        </w:rPr>
        <w:t>American Journal of Orthodontics and Dentofacial Orthopedics</w:t>
      </w:r>
      <w:r w:rsidRPr="000A40E6">
        <w:rPr>
          <w:rFonts w:cs="Times New Roman"/>
          <w:szCs w:val="24"/>
        </w:rPr>
        <w:t>, 136(5), 657-661.</w:t>
      </w:r>
    </w:p>
    <w:p w14:paraId="274F46E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Baik, H. S. (1995). Clinical results of the maxillary protraction in Korean children. </w:t>
      </w:r>
      <w:r w:rsidRPr="000A40E6">
        <w:rPr>
          <w:rFonts w:cs="Times New Roman"/>
          <w:i/>
          <w:szCs w:val="24"/>
        </w:rPr>
        <w:t>American Journal of Orthodontics and Dentofacial Orthopedics</w:t>
      </w:r>
      <w:r w:rsidRPr="000A40E6">
        <w:rPr>
          <w:rFonts w:cs="Times New Roman"/>
          <w:szCs w:val="24"/>
        </w:rPr>
        <w:t>, 108(6), 583-592.</w:t>
      </w:r>
    </w:p>
    <w:p w14:paraId="275EC8B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Ballanti, F</w:t>
      </w:r>
      <w:proofErr w:type="gramStart"/>
      <w:r w:rsidRPr="000A40E6">
        <w:rPr>
          <w:rFonts w:cs="Times New Roman"/>
          <w:szCs w:val="24"/>
        </w:rPr>
        <w:t>.,</w:t>
      </w:r>
      <w:proofErr w:type="gramEnd"/>
      <w:r w:rsidRPr="000A40E6">
        <w:rPr>
          <w:rFonts w:cs="Times New Roman"/>
          <w:szCs w:val="24"/>
        </w:rPr>
        <w:t xml:space="preserve"> Lione, R., Fanucci, E., Franchi, L., Baccetti, T.,</w:t>
      </w:r>
      <w:r w:rsidRPr="000A40E6">
        <w:rPr>
          <w:rFonts w:cs="Times New Roman"/>
          <w:szCs w:val="24"/>
          <w:shd w:val="clear" w:color="auto" w:fill="FFFFFF"/>
        </w:rPr>
        <w:t xml:space="preserve"> &amp;</w:t>
      </w:r>
      <w:r w:rsidRPr="000A40E6">
        <w:rPr>
          <w:rFonts w:cs="Times New Roman"/>
          <w:szCs w:val="24"/>
        </w:rPr>
        <w:t xml:space="preserve"> Cozza, P. (2009). Immediate and post-retention effects of rapid maxillary expansion investigated by computed tomography in growing patients. </w:t>
      </w:r>
      <w:r w:rsidRPr="000A40E6">
        <w:rPr>
          <w:rFonts w:cs="Times New Roman"/>
          <w:i/>
          <w:szCs w:val="24"/>
        </w:rPr>
        <w:t>The Angle Orthodontist</w:t>
      </w:r>
      <w:r w:rsidRPr="000A40E6">
        <w:rPr>
          <w:rFonts w:cs="Times New Roman"/>
          <w:szCs w:val="24"/>
        </w:rPr>
        <w:t>, 79(1), 24-29.</w:t>
      </w:r>
    </w:p>
    <w:p w14:paraId="7A47811A"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Basaran,  G</w:t>
      </w:r>
      <w:proofErr w:type="gramStart"/>
      <w:r w:rsidRPr="000A40E6">
        <w:rPr>
          <w:rFonts w:cs="Times New Roman"/>
          <w:szCs w:val="24"/>
        </w:rPr>
        <w:t>.,</w:t>
      </w:r>
      <w:proofErr w:type="gramEnd"/>
      <w:r w:rsidRPr="000A40E6">
        <w:rPr>
          <w:rFonts w:cs="Times New Roman"/>
          <w:szCs w:val="24"/>
        </w:rPr>
        <w:t xml:space="preserve">  Ozer,  T.,  Kaya,  F.A., &amp;  Hamamci,  O. (2006a). </w:t>
      </w:r>
      <w:proofErr w:type="gramStart"/>
      <w:r w:rsidRPr="000A40E6">
        <w:rPr>
          <w:rFonts w:cs="Times New Roman"/>
          <w:szCs w:val="24"/>
        </w:rPr>
        <w:t>Interleukins  2</w:t>
      </w:r>
      <w:proofErr w:type="gramEnd"/>
      <w:r w:rsidRPr="000A40E6">
        <w:rPr>
          <w:rFonts w:cs="Times New Roman"/>
          <w:szCs w:val="24"/>
        </w:rPr>
        <w:t xml:space="preserve">,  6,  and  8 levels in human gingival sulcus during orthodontic  treatment.  </w:t>
      </w:r>
      <w:proofErr w:type="gramStart"/>
      <w:r w:rsidRPr="000A40E6">
        <w:rPr>
          <w:rFonts w:cs="Times New Roman"/>
          <w:i/>
          <w:szCs w:val="24"/>
        </w:rPr>
        <w:t>American  Journal</w:t>
      </w:r>
      <w:proofErr w:type="gramEnd"/>
      <w:r w:rsidRPr="000A40E6">
        <w:rPr>
          <w:rFonts w:cs="Times New Roman"/>
          <w:i/>
          <w:szCs w:val="24"/>
        </w:rPr>
        <w:t xml:space="preserve"> of  Orthodontics and Dentofacial Orthopedics</w:t>
      </w:r>
      <w:r w:rsidRPr="000A40E6">
        <w:rPr>
          <w:rFonts w:cs="Times New Roman"/>
          <w:szCs w:val="24"/>
        </w:rPr>
        <w:t>, 130(1), 7-e1.</w:t>
      </w:r>
    </w:p>
    <w:p w14:paraId="2430B41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Basaran, G</w:t>
      </w:r>
      <w:proofErr w:type="gramStart"/>
      <w:r w:rsidRPr="000A40E6">
        <w:rPr>
          <w:rFonts w:cs="Times New Roman"/>
          <w:szCs w:val="24"/>
        </w:rPr>
        <w:t>.,</w:t>
      </w:r>
      <w:proofErr w:type="gramEnd"/>
      <w:r w:rsidRPr="000A40E6">
        <w:rPr>
          <w:rFonts w:cs="Times New Roman"/>
          <w:szCs w:val="24"/>
        </w:rPr>
        <w:t xml:space="preserve"> Ozer, T., Kaya, F.A., Kaplan, A., &amp; Hamamci, O. (2006b). Interleukine-1</w:t>
      </w:r>
      <w:r w:rsidRPr="000A40E6">
        <w:rPr>
          <w:rFonts w:ascii="Cambria Math" w:hAnsi="Cambria Math" w:cs="Cambria Math"/>
          <w:szCs w:val="24"/>
        </w:rPr>
        <w:t>𝛽</w:t>
      </w:r>
      <w:r w:rsidRPr="000A40E6">
        <w:rPr>
          <w:rFonts w:cs="Times New Roman"/>
          <w:szCs w:val="24"/>
        </w:rPr>
        <w:t xml:space="preserve"> and tumor necrosis factor-</w:t>
      </w:r>
      <w:r w:rsidRPr="000A40E6">
        <w:rPr>
          <w:rFonts w:ascii="Cambria Math" w:hAnsi="Cambria Math" w:cs="Cambria Math"/>
          <w:szCs w:val="24"/>
        </w:rPr>
        <w:t>𝛼</w:t>
      </w:r>
      <w:r w:rsidRPr="000A40E6">
        <w:rPr>
          <w:rFonts w:cs="Times New Roman"/>
          <w:szCs w:val="24"/>
        </w:rPr>
        <w:t xml:space="preserve"> levels in the human gingival sulcus during orthodontic treatment. </w:t>
      </w:r>
      <w:r w:rsidRPr="000A40E6">
        <w:rPr>
          <w:rFonts w:cs="Times New Roman"/>
          <w:i/>
          <w:szCs w:val="24"/>
        </w:rPr>
        <w:t>The Angle Orthodontist</w:t>
      </w:r>
      <w:r w:rsidRPr="000A40E6">
        <w:rPr>
          <w:rFonts w:cs="Times New Roman"/>
          <w:szCs w:val="24"/>
        </w:rPr>
        <w:t>, 76(5), 830–836.</w:t>
      </w:r>
    </w:p>
    <w:p w14:paraId="7B7A852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Basciftci, F. A</w:t>
      </w:r>
      <w:proofErr w:type="gramStart"/>
      <w:r w:rsidRPr="000A40E6">
        <w:rPr>
          <w:rFonts w:cs="Times New Roman"/>
          <w:szCs w:val="24"/>
        </w:rPr>
        <w:t>.,</w:t>
      </w:r>
      <w:proofErr w:type="gramEnd"/>
      <w:r w:rsidRPr="000A40E6">
        <w:rPr>
          <w:rFonts w:cs="Times New Roman"/>
          <w:szCs w:val="24"/>
        </w:rPr>
        <w:t xml:space="preserve"> </w:t>
      </w:r>
      <w:r w:rsidRPr="000A40E6">
        <w:rPr>
          <w:rFonts w:cs="Times New Roman"/>
          <w:color w:val="222222"/>
          <w:szCs w:val="24"/>
          <w:shd w:val="clear" w:color="auto" w:fill="FFFFFF"/>
        </w:rPr>
        <w:t xml:space="preserve">&amp; </w:t>
      </w:r>
      <w:r w:rsidRPr="000A40E6">
        <w:rPr>
          <w:rFonts w:cs="Times New Roman"/>
          <w:szCs w:val="24"/>
        </w:rPr>
        <w:t xml:space="preserve">Karaman, A. I. (2002). Effects of a modified acrylic bonded rapid maxillary expansion appliance and vertical chin cap on dentofacial structures. </w:t>
      </w:r>
      <w:r w:rsidRPr="000A40E6">
        <w:rPr>
          <w:rFonts w:cs="Times New Roman"/>
          <w:i/>
          <w:szCs w:val="24"/>
        </w:rPr>
        <w:t>The Angle Orthodontist</w:t>
      </w:r>
      <w:r w:rsidRPr="000A40E6">
        <w:rPr>
          <w:rFonts w:cs="Times New Roman"/>
          <w:szCs w:val="24"/>
        </w:rPr>
        <w:t>, 72(1), 61-71.</w:t>
      </w:r>
    </w:p>
    <w:p w14:paraId="2652904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Basciftci, F.A</w:t>
      </w:r>
      <w:proofErr w:type="gramStart"/>
      <w:r w:rsidRPr="000A40E6">
        <w:rPr>
          <w:rFonts w:cs="Times New Roman"/>
          <w:szCs w:val="24"/>
        </w:rPr>
        <w:t>.,</w:t>
      </w:r>
      <w:proofErr w:type="gramEnd"/>
      <w:r w:rsidRPr="000A40E6">
        <w:rPr>
          <w:rFonts w:cs="Times New Roman"/>
          <w:szCs w:val="24"/>
        </w:rPr>
        <w:t xml:space="preserve"> Mutlu, N., Karaman, A.I., Malkoc, S. &amp; Küçükkolbasi, H. (2002). Does the timing and method of rapid maxillary expansion have an effect on the changes in nasal dimensions? </w:t>
      </w:r>
      <w:r w:rsidRPr="000A40E6">
        <w:rPr>
          <w:rFonts w:cs="Times New Roman"/>
          <w:i/>
          <w:szCs w:val="24"/>
        </w:rPr>
        <w:t>The Angle Orthodontist</w:t>
      </w:r>
      <w:r w:rsidRPr="000A40E6">
        <w:rPr>
          <w:rFonts w:cs="Times New Roman"/>
          <w:szCs w:val="24"/>
        </w:rPr>
        <w:t>, 72(2), 118-123.</w:t>
      </w:r>
    </w:p>
    <w:p w14:paraId="48765B6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Batra,  P</w:t>
      </w:r>
      <w:proofErr w:type="gramStart"/>
      <w:r w:rsidRPr="000A40E6">
        <w:rPr>
          <w:rFonts w:cs="Times New Roman"/>
          <w:szCs w:val="24"/>
        </w:rPr>
        <w:t>.,</w:t>
      </w:r>
      <w:proofErr w:type="gramEnd"/>
      <w:r w:rsidRPr="000A40E6">
        <w:rPr>
          <w:rFonts w:cs="Times New Roman"/>
          <w:szCs w:val="24"/>
        </w:rPr>
        <w:t xml:space="preserve">  Kharbanda,  O.P.,  Duggal,  R., Singh,  N., &amp; Parkash,  H. (2006).  Alkaline </w:t>
      </w:r>
      <w:proofErr w:type="gramStart"/>
      <w:r w:rsidRPr="000A40E6">
        <w:rPr>
          <w:rFonts w:cs="Times New Roman"/>
          <w:szCs w:val="24"/>
        </w:rPr>
        <w:t>phosphatase  activity</w:t>
      </w:r>
      <w:proofErr w:type="gramEnd"/>
      <w:r w:rsidRPr="000A40E6">
        <w:rPr>
          <w:rFonts w:cs="Times New Roman"/>
          <w:szCs w:val="24"/>
        </w:rPr>
        <w:t xml:space="preserve">  in  gingival crevicular  fluid  during  canine retraction. </w:t>
      </w:r>
      <w:r w:rsidRPr="000A40E6">
        <w:rPr>
          <w:rFonts w:cs="Times New Roman"/>
          <w:i/>
          <w:szCs w:val="24"/>
        </w:rPr>
        <w:t xml:space="preserve">Orthodontics  </w:t>
      </w:r>
      <w:r w:rsidRPr="000A40E6">
        <w:rPr>
          <w:rFonts w:cs="Times New Roman"/>
          <w:szCs w:val="24"/>
        </w:rPr>
        <w:t>&amp;</w:t>
      </w:r>
      <w:r w:rsidRPr="000A40E6">
        <w:rPr>
          <w:rFonts w:cs="Times New Roman"/>
          <w:i/>
          <w:szCs w:val="24"/>
        </w:rPr>
        <w:t xml:space="preserve"> Craniofacial Research,</w:t>
      </w:r>
      <w:r w:rsidRPr="000A40E6">
        <w:rPr>
          <w:rFonts w:cs="Times New Roman"/>
          <w:szCs w:val="24"/>
        </w:rPr>
        <w:t xml:space="preserve"> 9(1), 44-51.</w:t>
      </w:r>
    </w:p>
    <w:p w14:paraId="7F9D1CD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Beberhold, K</w:t>
      </w:r>
      <w:proofErr w:type="gramStart"/>
      <w:r w:rsidRPr="000A40E6">
        <w:rPr>
          <w:rFonts w:cs="Times New Roman"/>
          <w:szCs w:val="24"/>
        </w:rPr>
        <w:t>.,</w:t>
      </w:r>
      <w:proofErr w:type="gramEnd"/>
      <w:r w:rsidRPr="000A40E6">
        <w:rPr>
          <w:rFonts w:cs="Times New Roman"/>
          <w:szCs w:val="24"/>
        </w:rPr>
        <w:t xml:space="preserve"> Sachse-Kulp, A., Schwestka-Polly, R., Hornecker, E. &amp; Ziebolz, D. (2012). The Orthodontic Plaque Index: an oral hygiene index for patients with multibracket appliances. </w:t>
      </w:r>
      <w:r w:rsidRPr="000A40E6">
        <w:rPr>
          <w:rFonts w:cs="Times New Roman"/>
          <w:i/>
          <w:szCs w:val="24"/>
        </w:rPr>
        <w:t xml:space="preserve">World Journal of </w:t>
      </w:r>
      <w:proofErr w:type="gramStart"/>
      <w:r w:rsidRPr="000A40E6">
        <w:rPr>
          <w:rFonts w:cs="Times New Roman"/>
          <w:i/>
          <w:szCs w:val="24"/>
        </w:rPr>
        <w:t>Orthodontics</w:t>
      </w:r>
      <w:r w:rsidRPr="000A40E6">
        <w:rPr>
          <w:rFonts w:cs="Times New Roman"/>
          <w:szCs w:val="24"/>
        </w:rPr>
        <w:t xml:space="preserve"> , 13</w:t>
      </w:r>
      <w:proofErr w:type="gramEnd"/>
      <w:r w:rsidRPr="000A40E6">
        <w:rPr>
          <w:rFonts w:cs="Times New Roman"/>
          <w:szCs w:val="24"/>
        </w:rPr>
        <w:t>(1), 94-99.</w:t>
      </w:r>
    </w:p>
    <w:p w14:paraId="4968343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Bell, R.A. (1982). A review of maxillary expansion in relation to rate of expansion and patient's age. </w:t>
      </w:r>
      <w:r w:rsidRPr="000A40E6">
        <w:rPr>
          <w:rFonts w:cs="Times New Roman"/>
          <w:i/>
          <w:szCs w:val="24"/>
        </w:rPr>
        <w:t>American Journal of Orthodontics</w:t>
      </w:r>
      <w:r w:rsidRPr="000A40E6">
        <w:rPr>
          <w:rFonts w:cs="Times New Roman"/>
          <w:szCs w:val="24"/>
        </w:rPr>
        <w:t>, 81(1), 32-37.</w:t>
      </w:r>
    </w:p>
    <w:p w14:paraId="3DA78F79" w14:textId="77777777" w:rsidR="00A3711B" w:rsidRPr="000A40E6" w:rsidRDefault="00A3711B" w:rsidP="00A3711B">
      <w:pPr>
        <w:suppressAutoHyphens/>
        <w:spacing w:after="120"/>
        <w:ind w:left="567" w:hanging="567"/>
        <w:rPr>
          <w:rFonts w:cs="Times New Roman"/>
          <w:i/>
          <w:szCs w:val="24"/>
        </w:rPr>
      </w:pPr>
      <w:r w:rsidRPr="000A40E6">
        <w:rPr>
          <w:rFonts w:cs="Times New Roman"/>
          <w:szCs w:val="24"/>
        </w:rPr>
        <w:t>Betts, N. J</w:t>
      </w:r>
      <w:proofErr w:type="gramStart"/>
      <w:r w:rsidRPr="000A40E6">
        <w:rPr>
          <w:rFonts w:cs="Times New Roman"/>
          <w:szCs w:val="24"/>
        </w:rPr>
        <w:t>.,</w:t>
      </w:r>
      <w:proofErr w:type="gramEnd"/>
      <w:r w:rsidRPr="000A40E6">
        <w:rPr>
          <w:rFonts w:cs="Times New Roman"/>
          <w:szCs w:val="24"/>
        </w:rPr>
        <w:t xml:space="preserve"> Vanarsdall, R. L., Barber, H. D., Higgins-Barber, K., &amp; Fonseca, R. (1995). Diagnosis and treatment of transverse maxillary deficiency. </w:t>
      </w:r>
      <w:r w:rsidRPr="000A40E6">
        <w:rPr>
          <w:rFonts w:cs="Times New Roman"/>
          <w:i/>
          <w:szCs w:val="24"/>
        </w:rPr>
        <w:t xml:space="preserve">The International Journal of Adult Orthodontics and Orthognathic Surgery, 10(2), </w:t>
      </w:r>
      <w:r w:rsidRPr="000A40E6">
        <w:rPr>
          <w:rFonts w:cs="Times New Roman"/>
          <w:szCs w:val="24"/>
        </w:rPr>
        <w:t>75-96.</w:t>
      </w:r>
    </w:p>
    <w:p w14:paraId="6037F3F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Biederman, W. (1968). A hygienic appliance for rapid expansion. </w:t>
      </w:r>
      <w:r w:rsidRPr="000A40E6">
        <w:rPr>
          <w:rFonts w:cs="Times New Roman"/>
          <w:i/>
          <w:szCs w:val="24"/>
        </w:rPr>
        <w:t>The Journal of Practical Orthodontics</w:t>
      </w:r>
      <w:r w:rsidRPr="000A40E6">
        <w:rPr>
          <w:rFonts w:cs="Times New Roman"/>
          <w:szCs w:val="24"/>
        </w:rPr>
        <w:t>, 2(2), 67-70.</w:t>
      </w:r>
    </w:p>
    <w:p w14:paraId="5D9730D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Biederman, W. (1973). Rapid correction of Class III malocclusion by midpalatal expansion. </w:t>
      </w:r>
      <w:r w:rsidRPr="000A40E6">
        <w:rPr>
          <w:rFonts w:cs="Times New Roman"/>
          <w:i/>
          <w:szCs w:val="24"/>
        </w:rPr>
        <w:t>American Journal of Orthodontics</w:t>
      </w:r>
      <w:r w:rsidRPr="000A40E6">
        <w:rPr>
          <w:rFonts w:cs="Times New Roman"/>
          <w:szCs w:val="24"/>
        </w:rPr>
        <w:t>, 63(1), 47-55.</w:t>
      </w:r>
    </w:p>
    <w:p w14:paraId="0C3A318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Bishara, S. E</w:t>
      </w:r>
      <w:proofErr w:type="gramStart"/>
      <w:r w:rsidRPr="000A40E6">
        <w:rPr>
          <w:rFonts w:cs="Times New Roman"/>
          <w:szCs w:val="24"/>
        </w:rPr>
        <w:t>.,</w:t>
      </w:r>
      <w:proofErr w:type="gramEnd"/>
      <w:r w:rsidRPr="000A40E6">
        <w:rPr>
          <w:rFonts w:cs="Times New Roman"/>
          <w:szCs w:val="24"/>
        </w:rPr>
        <w:t xml:space="preserve"> </w:t>
      </w:r>
      <w:r w:rsidRPr="000A40E6">
        <w:rPr>
          <w:rFonts w:cs="Times New Roman"/>
          <w:color w:val="222222"/>
          <w:szCs w:val="24"/>
          <w:shd w:val="clear" w:color="auto" w:fill="FFFFFF"/>
        </w:rPr>
        <w:t xml:space="preserve">&amp; </w:t>
      </w:r>
      <w:r w:rsidRPr="000A40E6">
        <w:rPr>
          <w:rFonts w:cs="Times New Roman"/>
          <w:szCs w:val="24"/>
        </w:rPr>
        <w:t xml:space="preserve">Staley, R. N. (1987). Maxillary expansion: clinical implications. </w:t>
      </w:r>
      <w:r w:rsidRPr="000A40E6">
        <w:rPr>
          <w:rFonts w:cs="Times New Roman"/>
          <w:i/>
          <w:szCs w:val="24"/>
        </w:rPr>
        <w:t>American Journal of Orthodontics and Dentofacial Orthopedics</w:t>
      </w:r>
      <w:r w:rsidRPr="000A40E6">
        <w:rPr>
          <w:rFonts w:cs="Times New Roman"/>
          <w:szCs w:val="24"/>
        </w:rPr>
        <w:t>, 91(1):3-14.</w:t>
      </w:r>
    </w:p>
    <w:p w14:paraId="2F89E39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Braun, S</w:t>
      </w:r>
      <w:proofErr w:type="gramStart"/>
      <w:r w:rsidRPr="000A40E6">
        <w:rPr>
          <w:rFonts w:cs="Times New Roman"/>
          <w:szCs w:val="24"/>
        </w:rPr>
        <w:t>.,</w:t>
      </w:r>
      <w:proofErr w:type="gramEnd"/>
      <w:r w:rsidRPr="000A40E6">
        <w:rPr>
          <w:rFonts w:cs="Times New Roman"/>
          <w:szCs w:val="24"/>
        </w:rPr>
        <w:t xml:space="preserve"> Bottrel, J.A., Lee, K.G., Lunazzi, J.J., &amp; Legan, H.L. (2000). The biomechanics of rapid maxillary sutural expansion. </w:t>
      </w:r>
      <w:r w:rsidRPr="000A40E6">
        <w:rPr>
          <w:rFonts w:cs="Times New Roman"/>
          <w:i/>
          <w:szCs w:val="24"/>
        </w:rPr>
        <w:t>American Journal of Orthodontics and Dentofacial Orthopedics</w:t>
      </w:r>
      <w:r w:rsidRPr="000A40E6">
        <w:rPr>
          <w:rFonts w:cs="Times New Roman"/>
          <w:szCs w:val="24"/>
        </w:rPr>
        <w:t>, 118(3):257-261.</w:t>
      </w:r>
    </w:p>
    <w:p w14:paraId="57EC63B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Brooks, P. J</w:t>
      </w:r>
      <w:proofErr w:type="gramStart"/>
      <w:r w:rsidRPr="000A40E6">
        <w:rPr>
          <w:rFonts w:cs="Times New Roman"/>
          <w:szCs w:val="24"/>
        </w:rPr>
        <w:t>.,</w:t>
      </w:r>
      <w:proofErr w:type="gramEnd"/>
      <w:r w:rsidRPr="000A40E6">
        <w:rPr>
          <w:rFonts w:cs="Times New Roman"/>
          <w:szCs w:val="24"/>
        </w:rPr>
        <w:t xml:space="preserve"> Heckler, A. F., Wei, K., &amp; Gong, S. G. (2011). M-</w:t>
      </w:r>
      <w:proofErr w:type="gramStart"/>
      <w:r w:rsidRPr="000A40E6">
        <w:rPr>
          <w:rFonts w:cs="Times New Roman"/>
          <w:szCs w:val="24"/>
        </w:rPr>
        <w:t>CSF  accelerates</w:t>
      </w:r>
      <w:proofErr w:type="gramEnd"/>
      <w:r w:rsidRPr="000A40E6">
        <w:rPr>
          <w:rFonts w:cs="Times New Roman"/>
          <w:szCs w:val="24"/>
        </w:rPr>
        <w:t xml:space="preserve">  orthodontic tooth  movement  by  targeting preosteoclasts  in  mice.  </w:t>
      </w:r>
      <w:r w:rsidRPr="000A40E6">
        <w:rPr>
          <w:rFonts w:cs="Times New Roman"/>
          <w:i/>
          <w:szCs w:val="24"/>
        </w:rPr>
        <w:t>The Angle Orthodontist</w:t>
      </w:r>
      <w:r w:rsidRPr="000A40E6">
        <w:rPr>
          <w:rFonts w:cs="Times New Roman"/>
          <w:szCs w:val="24"/>
        </w:rPr>
        <w:t>, 81(2), 277-283.</w:t>
      </w:r>
    </w:p>
    <w:p w14:paraId="22B9E06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Cameron, C.G. (2002). Long term effects of rapid maxillary expansion: a posteroanterior cephalometric evaluation. </w:t>
      </w:r>
      <w:r w:rsidRPr="000A40E6">
        <w:rPr>
          <w:rFonts w:cs="Times New Roman"/>
          <w:i/>
          <w:szCs w:val="24"/>
        </w:rPr>
        <w:t>American Journal of Orthodontics and Dentofacial Orthopedics</w:t>
      </w:r>
      <w:r w:rsidRPr="000A40E6">
        <w:rPr>
          <w:rFonts w:cs="Times New Roman"/>
          <w:szCs w:val="24"/>
        </w:rPr>
        <w:t>, 121, 129-135.</w:t>
      </w:r>
    </w:p>
    <w:p w14:paraId="4FE2E4D3" w14:textId="77777777" w:rsidR="00A3711B" w:rsidRPr="000A40E6" w:rsidRDefault="00A3711B" w:rsidP="00A3711B">
      <w:pPr>
        <w:suppressAutoHyphens/>
        <w:spacing w:after="120"/>
        <w:ind w:left="567" w:hanging="567"/>
        <w:rPr>
          <w:rStyle w:val="Kpr"/>
          <w:rFonts w:cs="Times New Roman"/>
          <w:color w:val="auto"/>
          <w:szCs w:val="24"/>
        </w:rPr>
      </w:pPr>
      <w:r w:rsidRPr="000A40E6">
        <w:rPr>
          <w:rFonts w:cs="Times New Roman"/>
          <w:szCs w:val="24"/>
        </w:rPr>
        <w:t>Campbell, G</w:t>
      </w:r>
      <w:proofErr w:type="gramStart"/>
      <w:r w:rsidRPr="000A40E6">
        <w:rPr>
          <w:rFonts w:cs="Times New Roman"/>
          <w:szCs w:val="24"/>
        </w:rPr>
        <w:t>.,</w:t>
      </w:r>
      <w:proofErr w:type="gramEnd"/>
      <w:r w:rsidRPr="000A40E6">
        <w:rPr>
          <w:rFonts w:cs="Times New Roman"/>
          <w:szCs w:val="24"/>
        </w:rPr>
        <w:t xml:space="preserve"> &amp; Skillings, J. H. (1985). Nonparametric Stepwise Multiple Comparison Procedures. </w:t>
      </w:r>
      <w:r w:rsidRPr="000A40E6">
        <w:rPr>
          <w:rFonts w:cs="Times New Roman"/>
          <w:i/>
          <w:szCs w:val="24"/>
        </w:rPr>
        <w:t>Journal of the American Statistical Association</w:t>
      </w:r>
      <w:r w:rsidRPr="000A40E6">
        <w:rPr>
          <w:rFonts w:cs="Times New Roman"/>
          <w:szCs w:val="24"/>
        </w:rPr>
        <w:t>, 80(392), 998–1003. https://doi.org/10.2307/2288566</w:t>
      </w:r>
    </w:p>
    <w:p w14:paraId="4E7153D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Camporesi, M</w:t>
      </w:r>
      <w:proofErr w:type="gramStart"/>
      <w:r w:rsidRPr="000A40E6">
        <w:rPr>
          <w:rFonts w:cs="Times New Roman"/>
          <w:szCs w:val="24"/>
        </w:rPr>
        <w:t>.,</w:t>
      </w:r>
      <w:proofErr w:type="gramEnd"/>
      <w:r w:rsidRPr="000A40E6">
        <w:rPr>
          <w:rFonts w:cs="Times New Roman"/>
          <w:szCs w:val="24"/>
        </w:rPr>
        <w:t xml:space="preserve"> Franchi, L., Doldo, T. &amp; Defraia, E. (2013). Evaluation of mechanical properties of three different screws for rapid maxillary expansion. </w:t>
      </w:r>
      <w:r w:rsidRPr="000A40E6">
        <w:rPr>
          <w:rFonts w:cs="Times New Roman"/>
          <w:i/>
          <w:szCs w:val="24"/>
        </w:rPr>
        <w:t>Biomedical Engineering Online Journal,</w:t>
      </w:r>
      <w:r w:rsidRPr="000A40E6">
        <w:rPr>
          <w:rFonts w:cs="Times New Roman"/>
          <w:szCs w:val="24"/>
        </w:rPr>
        <w:t xml:space="preserve"> 12(1), 1-9.</w:t>
      </w:r>
    </w:p>
    <w:p w14:paraId="6CAA02C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Cavalcanti, M.G</w:t>
      </w:r>
      <w:proofErr w:type="gramStart"/>
      <w:r w:rsidRPr="000A40E6">
        <w:rPr>
          <w:rFonts w:cs="Times New Roman"/>
          <w:szCs w:val="24"/>
        </w:rPr>
        <w:t>.,</w:t>
      </w:r>
      <w:proofErr w:type="gramEnd"/>
      <w:r w:rsidRPr="000A40E6">
        <w:rPr>
          <w:rFonts w:cs="Times New Roman"/>
          <w:szCs w:val="24"/>
        </w:rPr>
        <w:t xml:space="preserve"> Haller, J.W., </w:t>
      </w:r>
      <w:r w:rsidRPr="000A40E6">
        <w:rPr>
          <w:rFonts w:cs="Times New Roman"/>
          <w:szCs w:val="24"/>
          <w:shd w:val="clear" w:color="auto" w:fill="FFFFFF"/>
        </w:rPr>
        <w:t xml:space="preserve">&amp; </w:t>
      </w:r>
      <w:r w:rsidRPr="000A40E6">
        <w:rPr>
          <w:rFonts w:cs="Times New Roman"/>
          <w:szCs w:val="24"/>
        </w:rPr>
        <w:t xml:space="preserve">Vannier, M.W. (1999). Three-dimensional computed tomography landmark measurement in craniofacial surgical planning: experimental 65 validation in vitro. </w:t>
      </w:r>
      <w:r w:rsidRPr="000A40E6">
        <w:rPr>
          <w:rFonts w:cs="Times New Roman"/>
          <w:i/>
          <w:szCs w:val="24"/>
        </w:rPr>
        <w:t>Journal of Oral and Maxillofacial Surgery</w:t>
      </w:r>
      <w:r w:rsidRPr="000A40E6">
        <w:rPr>
          <w:rFonts w:cs="Times New Roman"/>
          <w:szCs w:val="24"/>
        </w:rPr>
        <w:t>, 57(6), 690-4.</w:t>
      </w:r>
    </w:p>
    <w:p w14:paraId="51392B1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Ceylan, I</w:t>
      </w:r>
      <w:proofErr w:type="gramStart"/>
      <w:r w:rsidRPr="000A40E6">
        <w:rPr>
          <w:rFonts w:cs="Times New Roman"/>
          <w:szCs w:val="24"/>
        </w:rPr>
        <w:t>.,</w:t>
      </w:r>
      <w:proofErr w:type="gramEnd"/>
      <w:r w:rsidRPr="000A40E6">
        <w:rPr>
          <w:rFonts w:cs="Times New Roman"/>
          <w:szCs w:val="24"/>
        </w:rPr>
        <w:t xml:space="preserve"> Oktay, H., &amp; Demirci, M. (1996). The effect of rapid maxillary expansion on conductive hearing loss. </w:t>
      </w:r>
      <w:r w:rsidRPr="000A40E6">
        <w:rPr>
          <w:rFonts w:cs="Times New Roman"/>
          <w:i/>
          <w:szCs w:val="24"/>
        </w:rPr>
        <w:t>The Angle Orthodontist</w:t>
      </w:r>
      <w:r w:rsidRPr="000A40E6">
        <w:rPr>
          <w:rFonts w:cs="Times New Roman"/>
          <w:szCs w:val="24"/>
        </w:rPr>
        <w:t>, 66(4), 301-308.</w:t>
      </w:r>
    </w:p>
    <w:p w14:paraId="1936DE0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Chaconas, S. J</w:t>
      </w:r>
      <w:proofErr w:type="gramStart"/>
      <w:r w:rsidRPr="000A40E6">
        <w:rPr>
          <w:rFonts w:cs="Times New Roman"/>
          <w:szCs w:val="24"/>
        </w:rPr>
        <w:t>.,</w:t>
      </w:r>
      <w:proofErr w:type="gramEnd"/>
      <w:r w:rsidRPr="000A40E6">
        <w:rPr>
          <w:rFonts w:cs="Times New Roman"/>
          <w:szCs w:val="24"/>
        </w:rPr>
        <w:t xml:space="preserve"> &amp; Caputo, A. A. (1982). Observation of orthopedic force distribution produced by maxillary orthodontic appliances. </w:t>
      </w:r>
      <w:r w:rsidRPr="000A40E6">
        <w:rPr>
          <w:rFonts w:cs="Times New Roman"/>
          <w:i/>
          <w:szCs w:val="24"/>
        </w:rPr>
        <w:t>American Journal of Orthodontics</w:t>
      </w:r>
      <w:r w:rsidRPr="000A40E6">
        <w:rPr>
          <w:rFonts w:cs="Times New Roman"/>
          <w:szCs w:val="24"/>
        </w:rPr>
        <w:t>, 82(6), 492-501.</w:t>
      </w:r>
    </w:p>
    <w:p w14:paraId="68EFC59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Champagne, C.M</w:t>
      </w:r>
      <w:proofErr w:type="gramStart"/>
      <w:r w:rsidRPr="000A40E6">
        <w:rPr>
          <w:rFonts w:cs="Times New Roman"/>
          <w:szCs w:val="24"/>
        </w:rPr>
        <w:t>.,</w:t>
      </w:r>
      <w:proofErr w:type="gramEnd"/>
      <w:r w:rsidRPr="000A40E6">
        <w:rPr>
          <w:rFonts w:cs="Times New Roman"/>
          <w:szCs w:val="24"/>
        </w:rPr>
        <w:t xml:space="preserve"> Buchanan, W., Reddy, M.S., Preisser, J.S., Beck, J.D., &amp; Offenbacher, S. (2003). Potential for gingival crevice fluid measures as predictors of risk for periodontal diseases. </w:t>
      </w:r>
      <w:r w:rsidRPr="000A40E6">
        <w:rPr>
          <w:rFonts w:cs="Times New Roman"/>
          <w:i/>
          <w:szCs w:val="24"/>
        </w:rPr>
        <w:t>Periodontology 2000,</w:t>
      </w:r>
      <w:r w:rsidRPr="000A40E6">
        <w:rPr>
          <w:rFonts w:cs="Times New Roman"/>
          <w:szCs w:val="24"/>
        </w:rPr>
        <w:t xml:space="preserve"> 31(1), 167-180.</w:t>
      </w:r>
    </w:p>
    <w:p w14:paraId="517C546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Chang, J. Y</w:t>
      </w:r>
      <w:proofErr w:type="gramStart"/>
      <w:r w:rsidRPr="000A40E6">
        <w:rPr>
          <w:rFonts w:cs="Times New Roman"/>
          <w:szCs w:val="24"/>
        </w:rPr>
        <w:t>.,</w:t>
      </w:r>
      <w:proofErr w:type="gramEnd"/>
      <w:r w:rsidRPr="000A40E6">
        <w:rPr>
          <w:rFonts w:cs="Times New Roman"/>
          <w:szCs w:val="24"/>
        </w:rPr>
        <w:t xml:space="preserve"> McNamara Jr, J. A., &amp; Herberger, T. A. (1997). A longitudinal study of skeletal side effects induced by rapid maxillary expansion. </w:t>
      </w:r>
      <w:r w:rsidRPr="000A40E6">
        <w:rPr>
          <w:rFonts w:cs="Times New Roman"/>
          <w:i/>
          <w:szCs w:val="24"/>
        </w:rPr>
        <w:t xml:space="preserve">American Journal </w:t>
      </w:r>
      <w:proofErr w:type="gramStart"/>
      <w:r w:rsidRPr="000A40E6">
        <w:rPr>
          <w:rFonts w:cs="Times New Roman"/>
          <w:i/>
          <w:szCs w:val="24"/>
        </w:rPr>
        <w:t>of  Orthodontics</w:t>
      </w:r>
      <w:proofErr w:type="gramEnd"/>
      <w:r w:rsidRPr="000A40E6">
        <w:rPr>
          <w:rFonts w:cs="Times New Roman"/>
          <w:szCs w:val="24"/>
        </w:rPr>
        <w:t>, 112(3), 330-337</w:t>
      </w:r>
      <w:r w:rsidRPr="000A40E6">
        <w:rPr>
          <w:rFonts w:cs="Times New Roman"/>
          <w:szCs w:val="24"/>
          <w:shd w:val="clear" w:color="auto" w:fill="FFFFFF"/>
        </w:rPr>
        <w:t>.</w:t>
      </w:r>
    </w:p>
    <w:p w14:paraId="29BDBFE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Chapple, I. L. C</w:t>
      </w:r>
      <w:proofErr w:type="gramStart"/>
      <w:r w:rsidRPr="000A40E6">
        <w:rPr>
          <w:rFonts w:cs="Times New Roman"/>
          <w:szCs w:val="24"/>
        </w:rPr>
        <w:t>.,</w:t>
      </w:r>
      <w:proofErr w:type="gramEnd"/>
      <w:r w:rsidRPr="000A40E6">
        <w:rPr>
          <w:rFonts w:cs="Times New Roman"/>
          <w:szCs w:val="24"/>
        </w:rPr>
        <w:t xml:space="preserve"> Garner, I., Saxby, M. S., Moscrop, H., &amp; Matthews, J. B. (1999b). Prediction and diagnosis of attachment loss by enhanced chemiluminescent assay of crevicular fluid alkaline phosphatase levels. </w:t>
      </w:r>
      <w:r w:rsidRPr="000A40E6">
        <w:rPr>
          <w:rFonts w:cs="Times New Roman"/>
          <w:i/>
          <w:szCs w:val="24"/>
        </w:rPr>
        <w:t xml:space="preserve">Journal of Clinical Periodontology, </w:t>
      </w:r>
      <w:r w:rsidRPr="000A40E6">
        <w:rPr>
          <w:rFonts w:cs="Times New Roman"/>
          <w:szCs w:val="24"/>
        </w:rPr>
        <w:t>26(3), 190-198.</w:t>
      </w:r>
    </w:p>
    <w:p w14:paraId="6F775F9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Chapple, I.L.C</w:t>
      </w:r>
      <w:proofErr w:type="gramStart"/>
      <w:r w:rsidRPr="000A40E6">
        <w:rPr>
          <w:rFonts w:cs="Times New Roman"/>
          <w:szCs w:val="24"/>
        </w:rPr>
        <w:t>.,</w:t>
      </w:r>
      <w:proofErr w:type="gramEnd"/>
      <w:r w:rsidRPr="000A40E6">
        <w:rPr>
          <w:rFonts w:cs="Times New Roman"/>
          <w:szCs w:val="24"/>
        </w:rPr>
        <w:t xml:space="preserve"> Landini, G., Griffiths, G.S., Patel, N.C., &amp; Ward, R.S.N. (1999a). Calibration of the Periotron 8000 and 6000 by polynomial regression. </w:t>
      </w:r>
      <w:r w:rsidRPr="000A40E6">
        <w:rPr>
          <w:rFonts w:cs="Times New Roman"/>
          <w:i/>
          <w:szCs w:val="24"/>
        </w:rPr>
        <w:t xml:space="preserve">Journal </w:t>
      </w:r>
      <w:proofErr w:type="gramStart"/>
      <w:r w:rsidRPr="000A40E6">
        <w:rPr>
          <w:rFonts w:cs="Times New Roman"/>
          <w:i/>
          <w:szCs w:val="24"/>
        </w:rPr>
        <w:t>of  Periodontal</w:t>
      </w:r>
      <w:proofErr w:type="gramEnd"/>
      <w:r w:rsidRPr="000A40E6">
        <w:rPr>
          <w:rFonts w:cs="Times New Roman"/>
          <w:i/>
          <w:szCs w:val="24"/>
        </w:rPr>
        <w:t xml:space="preserve"> Research,</w:t>
      </w:r>
      <w:r w:rsidRPr="000A40E6">
        <w:rPr>
          <w:rFonts w:cs="Times New Roman"/>
          <w:szCs w:val="24"/>
        </w:rPr>
        <w:t xml:space="preserve"> 34(2), 79–86.</w:t>
      </w:r>
    </w:p>
    <w:p w14:paraId="519A6AC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Chibebe, P. C</w:t>
      </w:r>
      <w:proofErr w:type="gramStart"/>
      <w:r w:rsidRPr="000A40E6">
        <w:rPr>
          <w:rFonts w:cs="Times New Roman"/>
          <w:szCs w:val="24"/>
        </w:rPr>
        <w:t>.,</w:t>
      </w:r>
      <w:proofErr w:type="gramEnd"/>
      <w:r w:rsidRPr="000A40E6">
        <w:rPr>
          <w:rFonts w:cs="Times New Roman"/>
          <w:szCs w:val="24"/>
        </w:rPr>
        <w:t xml:space="preserve"> Starobinas, N., &amp; Pallos, D. (2010). Juveniles versus adults: differences in </w:t>
      </w:r>
      <w:proofErr w:type="gramStart"/>
      <w:r w:rsidRPr="000A40E6">
        <w:rPr>
          <w:rFonts w:cs="Times New Roman"/>
          <w:szCs w:val="24"/>
        </w:rPr>
        <w:t>PGE2  levels</w:t>
      </w:r>
      <w:proofErr w:type="gramEnd"/>
      <w:r w:rsidRPr="000A40E6">
        <w:rPr>
          <w:rFonts w:cs="Times New Roman"/>
          <w:szCs w:val="24"/>
        </w:rPr>
        <w:t xml:space="preserve">  in  the  gingival  crevicular fluid  during  orthodontic  tooth movement.  </w:t>
      </w:r>
      <w:proofErr w:type="gramStart"/>
      <w:r w:rsidRPr="000A40E6">
        <w:rPr>
          <w:rFonts w:cs="Times New Roman"/>
          <w:i/>
          <w:szCs w:val="24"/>
        </w:rPr>
        <w:t>Braz  Oral</w:t>
      </w:r>
      <w:proofErr w:type="gramEnd"/>
      <w:r w:rsidRPr="000A40E6">
        <w:rPr>
          <w:rFonts w:cs="Times New Roman"/>
          <w:i/>
          <w:szCs w:val="24"/>
        </w:rPr>
        <w:t xml:space="preserve">  Res</w:t>
      </w:r>
      <w:r w:rsidRPr="000A40E6">
        <w:rPr>
          <w:rFonts w:cs="Times New Roman"/>
          <w:szCs w:val="24"/>
        </w:rPr>
        <w:t>, 24(1), 108-113.</w:t>
      </w:r>
    </w:p>
    <w:p w14:paraId="2BFE851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Christenson, R.H. (1997). Biochemical markers of bone metabolism: an overview. </w:t>
      </w:r>
      <w:r w:rsidRPr="000A40E6">
        <w:rPr>
          <w:rFonts w:cs="Times New Roman"/>
          <w:i/>
          <w:szCs w:val="24"/>
        </w:rPr>
        <w:t>Clinical Biochemistry</w:t>
      </w:r>
      <w:r w:rsidRPr="000A40E6">
        <w:rPr>
          <w:rFonts w:cs="Times New Roman"/>
          <w:szCs w:val="24"/>
        </w:rPr>
        <w:t>, 30(8), 573-593.</w:t>
      </w:r>
    </w:p>
    <w:p w14:paraId="5E44C3C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Christie, T. E</w:t>
      </w:r>
      <w:proofErr w:type="gramStart"/>
      <w:r w:rsidRPr="000A40E6">
        <w:rPr>
          <w:rFonts w:cs="Times New Roman"/>
          <w:szCs w:val="24"/>
        </w:rPr>
        <w:t>.,</w:t>
      </w:r>
      <w:proofErr w:type="gramEnd"/>
      <w:r w:rsidRPr="000A40E6">
        <w:rPr>
          <w:rFonts w:cs="Times New Roman"/>
          <w:szCs w:val="24"/>
        </w:rPr>
        <w:t xml:space="preserve"> &amp; Ruedemann, P. P. (1967). Rapid separation of the mid-palatal suture. </w:t>
      </w:r>
      <w:r w:rsidRPr="000A40E6">
        <w:rPr>
          <w:rFonts w:cs="Times New Roman"/>
          <w:i/>
          <w:szCs w:val="24"/>
        </w:rPr>
        <w:t>The Journal of Practical Orthodontics</w:t>
      </w:r>
      <w:r w:rsidRPr="000A40E6">
        <w:rPr>
          <w:rFonts w:cs="Times New Roman"/>
          <w:szCs w:val="24"/>
        </w:rPr>
        <w:t>, 1(1), 19-21.</w:t>
      </w:r>
    </w:p>
    <w:p w14:paraId="0F17B63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Chung, C.H</w:t>
      </w:r>
      <w:proofErr w:type="gramStart"/>
      <w:r w:rsidRPr="000A40E6">
        <w:rPr>
          <w:rFonts w:cs="Times New Roman"/>
          <w:szCs w:val="24"/>
        </w:rPr>
        <w:t>.,</w:t>
      </w:r>
      <w:proofErr w:type="gramEnd"/>
      <w:r w:rsidRPr="000A40E6">
        <w:rPr>
          <w:rFonts w:cs="Times New Roman"/>
          <w:szCs w:val="24"/>
        </w:rPr>
        <w:t xml:space="preserve"> &amp; Font, B. (2004). Skeletal and dental changes in the sagittal, vertical, and transverse dimensions after rapid palatal expansion. </w:t>
      </w:r>
      <w:r w:rsidRPr="000A40E6">
        <w:rPr>
          <w:rFonts w:cs="Times New Roman"/>
          <w:i/>
          <w:szCs w:val="24"/>
        </w:rPr>
        <w:t>American Journal of Orthodontics and Dentofacial Orthopedics</w:t>
      </w:r>
      <w:r w:rsidRPr="000A40E6">
        <w:rPr>
          <w:rFonts w:cs="Times New Roman"/>
          <w:szCs w:val="24"/>
        </w:rPr>
        <w:t>, 126(5), 569-575.</w:t>
      </w:r>
    </w:p>
    <w:p w14:paraId="1BB6E8D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Ciambotti, C</w:t>
      </w:r>
      <w:proofErr w:type="gramStart"/>
      <w:r w:rsidRPr="000A40E6">
        <w:rPr>
          <w:rFonts w:cs="Times New Roman"/>
          <w:szCs w:val="24"/>
        </w:rPr>
        <w:t>.,</w:t>
      </w:r>
      <w:proofErr w:type="gramEnd"/>
      <w:r w:rsidRPr="000A40E6">
        <w:rPr>
          <w:rFonts w:cs="Times New Roman"/>
          <w:szCs w:val="24"/>
        </w:rPr>
        <w:t xml:space="preserve"> Ngan, P., Durkee, M., Kohli, K., &amp; Kim, H. (2001). A comparison of dental and dentoalveolar changes between rapid palatal expansion and nickel-titanium palatal expansion appliances. </w:t>
      </w:r>
      <w:r w:rsidRPr="000A40E6">
        <w:rPr>
          <w:rFonts w:cs="Times New Roman"/>
          <w:i/>
          <w:szCs w:val="24"/>
        </w:rPr>
        <w:t>American Journal of Orthodontics and Dentofacial Orthopedics</w:t>
      </w:r>
      <w:r w:rsidRPr="000A40E6">
        <w:rPr>
          <w:rFonts w:cs="Times New Roman"/>
          <w:szCs w:val="24"/>
        </w:rPr>
        <w:t>, 119(1) ,11-20.</w:t>
      </w:r>
    </w:p>
    <w:p w14:paraId="530EB60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Cimasoni, G. (1983). Crevicular fluid updated. </w:t>
      </w:r>
      <w:r w:rsidRPr="000A40E6">
        <w:rPr>
          <w:rFonts w:cs="Times New Roman"/>
          <w:i/>
          <w:iCs/>
          <w:szCs w:val="24"/>
          <w:shd w:val="clear" w:color="auto" w:fill="FFFFFF"/>
        </w:rPr>
        <w:t>Monographs in Oral Science</w:t>
      </w:r>
      <w:r w:rsidRPr="000A40E6">
        <w:rPr>
          <w:rFonts w:cs="Times New Roman"/>
          <w:szCs w:val="24"/>
          <w:shd w:val="clear" w:color="auto" w:fill="FFFFFF"/>
        </w:rPr>
        <w:t>, </w:t>
      </w:r>
      <w:r w:rsidRPr="000A40E6">
        <w:rPr>
          <w:rFonts w:cs="Times New Roman"/>
          <w:i/>
          <w:iCs/>
          <w:szCs w:val="24"/>
          <w:shd w:val="clear" w:color="auto" w:fill="FFFFFF"/>
        </w:rPr>
        <w:t>12</w:t>
      </w:r>
      <w:r w:rsidRPr="000A40E6">
        <w:rPr>
          <w:rFonts w:cs="Times New Roman"/>
          <w:szCs w:val="24"/>
          <w:shd w:val="clear" w:color="auto" w:fill="FFFFFF"/>
        </w:rPr>
        <w:t>.</w:t>
      </w:r>
    </w:p>
    <w:p w14:paraId="7669058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Cleall, J. F</w:t>
      </w:r>
      <w:proofErr w:type="gramStart"/>
      <w:r w:rsidRPr="000A40E6">
        <w:rPr>
          <w:rFonts w:cs="Times New Roman"/>
          <w:szCs w:val="24"/>
        </w:rPr>
        <w:t>.,</w:t>
      </w:r>
      <w:proofErr w:type="gramEnd"/>
      <w:r w:rsidRPr="000A40E6">
        <w:rPr>
          <w:rFonts w:cs="Times New Roman"/>
          <w:szCs w:val="24"/>
        </w:rPr>
        <w:t xml:space="preserve"> Bayne, D. I., Posen, J. M. &amp; Subtelny, J. D. (1965). Expansion of the midpalatal suture in the monkey. </w:t>
      </w:r>
      <w:r w:rsidRPr="000A40E6">
        <w:rPr>
          <w:rFonts w:cs="Times New Roman"/>
          <w:i/>
          <w:szCs w:val="24"/>
        </w:rPr>
        <w:t>The Angle Orthodontist</w:t>
      </w:r>
      <w:r w:rsidRPr="000A40E6">
        <w:rPr>
          <w:rFonts w:cs="Times New Roman"/>
          <w:szCs w:val="24"/>
        </w:rPr>
        <w:t>, 35(1), 23-35.</w:t>
      </w:r>
    </w:p>
    <w:p w14:paraId="3606CD1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Cox, S. W</w:t>
      </w:r>
      <w:proofErr w:type="gramStart"/>
      <w:r w:rsidRPr="000A40E6">
        <w:rPr>
          <w:rFonts w:cs="Times New Roman"/>
          <w:szCs w:val="24"/>
        </w:rPr>
        <w:t>.,</w:t>
      </w:r>
      <w:proofErr w:type="gramEnd"/>
      <w:r w:rsidRPr="000A40E6">
        <w:rPr>
          <w:rFonts w:cs="Times New Roman"/>
          <w:szCs w:val="24"/>
        </w:rPr>
        <w:t xml:space="preserve"> Gazi, M. I., &amp; Eley, B. M. (1992). Dipeptidyl peptidase II and IV–like activities in gingival tissue and crevicular fluid from human periodontitis lesions. </w:t>
      </w:r>
      <w:r w:rsidRPr="000A40E6">
        <w:rPr>
          <w:rFonts w:cs="Times New Roman"/>
          <w:i/>
          <w:szCs w:val="24"/>
        </w:rPr>
        <w:t>Archives of Oral Biology,</w:t>
      </w:r>
      <w:r w:rsidRPr="000A40E6">
        <w:rPr>
          <w:rFonts w:cs="Times New Roman"/>
          <w:szCs w:val="24"/>
        </w:rPr>
        <w:t xml:space="preserve"> 37(3),167-173.</w:t>
      </w:r>
    </w:p>
    <w:p w14:paraId="3DF791C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Cozza, P</w:t>
      </w:r>
      <w:proofErr w:type="gramStart"/>
      <w:r w:rsidRPr="000A40E6">
        <w:rPr>
          <w:rFonts w:cs="Times New Roman"/>
          <w:szCs w:val="24"/>
        </w:rPr>
        <w:t>.,</w:t>
      </w:r>
      <w:proofErr w:type="gramEnd"/>
      <w:r w:rsidRPr="000A40E6">
        <w:rPr>
          <w:rFonts w:cs="Times New Roman"/>
          <w:szCs w:val="24"/>
        </w:rPr>
        <w:t xml:space="preserve"> Giancotti, A., &amp; Petrosino, A. (2001). Rapid palatal expansion in mixed dentition using a modified expander: A cephalometric investigation. </w:t>
      </w:r>
      <w:r w:rsidRPr="000A40E6">
        <w:rPr>
          <w:rFonts w:cs="Times New Roman"/>
          <w:i/>
          <w:szCs w:val="24"/>
        </w:rPr>
        <w:t>Journal of Orthodontics</w:t>
      </w:r>
      <w:r w:rsidRPr="000A40E6">
        <w:rPr>
          <w:rFonts w:cs="Times New Roman"/>
          <w:szCs w:val="24"/>
        </w:rPr>
        <w:t>, 28(2), 129–134.</w:t>
      </w:r>
    </w:p>
    <w:p w14:paraId="5D9F3FC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Cross, D. L</w:t>
      </w:r>
      <w:proofErr w:type="gramStart"/>
      <w:r w:rsidRPr="000A40E6">
        <w:rPr>
          <w:rFonts w:cs="Times New Roman"/>
          <w:szCs w:val="24"/>
        </w:rPr>
        <w:t>.,</w:t>
      </w:r>
      <w:proofErr w:type="gramEnd"/>
      <w:r w:rsidRPr="000A40E6">
        <w:rPr>
          <w:rFonts w:cs="Times New Roman"/>
          <w:szCs w:val="24"/>
        </w:rPr>
        <w:t xml:space="preserve"> &amp; Mcdonald, J. P. (2000). Effect of rapid maxillary expansion on skeletal, dental, and nasal structures: a postero-anterior cephalometric study. </w:t>
      </w:r>
      <w:r w:rsidRPr="000A40E6">
        <w:rPr>
          <w:rFonts w:cs="Times New Roman"/>
          <w:i/>
          <w:szCs w:val="24"/>
        </w:rPr>
        <w:t>European Journal of Orthodontics</w:t>
      </w:r>
      <w:r w:rsidRPr="000A40E6">
        <w:rPr>
          <w:rFonts w:cs="Times New Roman"/>
          <w:szCs w:val="24"/>
        </w:rPr>
        <w:t>, 22(5), 519-528.</w:t>
      </w:r>
    </w:p>
    <w:p w14:paraId="415E84A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da Silva Filho, O. G</w:t>
      </w:r>
      <w:proofErr w:type="gramStart"/>
      <w:r w:rsidRPr="000A40E6">
        <w:rPr>
          <w:rFonts w:cs="Times New Roman"/>
          <w:szCs w:val="24"/>
        </w:rPr>
        <w:t>.,</w:t>
      </w:r>
      <w:proofErr w:type="gramEnd"/>
      <w:r w:rsidRPr="000A40E6">
        <w:rPr>
          <w:rFonts w:cs="Times New Roman"/>
          <w:szCs w:val="24"/>
        </w:rPr>
        <w:t xml:space="preserve"> Boas, M. C., &amp; Capelozza, L. F. (1991). Rapid maxillary expansion in the primary and mixed dentitions: a cephalometric evaluation. </w:t>
      </w:r>
      <w:r w:rsidRPr="000A40E6">
        <w:rPr>
          <w:rFonts w:cs="Times New Roman"/>
          <w:i/>
          <w:szCs w:val="24"/>
        </w:rPr>
        <w:t>American Journal of Orthodontics and Dentofacial Orthopedics</w:t>
      </w:r>
      <w:r w:rsidRPr="000A40E6">
        <w:rPr>
          <w:rFonts w:cs="Times New Roman"/>
          <w:szCs w:val="24"/>
        </w:rPr>
        <w:t>, 100(2), 171-179.</w:t>
      </w:r>
    </w:p>
    <w:p w14:paraId="62136F2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da Silva Filho, O. G</w:t>
      </w:r>
      <w:proofErr w:type="gramStart"/>
      <w:r w:rsidRPr="000A40E6">
        <w:rPr>
          <w:rFonts w:cs="Times New Roman"/>
          <w:szCs w:val="24"/>
        </w:rPr>
        <w:t>.,</w:t>
      </w:r>
      <w:proofErr w:type="gramEnd"/>
      <w:r w:rsidRPr="000A40E6">
        <w:rPr>
          <w:rFonts w:cs="Times New Roman"/>
          <w:szCs w:val="24"/>
        </w:rPr>
        <w:t xml:space="preserve"> Lara, T. S., Da Silva, H. C., &amp; Bertoz, F. A. (2007). Post expansion evaluation of the midpalatal suture in children submitted to rapid palatal expansion: a CT study. </w:t>
      </w:r>
      <w:r w:rsidRPr="000A40E6">
        <w:rPr>
          <w:rFonts w:cs="Times New Roman"/>
          <w:i/>
          <w:szCs w:val="24"/>
        </w:rPr>
        <w:t>Journal of Clinical Pediatric Dentistry</w:t>
      </w:r>
      <w:r w:rsidRPr="000A40E6">
        <w:rPr>
          <w:rFonts w:cs="Times New Roman"/>
          <w:szCs w:val="24"/>
        </w:rPr>
        <w:t>, 31(2), 142-148.</w:t>
      </w:r>
    </w:p>
    <w:p w14:paraId="1E9B1FE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da Silva Filho, O. G</w:t>
      </w:r>
      <w:proofErr w:type="gramStart"/>
      <w:r w:rsidRPr="000A40E6">
        <w:rPr>
          <w:rFonts w:cs="Times New Roman"/>
          <w:szCs w:val="24"/>
        </w:rPr>
        <w:t>.,</w:t>
      </w:r>
      <w:proofErr w:type="gramEnd"/>
      <w:r w:rsidRPr="000A40E6">
        <w:rPr>
          <w:rFonts w:cs="Times New Roman"/>
          <w:szCs w:val="24"/>
        </w:rPr>
        <w:t xml:space="preserve"> Lara, T.S, Malagodi de Almeida, A. &amp; Cristina da Silva, H. (2005). Evaluation of the midpalatal suture during rapid palatal expansion in children: a CT study. </w:t>
      </w:r>
      <w:r w:rsidRPr="000A40E6">
        <w:rPr>
          <w:rFonts w:cs="Times New Roman"/>
          <w:i/>
          <w:szCs w:val="24"/>
        </w:rPr>
        <w:t>Journal of Clinical Pediatric Dentistry</w:t>
      </w:r>
      <w:r w:rsidRPr="000A40E6">
        <w:rPr>
          <w:rFonts w:cs="Times New Roman"/>
          <w:szCs w:val="24"/>
        </w:rPr>
        <w:t>, 29(3), 231-238.</w:t>
      </w:r>
    </w:p>
    <w:p w14:paraId="4022BAE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da Silva Filho, O. G</w:t>
      </w:r>
      <w:proofErr w:type="gramStart"/>
      <w:r w:rsidRPr="000A40E6">
        <w:rPr>
          <w:rFonts w:cs="Times New Roman"/>
          <w:szCs w:val="24"/>
        </w:rPr>
        <w:t>.,</w:t>
      </w:r>
      <w:proofErr w:type="gramEnd"/>
      <w:r w:rsidRPr="000A40E6">
        <w:rPr>
          <w:rFonts w:cs="Times New Roman"/>
          <w:szCs w:val="24"/>
        </w:rPr>
        <w:t xml:space="preserve"> Montes, L. A. </w:t>
      </w:r>
      <w:r w:rsidRPr="000A40E6">
        <w:rPr>
          <w:rFonts w:cs="Times New Roman"/>
          <w:szCs w:val="24"/>
          <w:shd w:val="clear" w:color="auto" w:fill="FFFFFF"/>
        </w:rPr>
        <w:t>&amp;</w:t>
      </w:r>
      <w:r w:rsidRPr="000A40E6">
        <w:rPr>
          <w:rFonts w:cs="Times New Roman"/>
          <w:szCs w:val="24"/>
        </w:rPr>
        <w:t xml:space="preserve"> Torelly, L. F. (1995). Rapid maxillary expansion in the deciduous and mixed dentition evaluated through posteroanterior cephalometric analysis. </w:t>
      </w:r>
      <w:r w:rsidRPr="000A40E6">
        <w:rPr>
          <w:rFonts w:cs="Times New Roman"/>
          <w:i/>
          <w:szCs w:val="24"/>
        </w:rPr>
        <w:t>American Journal of Orthodontics and Dentofacial Orthopedics</w:t>
      </w:r>
      <w:r w:rsidRPr="000A40E6">
        <w:rPr>
          <w:rFonts w:cs="Times New Roman"/>
          <w:szCs w:val="24"/>
        </w:rPr>
        <w:t>, 107(3), 268-275.</w:t>
      </w:r>
    </w:p>
    <w:p w14:paraId="0F680FC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d'Apuzzo, F</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Cappabianca, S., Ciavarella, D., Monsurrò, A., Silvestrini-Biavati, A., &amp; Perillo, L. (2013). Biomarkers of periodontal tissue remodeling during orthodontic tooth movement in mice and men: overview and clinical relevance. </w:t>
      </w:r>
      <w:r w:rsidRPr="000A40E6">
        <w:rPr>
          <w:rFonts w:cs="Times New Roman"/>
          <w:i/>
          <w:iCs/>
          <w:szCs w:val="24"/>
          <w:shd w:val="clear" w:color="auto" w:fill="FFFFFF"/>
        </w:rPr>
        <w:t>The Scientific World Journal</w:t>
      </w:r>
      <w:r w:rsidRPr="000A40E6">
        <w:rPr>
          <w:rFonts w:cs="Times New Roman"/>
          <w:szCs w:val="24"/>
          <w:shd w:val="clear" w:color="auto" w:fill="FFFFFF"/>
        </w:rPr>
        <w:t>, </w:t>
      </w:r>
      <w:r w:rsidRPr="000A40E6">
        <w:rPr>
          <w:rFonts w:cs="Times New Roman"/>
          <w:i/>
          <w:iCs/>
          <w:szCs w:val="24"/>
          <w:shd w:val="clear" w:color="auto" w:fill="FFFFFF"/>
        </w:rPr>
        <w:t>2013</w:t>
      </w:r>
      <w:r w:rsidRPr="000A40E6">
        <w:rPr>
          <w:rFonts w:cs="Times New Roman"/>
          <w:szCs w:val="24"/>
          <w:shd w:val="clear" w:color="auto" w:fill="FFFFFF"/>
        </w:rPr>
        <w:t>.</w:t>
      </w:r>
    </w:p>
    <w:p w14:paraId="2632D89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Davidovitch,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Efstathiou, S., Sarne, O., &amp; Vardimon, A. D. (2005). </w:t>
      </w:r>
      <w:r w:rsidRPr="000A40E6">
        <w:rPr>
          <w:rFonts w:cs="Times New Roman"/>
          <w:szCs w:val="24"/>
        </w:rPr>
        <w:t xml:space="preserve">Skeletal and dental response to rapid maxillary expansion with 2-versus 4-band appliances. </w:t>
      </w:r>
      <w:r w:rsidRPr="000A40E6">
        <w:rPr>
          <w:rFonts w:cs="Times New Roman"/>
          <w:i/>
          <w:szCs w:val="24"/>
        </w:rPr>
        <w:t>American Journal of Orthodontics and Dentofacial Orthopedics</w:t>
      </w:r>
      <w:r w:rsidRPr="000A40E6">
        <w:rPr>
          <w:rFonts w:cs="Times New Roman"/>
          <w:szCs w:val="24"/>
        </w:rPr>
        <w:t>, 127(4), 483- 492.</w:t>
      </w:r>
    </w:p>
    <w:p w14:paraId="07AB8CF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Deinzer, R</w:t>
      </w:r>
      <w:proofErr w:type="gramStart"/>
      <w:r w:rsidRPr="000A40E6">
        <w:rPr>
          <w:rFonts w:cs="Times New Roman"/>
          <w:szCs w:val="24"/>
        </w:rPr>
        <w:t>.,</w:t>
      </w:r>
      <w:proofErr w:type="gramEnd"/>
      <w:r w:rsidRPr="000A40E6">
        <w:rPr>
          <w:rFonts w:cs="Times New Roman"/>
          <w:szCs w:val="24"/>
        </w:rPr>
        <w:t xml:space="preserve"> Mossanen, B. S., </w:t>
      </w:r>
      <w:r w:rsidRPr="000A40E6">
        <w:rPr>
          <w:rFonts w:cs="Times New Roman"/>
          <w:szCs w:val="24"/>
          <w:shd w:val="clear" w:color="auto" w:fill="FFFFFF"/>
        </w:rPr>
        <w:t xml:space="preserve">&amp; </w:t>
      </w:r>
      <w:r w:rsidRPr="000A40E6">
        <w:rPr>
          <w:rFonts w:cs="Times New Roman"/>
          <w:szCs w:val="24"/>
        </w:rPr>
        <w:t xml:space="preserve">Herforth, A. (2000). Methodological considerations in the assessment of gingival crevicular fluid volume. </w:t>
      </w:r>
      <w:r w:rsidRPr="000A40E6">
        <w:rPr>
          <w:rFonts w:cs="Times New Roman"/>
          <w:i/>
          <w:szCs w:val="24"/>
        </w:rPr>
        <w:t>Journal of Clinical Periodontology,</w:t>
      </w:r>
      <w:r w:rsidRPr="000A40E6">
        <w:rPr>
          <w:rFonts w:cs="Times New Roman"/>
          <w:szCs w:val="24"/>
        </w:rPr>
        <w:t xml:space="preserve"> 27(7), 481-488.</w:t>
      </w:r>
    </w:p>
    <w:p w14:paraId="5B4AD7F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Delima, A. J</w:t>
      </w:r>
      <w:proofErr w:type="gramStart"/>
      <w:r w:rsidRPr="000A40E6">
        <w:rPr>
          <w:rFonts w:cs="Times New Roman"/>
          <w:szCs w:val="24"/>
        </w:rPr>
        <w:t>.,</w:t>
      </w:r>
      <w:proofErr w:type="gramEnd"/>
      <w:r w:rsidRPr="000A40E6">
        <w:rPr>
          <w:rFonts w:cs="Times New Roman"/>
          <w:szCs w:val="24"/>
        </w:rPr>
        <w:t xml:space="preserve"> &amp; Van Dyke, T. E. (2003). Origin and function of the cellular components in gingival crevice fluid. </w:t>
      </w:r>
      <w:r w:rsidRPr="000A40E6">
        <w:rPr>
          <w:rFonts w:cs="Times New Roman"/>
          <w:i/>
          <w:szCs w:val="24"/>
        </w:rPr>
        <w:t>Periodontology 2000</w:t>
      </w:r>
      <w:r w:rsidRPr="000A40E6">
        <w:rPr>
          <w:rFonts w:cs="Times New Roman"/>
          <w:szCs w:val="24"/>
        </w:rPr>
        <w:t>, 31(1), 55–76.</w:t>
      </w:r>
    </w:p>
    <w:p w14:paraId="614BCD1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Delmas, P. D. (1992). Clinical use of biochemical markers of bone remodeling in osteoporosis. </w:t>
      </w:r>
      <w:r w:rsidRPr="000A40E6">
        <w:rPr>
          <w:rFonts w:cs="Times New Roman"/>
          <w:i/>
          <w:szCs w:val="24"/>
        </w:rPr>
        <w:t>Bone</w:t>
      </w:r>
      <w:r w:rsidRPr="000A40E6">
        <w:rPr>
          <w:rFonts w:cs="Times New Roman"/>
          <w:szCs w:val="24"/>
        </w:rPr>
        <w:t>, 13, Suppl, 17–21.</w:t>
      </w:r>
    </w:p>
    <w:p w14:paraId="340895B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Di Domenico,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D'apuzzo, F., Feola, A., Cito, L., Monsurrò, A., Pierantoni, G. M., Berrino, L., De Rosa, A., Polimeni, A., &amp; Perillo, L. (2012). Cytokines and VEGF induction in orthodontic movement in animal models. </w:t>
      </w:r>
      <w:r w:rsidRPr="000A40E6">
        <w:rPr>
          <w:rFonts w:cs="Times New Roman"/>
          <w:i/>
          <w:iCs/>
          <w:szCs w:val="24"/>
          <w:shd w:val="clear" w:color="auto" w:fill="FFFFFF"/>
        </w:rPr>
        <w:t>Journal of Biomedicine and Biotechnology</w:t>
      </w:r>
      <w:r w:rsidRPr="000A40E6">
        <w:rPr>
          <w:rFonts w:cs="Times New Roman"/>
          <w:szCs w:val="24"/>
          <w:shd w:val="clear" w:color="auto" w:fill="FFFFFF"/>
        </w:rPr>
        <w:t>, </w:t>
      </w:r>
      <w:r w:rsidRPr="000A40E6">
        <w:rPr>
          <w:rFonts w:cs="Times New Roman"/>
          <w:i/>
          <w:iCs/>
          <w:szCs w:val="24"/>
          <w:shd w:val="clear" w:color="auto" w:fill="FFFFFF"/>
        </w:rPr>
        <w:t>2012</w:t>
      </w:r>
      <w:r w:rsidRPr="000A40E6">
        <w:rPr>
          <w:rFonts w:cs="Times New Roman"/>
          <w:szCs w:val="24"/>
          <w:shd w:val="clear" w:color="auto" w:fill="FFFFFF"/>
        </w:rPr>
        <w:t>, 1-4.</w:t>
      </w:r>
    </w:p>
    <w:p w14:paraId="486498E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Diedrich, P</w:t>
      </w:r>
      <w:proofErr w:type="gramStart"/>
      <w:r w:rsidRPr="000A40E6">
        <w:rPr>
          <w:rFonts w:cs="Times New Roman"/>
          <w:szCs w:val="24"/>
        </w:rPr>
        <w:t>.,</w:t>
      </w:r>
      <w:proofErr w:type="gramEnd"/>
      <w:r w:rsidRPr="000A40E6">
        <w:rPr>
          <w:rFonts w:cs="Times New Roman"/>
          <w:szCs w:val="24"/>
        </w:rPr>
        <w:t xml:space="preserve"> Rudzki-Janson, I., Wehrbein, H. </w:t>
      </w:r>
      <w:r w:rsidRPr="000A40E6">
        <w:rPr>
          <w:rFonts w:cs="Times New Roman"/>
          <w:szCs w:val="24"/>
          <w:shd w:val="clear" w:color="auto" w:fill="FFFFFF"/>
        </w:rPr>
        <w:t>&amp;</w:t>
      </w:r>
      <w:r w:rsidRPr="000A40E6">
        <w:rPr>
          <w:rFonts w:cs="Times New Roman"/>
          <w:szCs w:val="24"/>
        </w:rPr>
        <w:t xml:space="preserve"> Fritz, U. (2001). Effects of orthodontic bands on marginal periodontal tissues. A histologic study on two human specimens. </w:t>
      </w:r>
      <w:r w:rsidRPr="000A40E6">
        <w:rPr>
          <w:rFonts w:cs="Times New Roman"/>
          <w:i/>
          <w:szCs w:val="24"/>
        </w:rPr>
        <w:t>Journal of Orofacial Orthopedics</w:t>
      </w:r>
      <w:r w:rsidRPr="000A40E6">
        <w:rPr>
          <w:rFonts w:cs="Times New Roman"/>
          <w:szCs w:val="24"/>
        </w:rPr>
        <w:t>, 62(2), 146-156.</w:t>
      </w:r>
    </w:p>
    <w:p w14:paraId="564B70D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Doruk, C</w:t>
      </w:r>
      <w:proofErr w:type="gramStart"/>
      <w:r w:rsidRPr="000A40E6">
        <w:rPr>
          <w:rFonts w:cs="Times New Roman"/>
          <w:szCs w:val="24"/>
        </w:rPr>
        <w:t>.,</w:t>
      </w:r>
      <w:proofErr w:type="gramEnd"/>
      <w:r w:rsidRPr="000A40E6">
        <w:rPr>
          <w:rFonts w:cs="Times New Roman"/>
          <w:szCs w:val="24"/>
        </w:rPr>
        <w:t xml:space="preserve"> Bicakci, A.A., Basciftci, F.A., Agar, U., </w:t>
      </w:r>
      <w:r w:rsidRPr="000A40E6">
        <w:rPr>
          <w:rFonts w:cs="Times New Roman"/>
          <w:szCs w:val="24"/>
          <w:shd w:val="clear" w:color="auto" w:fill="FFFFFF"/>
        </w:rPr>
        <w:t xml:space="preserve">&amp; </w:t>
      </w:r>
      <w:r w:rsidRPr="000A40E6">
        <w:rPr>
          <w:rFonts w:cs="Times New Roman"/>
          <w:szCs w:val="24"/>
        </w:rPr>
        <w:t xml:space="preserve">Babacan, H. (2004). A comparison of the effects of rapid maxillary expansion and fan-type rapid maxillary expansion on dentofacial structures. </w:t>
      </w:r>
      <w:r w:rsidRPr="000A40E6">
        <w:rPr>
          <w:rFonts w:cs="Times New Roman"/>
          <w:i/>
          <w:szCs w:val="24"/>
        </w:rPr>
        <w:t>The Angle Orthodontist</w:t>
      </w:r>
      <w:r w:rsidRPr="000A40E6">
        <w:rPr>
          <w:rFonts w:cs="Times New Roman"/>
          <w:szCs w:val="24"/>
        </w:rPr>
        <w:t>, 74(2), 184–194.</w:t>
      </w:r>
    </w:p>
    <w:p w14:paraId="273509E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Doruk, C</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Sökücü, O., Bıçakçı, A.A., Yılmaz, U., &amp; Taş, F. (2007). Akustik rinometri ve bilgisayarlı </w:t>
      </w:r>
      <w:proofErr w:type="gramStart"/>
      <w:r w:rsidRPr="000A40E6">
        <w:rPr>
          <w:rFonts w:cs="Times New Roman"/>
          <w:szCs w:val="24"/>
          <w:shd w:val="clear" w:color="auto" w:fill="FFFFFF"/>
        </w:rPr>
        <w:t>tomografi</w:t>
      </w:r>
      <w:proofErr w:type="gramEnd"/>
      <w:r w:rsidRPr="000A40E6">
        <w:rPr>
          <w:rFonts w:cs="Times New Roman"/>
          <w:szCs w:val="24"/>
          <w:shd w:val="clear" w:color="auto" w:fill="FFFFFF"/>
        </w:rPr>
        <w:t xml:space="preserve"> kullanılarak hızlı maksiller genişleme sırasında nazal hacim değişikliklerinin karşılaştırılması. </w:t>
      </w:r>
      <w:r w:rsidRPr="000A40E6">
        <w:rPr>
          <w:rFonts w:cs="Times New Roman"/>
          <w:i/>
          <w:szCs w:val="24"/>
        </w:rPr>
        <w:t>The European Journal of Orthodontics</w:t>
      </w:r>
      <w:r w:rsidRPr="000A40E6">
        <w:rPr>
          <w:rFonts w:cs="Times New Roman"/>
          <w:i/>
          <w:szCs w:val="24"/>
          <w:shd w:val="clear" w:color="auto" w:fill="FFFFFF"/>
        </w:rPr>
        <w:t>,</w:t>
      </w:r>
      <w:r w:rsidRPr="000A40E6">
        <w:rPr>
          <w:rFonts w:cs="Times New Roman"/>
          <w:szCs w:val="24"/>
          <w:shd w:val="clear" w:color="auto" w:fill="FFFFFF"/>
        </w:rPr>
        <w:t> </w:t>
      </w:r>
      <w:r w:rsidRPr="000A40E6">
        <w:rPr>
          <w:rFonts w:cs="Times New Roman"/>
          <w:i/>
          <w:iCs/>
          <w:szCs w:val="24"/>
          <w:shd w:val="clear" w:color="auto" w:fill="FFFFFF"/>
        </w:rPr>
        <w:t>29</w:t>
      </w:r>
      <w:r w:rsidRPr="000A40E6">
        <w:rPr>
          <w:rFonts w:cs="Times New Roman"/>
          <w:szCs w:val="24"/>
          <w:shd w:val="clear" w:color="auto" w:fill="FFFFFF"/>
        </w:rPr>
        <w:t> (3), 251-255.</w:t>
      </w:r>
    </w:p>
    <w:p w14:paraId="38C8B66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Drummond, S</w:t>
      </w:r>
      <w:proofErr w:type="gramStart"/>
      <w:r w:rsidRPr="000A40E6">
        <w:rPr>
          <w:rFonts w:cs="Times New Roman"/>
          <w:szCs w:val="24"/>
        </w:rPr>
        <w:t>.,</w:t>
      </w:r>
      <w:proofErr w:type="gramEnd"/>
      <w:r w:rsidRPr="000A40E6">
        <w:rPr>
          <w:rFonts w:cs="Times New Roman"/>
          <w:szCs w:val="24"/>
        </w:rPr>
        <w:t xml:space="preserve"> Canavarro, C., Perinetti, G., Teles, R. </w:t>
      </w:r>
      <w:r w:rsidRPr="000A40E6">
        <w:rPr>
          <w:rFonts w:cs="Times New Roman"/>
          <w:szCs w:val="24"/>
          <w:shd w:val="clear" w:color="auto" w:fill="FFFFFF"/>
        </w:rPr>
        <w:t>&amp;</w:t>
      </w:r>
      <w:r w:rsidRPr="000A40E6">
        <w:rPr>
          <w:rFonts w:cs="Times New Roman"/>
          <w:szCs w:val="24"/>
        </w:rPr>
        <w:t xml:space="preserve"> Capelli, J., Jr. (2012). The monitoring of gingival crevicular fluid volume during orthodontic treatment: a longitudinal randomized split-mouth study. </w:t>
      </w:r>
      <w:r w:rsidRPr="000A40E6">
        <w:rPr>
          <w:rFonts w:cs="Times New Roman"/>
          <w:i/>
          <w:szCs w:val="24"/>
        </w:rPr>
        <w:t>European Journal of Orthodontiscs</w:t>
      </w:r>
      <w:r w:rsidRPr="000A40E6">
        <w:rPr>
          <w:rFonts w:cs="Times New Roman"/>
          <w:szCs w:val="24"/>
        </w:rPr>
        <w:t>, 34(1), 109-113.</w:t>
      </w:r>
    </w:p>
    <w:p w14:paraId="070B94E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Duarte, P.M</w:t>
      </w:r>
      <w:proofErr w:type="gramStart"/>
      <w:r w:rsidRPr="000A40E6">
        <w:rPr>
          <w:rFonts w:cs="Times New Roman"/>
          <w:szCs w:val="24"/>
        </w:rPr>
        <w:t>.,</w:t>
      </w:r>
      <w:proofErr w:type="gramEnd"/>
      <w:r w:rsidRPr="000A40E6">
        <w:rPr>
          <w:rFonts w:cs="Times New Roman"/>
          <w:szCs w:val="24"/>
        </w:rPr>
        <w:t xml:space="preserve"> Serrao, C.R., Miranda, T.S., Zanatta, L.C, Bastos, M.F., Faveri, M., Figueiredo, L.C., </w:t>
      </w:r>
      <w:r w:rsidRPr="000A40E6">
        <w:rPr>
          <w:rFonts w:cs="Times New Roman"/>
          <w:szCs w:val="24"/>
          <w:shd w:val="clear" w:color="auto" w:fill="FFFFFF"/>
        </w:rPr>
        <w:t xml:space="preserve">&amp; </w:t>
      </w:r>
      <w:r w:rsidRPr="000A40E6">
        <w:rPr>
          <w:rFonts w:cs="Times New Roman"/>
          <w:szCs w:val="24"/>
        </w:rPr>
        <w:t xml:space="preserve">Feres, M. (2016). Could cytokine levels in the peri-implant crevicular fluid be used to distinguish between healthy implants and implants with peri-implantitis? A systematic review. </w:t>
      </w:r>
      <w:r w:rsidRPr="000A40E6">
        <w:rPr>
          <w:rFonts w:cs="Times New Roman"/>
          <w:i/>
          <w:szCs w:val="24"/>
        </w:rPr>
        <w:t xml:space="preserve">Journal </w:t>
      </w:r>
      <w:proofErr w:type="gramStart"/>
      <w:r w:rsidRPr="000A40E6">
        <w:rPr>
          <w:rFonts w:cs="Times New Roman"/>
          <w:i/>
          <w:szCs w:val="24"/>
        </w:rPr>
        <w:t>of  Periodontal</w:t>
      </w:r>
      <w:proofErr w:type="gramEnd"/>
      <w:r w:rsidRPr="000A40E6">
        <w:rPr>
          <w:rFonts w:cs="Times New Roman"/>
          <w:i/>
          <w:szCs w:val="24"/>
        </w:rPr>
        <w:t xml:space="preserve"> Research,</w:t>
      </w:r>
      <w:r w:rsidRPr="000A40E6">
        <w:rPr>
          <w:rFonts w:cs="Times New Roman"/>
          <w:szCs w:val="24"/>
        </w:rPr>
        <w:t xml:space="preserve"> 51(6), 689–698.</w:t>
      </w:r>
    </w:p>
    <w:p w14:paraId="625CD7F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Dunn, M.D</w:t>
      </w:r>
      <w:proofErr w:type="gramStart"/>
      <w:r w:rsidRPr="000A40E6">
        <w:rPr>
          <w:rFonts w:cs="Times New Roman"/>
          <w:szCs w:val="24"/>
        </w:rPr>
        <w:t>.,</w:t>
      </w:r>
      <w:proofErr w:type="gramEnd"/>
      <w:r w:rsidRPr="000A40E6">
        <w:rPr>
          <w:rFonts w:cs="Times New Roman"/>
          <w:szCs w:val="24"/>
        </w:rPr>
        <w:t xml:space="preserve"> Park, C.H., Kostenuik, P.J., Kapila, S., </w:t>
      </w:r>
      <w:r w:rsidRPr="000A40E6">
        <w:rPr>
          <w:rFonts w:cs="Times New Roman"/>
          <w:szCs w:val="24"/>
          <w:shd w:val="clear" w:color="auto" w:fill="FFFFFF"/>
        </w:rPr>
        <w:t xml:space="preserve">&amp; </w:t>
      </w:r>
      <w:r w:rsidRPr="000A40E6">
        <w:rPr>
          <w:rFonts w:cs="Times New Roman"/>
          <w:szCs w:val="24"/>
        </w:rPr>
        <w:t xml:space="preserve">Giannobile, W.V.  (2007). Local delivery of osteoprotegerin inhibits mechanically mediated bone modeling in orthodontic tooth movement. </w:t>
      </w:r>
      <w:r w:rsidRPr="000A40E6">
        <w:rPr>
          <w:rFonts w:cs="Times New Roman"/>
          <w:i/>
          <w:szCs w:val="24"/>
        </w:rPr>
        <w:t>Bone</w:t>
      </w:r>
      <w:r w:rsidRPr="000A40E6">
        <w:rPr>
          <w:rFonts w:cs="Times New Roman"/>
          <w:szCs w:val="24"/>
        </w:rPr>
        <w:t>, 41(3), 446-455.</w:t>
      </w:r>
    </w:p>
    <w:p w14:paraId="1ED6A58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Ebersole, J.L. (2003). Humoral immune responses in gingival crevice fluid: local and systemic implications. </w:t>
      </w:r>
      <w:r w:rsidRPr="000A40E6">
        <w:rPr>
          <w:rFonts w:cs="Times New Roman"/>
          <w:i/>
          <w:szCs w:val="24"/>
        </w:rPr>
        <w:t>Periodontology 2000</w:t>
      </w:r>
      <w:r w:rsidRPr="000A40E6">
        <w:rPr>
          <w:rFonts w:cs="Times New Roman"/>
          <w:szCs w:val="24"/>
        </w:rPr>
        <w:t>, 31(1), 135-166.</w:t>
      </w:r>
    </w:p>
    <w:p w14:paraId="2B98203A" w14:textId="77777777" w:rsidR="00A3711B" w:rsidRPr="000A40E6" w:rsidRDefault="00A3711B" w:rsidP="00A3711B">
      <w:pPr>
        <w:shd w:val="clear" w:color="auto" w:fill="FFFFFF"/>
        <w:suppressAutoHyphens/>
        <w:spacing w:after="120"/>
        <w:ind w:left="567" w:hanging="567"/>
        <w:rPr>
          <w:rFonts w:cs="Times New Roman"/>
          <w:szCs w:val="24"/>
        </w:rPr>
      </w:pPr>
      <w:r w:rsidRPr="000A40E6">
        <w:rPr>
          <w:rFonts w:cs="Times New Roman"/>
          <w:szCs w:val="24"/>
        </w:rPr>
        <w:t>Ekström, C</w:t>
      </w:r>
      <w:proofErr w:type="gramStart"/>
      <w:r w:rsidRPr="000A40E6">
        <w:rPr>
          <w:rFonts w:cs="Times New Roman"/>
          <w:szCs w:val="24"/>
        </w:rPr>
        <w:t>.,</w:t>
      </w:r>
      <w:proofErr w:type="gramEnd"/>
      <w:r w:rsidRPr="000A40E6">
        <w:rPr>
          <w:rFonts w:cs="Times New Roman"/>
          <w:szCs w:val="24"/>
        </w:rPr>
        <w:t xml:space="preserve"> Henrikson, C.O., </w:t>
      </w:r>
      <w:r w:rsidRPr="000A40E6">
        <w:rPr>
          <w:rFonts w:cs="Times New Roman"/>
          <w:szCs w:val="24"/>
          <w:shd w:val="clear" w:color="auto" w:fill="FFFFFF"/>
        </w:rPr>
        <w:t>&amp;</w:t>
      </w:r>
      <w:r w:rsidRPr="000A40E6">
        <w:rPr>
          <w:rFonts w:cs="Times New Roman"/>
          <w:szCs w:val="24"/>
        </w:rPr>
        <w:t xml:space="preserve"> Jensen, R. (1977). Mineralization in the midpalatal suture after orthodontic expansion. </w:t>
      </w:r>
      <w:r w:rsidRPr="000A40E6">
        <w:rPr>
          <w:rFonts w:cs="Times New Roman"/>
          <w:i/>
          <w:szCs w:val="24"/>
        </w:rPr>
        <w:t>American Journal of Orthodontics</w:t>
      </w:r>
      <w:r w:rsidRPr="000A40E6">
        <w:rPr>
          <w:rFonts w:cs="Times New Roman"/>
          <w:szCs w:val="24"/>
        </w:rPr>
        <w:t>, 71(4), 449–455.</w:t>
      </w:r>
    </w:p>
    <w:p w14:paraId="06192D2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Faot, F</w:t>
      </w:r>
      <w:proofErr w:type="gramStart"/>
      <w:r w:rsidRPr="000A40E6">
        <w:rPr>
          <w:rFonts w:cs="Times New Roman"/>
          <w:szCs w:val="24"/>
        </w:rPr>
        <w:t>.,</w:t>
      </w:r>
      <w:proofErr w:type="gramEnd"/>
      <w:r w:rsidRPr="000A40E6">
        <w:rPr>
          <w:rFonts w:cs="Times New Roman"/>
          <w:szCs w:val="24"/>
        </w:rPr>
        <w:t xml:space="preserve"> Nascimento, G. G., Bielemann, A. M., Campao, T. D., Leite, F. R., </w:t>
      </w:r>
      <w:r w:rsidRPr="000A40E6">
        <w:rPr>
          <w:rFonts w:cs="Times New Roman"/>
          <w:szCs w:val="24"/>
          <w:shd w:val="clear" w:color="auto" w:fill="FFFFFF"/>
        </w:rPr>
        <w:t xml:space="preserve">&amp; </w:t>
      </w:r>
      <w:r w:rsidRPr="000A40E6">
        <w:rPr>
          <w:rFonts w:cs="Times New Roman"/>
          <w:szCs w:val="24"/>
        </w:rPr>
        <w:t>Quirynen, M.</w:t>
      </w:r>
      <w:r w:rsidRPr="000A40E6">
        <w:rPr>
          <w:rFonts w:cs="Times New Roman"/>
          <w:b/>
          <w:szCs w:val="24"/>
        </w:rPr>
        <w:t xml:space="preserve"> </w:t>
      </w:r>
      <w:r w:rsidRPr="000A40E6">
        <w:rPr>
          <w:rFonts w:cs="Times New Roman"/>
          <w:szCs w:val="24"/>
        </w:rPr>
        <w:t xml:space="preserve">(2015). Can peri-implant crevicular fluid assist in the diagnosis of peri-implantitis? A systematic review and meta-analysis. </w:t>
      </w:r>
      <w:r w:rsidRPr="000A40E6">
        <w:rPr>
          <w:rFonts w:cs="Times New Roman"/>
          <w:i/>
          <w:szCs w:val="24"/>
        </w:rPr>
        <w:t>Journal of Periodontology</w:t>
      </w:r>
      <w:r w:rsidRPr="000A40E6">
        <w:rPr>
          <w:rFonts w:cs="Times New Roman"/>
          <w:szCs w:val="24"/>
        </w:rPr>
        <w:t>, 86(5), 631–645.</w:t>
      </w:r>
    </w:p>
    <w:p w14:paraId="0EE63A7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Farley, J. R</w:t>
      </w:r>
      <w:proofErr w:type="gramStart"/>
      <w:r w:rsidRPr="000A40E6">
        <w:rPr>
          <w:rFonts w:cs="Times New Roman"/>
          <w:szCs w:val="24"/>
        </w:rPr>
        <w:t>.,</w:t>
      </w:r>
      <w:proofErr w:type="gramEnd"/>
      <w:r w:rsidRPr="000A40E6">
        <w:rPr>
          <w:rFonts w:cs="Times New Roman"/>
          <w:szCs w:val="24"/>
        </w:rPr>
        <w:t xml:space="preserve"> Hall, S. L., Ritchie, C., Herring, S., Orcutt, C., &amp; Miller, B. E. (1992). Quantitation of skeletal alkaline phosphatase isoenzyme activity in canine serum. </w:t>
      </w:r>
      <w:r w:rsidRPr="000A40E6">
        <w:rPr>
          <w:rFonts w:cs="Times New Roman"/>
          <w:i/>
          <w:szCs w:val="24"/>
        </w:rPr>
        <w:t>Journal of Bone and Mineral Research</w:t>
      </w:r>
      <w:r w:rsidRPr="000A40E6">
        <w:rPr>
          <w:rFonts w:cs="Times New Roman"/>
          <w:szCs w:val="24"/>
        </w:rPr>
        <w:t>, 7(7), 779–792.</w:t>
      </w:r>
    </w:p>
    <w:p w14:paraId="315CAB8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Farronato, G</w:t>
      </w:r>
      <w:proofErr w:type="gramStart"/>
      <w:r w:rsidRPr="000A40E6">
        <w:rPr>
          <w:rFonts w:cs="Times New Roman"/>
          <w:szCs w:val="24"/>
        </w:rPr>
        <w:t>.,</w:t>
      </w:r>
      <w:proofErr w:type="gramEnd"/>
      <w:r w:rsidRPr="000A40E6">
        <w:rPr>
          <w:rFonts w:cs="Times New Roman"/>
          <w:szCs w:val="24"/>
        </w:rPr>
        <w:t xml:space="preserve"> Maspero, C., Russo, E., Periti, G., &amp; Farronato, D. (2008). Headache and Transverse Maxillary Discrepancy. </w:t>
      </w:r>
      <w:r w:rsidRPr="000A40E6">
        <w:rPr>
          <w:rFonts w:cs="Times New Roman"/>
          <w:i/>
          <w:szCs w:val="24"/>
        </w:rPr>
        <w:t>Journal of Clinical Pediatric Dentistry</w:t>
      </w:r>
      <w:r w:rsidRPr="000A40E6">
        <w:rPr>
          <w:rFonts w:cs="Times New Roman"/>
          <w:szCs w:val="24"/>
        </w:rPr>
        <w:t>, 33(1), 67-74.</w:t>
      </w:r>
    </w:p>
    <w:p w14:paraId="4B2D803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Feller, L</w:t>
      </w:r>
      <w:proofErr w:type="gramStart"/>
      <w:r w:rsidRPr="000A40E6">
        <w:rPr>
          <w:rFonts w:cs="Times New Roman"/>
          <w:szCs w:val="24"/>
        </w:rPr>
        <w:t>.,</w:t>
      </w:r>
      <w:proofErr w:type="gramEnd"/>
      <w:r w:rsidRPr="000A40E6">
        <w:rPr>
          <w:rFonts w:cs="Times New Roman"/>
          <w:szCs w:val="24"/>
        </w:rPr>
        <w:t xml:space="preserve"> Khammissa, R. A. G., Schechter, I., Thomadakis, G., Fourie, J., &amp; Lemmer, J. (2015). Biological events in periodontal ligament and alveolar bone associated with application of orthodontic forces. </w:t>
      </w:r>
      <w:r w:rsidRPr="000A40E6">
        <w:rPr>
          <w:rFonts w:cs="Times New Roman"/>
          <w:i/>
          <w:szCs w:val="24"/>
        </w:rPr>
        <w:t>The Scientific World Journal</w:t>
      </w:r>
      <w:r w:rsidRPr="000A40E6">
        <w:rPr>
          <w:rFonts w:cs="Times New Roman"/>
          <w:szCs w:val="24"/>
        </w:rPr>
        <w:t>, 2015.</w:t>
      </w:r>
    </w:p>
    <w:p w14:paraId="2B9D52FE" w14:textId="77777777" w:rsidR="00A3711B" w:rsidRPr="000A40E6" w:rsidRDefault="00A3711B" w:rsidP="00A3711B">
      <w:pPr>
        <w:shd w:val="clear" w:color="auto" w:fill="FFFFFF"/>
        <w:suppressAutoHyphens/>
        <w:spacing w:after="120"/>
        <w:ind w:left="567" w:hanging="567"/>
        <w:rPr>
          <w:rFonts w:eastAsia="Times New Roman" w:cs="Times New Roman"/>
          <w:szCs w:val="24"/>
          <w:lang w:eastAsia="tr-TR"/>
        </w:rPr>
      </w:pPr>
      <w:r w:rsidRPr="000A40E6">
        <w:rPr>
          <w:rFonts w:cs="Times New Roman"/>
          <w:szCs w:val="24"/>
        </w:rPr>
        <w:t>Ferrario, V. F</w:t>
      </w:r>
      <w:proofErr w:type="gramStart"/>
      <w:r w:rsidRPr="000A40E6">
        <w:rPr>
          <w:rFonts w:cs="Times New Roman"/>
          <w:szCs w:val="24"/>
        </w:rPr>
        <w:t>.,</w:t>
      </w:r>
      <w:proofErr w:type="gramEnd"/>
      <w:r w:rsidRPr="000A40E6">
        <w:rPr>
          <w:rFonts w:cs="Times New Roman"/>
          <w:szCs w:val="24"/>
        </w:rPr>
        <w:t xml:space="preserve"> Garattini, G., Colombo, A., Filippi,  V., Pozzoli,  S., &amp; Sforza,</w:t>
      </w:r>
      <w:r w:rsidRPr="000A40E6">
        <w:rPr>
          <w:rFonts w:eastAsia="Times New Roman" w:cs="Times New Roman"/>
          <w:szCs w:val="24"/>
          <w:shd w:val="clear" w:color="auto" w:fill="FFFFFF"/>
          <w:lang w:eastAsia="tr-TR"/>
        </w:rPr>
        <w:t> C. ( 2003).</w:t>
      </w:r>
      <w:r w:rsidRPr="000A40E6">
        <w:rPr>
          <w:rFonts w:eastAsia="Times New Roman" w:cs="Times New Roman"/>
          <w:szCs w:val="24"/>
          <w:lang w:eastAsia="tr-TR"/>
        </w:rPr>
        <w:t xml:space="preserve"> Quantitative effects of a nickel</w:t>
      </w:r>
      <w:r w:rsidRPr="000A40E6">
        <w:rPr>
          <w:rFonts w:ascii="Cambria Math" w:eastAsia="Times New Roman" w:hAnsi="Cambria Math" w:cs="Cambria Math"/>
          <w:szCs w:val="24"/>
          <w:lang w:eastAsia="tr-TR"/>
        </w:rPr>
        <w:t>‐</w:t>
      </w:r>
      <w:r w:rsidRPr="000A40E6">
        <w:rPr>
          <w:rFonts w:eastAsia="Times New Roman" w:cs="Times New Roman"/>
          <w:szCs w:val="24"/>
          <w:lang w:eastAsia="tr-TR"/>
        </w:rPr>
        <w:t xml:space="preserve">titanium palatal expander on skeletal and dental structures in the primary an mixed dentition: A preliminary study. </w:t>
      </w:r>
      <w:r w:rsidRPr="000A40E6">
        <w:rPr>
          <w:rFonts w:eastAsia="Times New Roman" w:cs="Times New Roman"/>
          <w:i/>
          <w:szCs w:val="24"/>
          <w:lang w:eastAsia="tr-TR"/>
        </w:rPr>
        <w:t>The European Journal of Orthodontics,</w:t>
      </w:r>
      <w:r w:rsidRPr="000A40E6">
        <w:rPr>
          <w:rFonts w:eastAsia="Times New Roman" w:cs="Times New Roman"/>
          <w:szCs w:val="24"/>
          <w:lang w:eastAsia="tr-TR"/>
        </w:rPr>
        <w:t xml:space="preserve"> 25(4), 401-</w:t>
      </w:r>
      <w:r w:rsidRPr="000A40E6">
        <w:rPr>
          <w:rFonts w:eastAsia="Times New Roman" w:cs="Times New Roman"/>
          <w:szCs w:val="24"/>
          <w:lang w:eastAsia="tr-TR"/>
        </w:rPr>
        <w:softHyphen/>
        <w:t>410.</w:t>
      </w:r>
    </w:p>
    <w:p w14:paraId="4D85A1E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Ferris, T</w:t>
      </w:r>
      <w:proofErr w:type="gramStart"/>
      <w:r w:rsidRPr="000A40E6">
        <w:rPr>
          <w:rFonts w:cs="Times New Roman"/>
          <w:szCs w:val="24"/>
        </w:rPr>
        <w:t>.,</w:t>
      </w:r>
      <w:proofErr w:type="gramEnd"/>
      <w:r w:rsidRPr="000A40E6">
        <w:rPr>
          <w:rFonts w:cs="Times New Roman"/>
          <w:szCs w:val="24"/>
        </w:rPr>
        <w:t xml:space="preserve"> Alexander, R. G., Boley, J., &amp; Buschang, P. H. (2005). Long-term stability of combined rapid palatal expansion-lip bumper therapy followed by full fixed appliances. </w:t>
      </w:r>
      <w:proofErr w:type="gramStart"/>
      <w:r w:rsidRPr="000A40E6">
        <w:rPr>
          <w:rFonts w:cs="Times New Roman"/>
          <w:i/>
          <w:szCs w:val="24"/>
        </w:rPr>
        <w:t>American  Journal</w:t>
      </w:r>
      <w:proofErr w:type="gramEnd"/>
      <w:r w:rsidRPr="000A40E6">
        <w:rPr>
          <w:rFonts w:cs="Times New Roman"/>
          <w:i/>
          <w:szCs w:val="24"/>
        </w:rPr>
        <w:t xml:space="preserve"> of  Orthodontics Dentofacial Orthopedics</w:t>
      </w:r>
      <w:r w:rsidRPr="000A40E6">
        <w:rPr>
          <w:rFonts w:cs="Times New Roman"/>
          <w:szCs w:val="24"/>
        </w:rPr>
        <w:t>, 128(3), 310–325.</w:t>
      </w:r>
    </w:p>
    <w:p w14:paraId="1AA10DA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Franchi, L</w:t>
      </w:r>
      <w:proofErr w:type="gramStart"/>
      <w:r w:rsidRPr="000A40E6">
        <w:rPr>
          <w:rFonts w:cs="Times New Roman"/>
          <w:szCs w:val="24"/>
        </w:rPr>
        <w:t>.,</w:t>
      </w:r>
      <w:proofErr w:type="gramEnd"/>
      <w:r w:rsidRPr="000A40E6">
        <w:rPr>
          <w:rFonts w:cs="Times New Roman"/>
          <w:szCs w:val="24"/>
        </w:rPr>
        <w:t xml:space="preserve"> Baccetti, T., Lione, R., Fanucci, E., &amp; Cozza, P. (2010). Modifications of midpalatal sutural density induced by rapid maxillary expansion: A low-dose computed-tomography evaluation. </w:t>
      </w:r>
      <w:proofErr w:type="gramStart"/>
      <w:r w:rsidRPr="000A40E6">
        <w:rPr>
          <w:rFonts w:cs="Times New Roman"/>
          <w:i/>
          <w:szCs w:val="24"/>
        </w:rPr>
        <w:t>American  Journal</w:t>
      </w:r>
      <w:proofErr w:type="gramEnd"/>
      <w:r w:rsidRPr="000A40E6">
        <w:rPr>
          <w:rFonts w:cs="Times New Roman"/>
          <w:i/>
          <w:szCs w:val="24"/>
        </w:rPr>
        <w:t xml:space="preserve"> of  Orthodontics Dentofacial Orthopedics,</w:t>
      </w:r>
      <w:r w:rsidRPr="000A40E6">
        <w:rPr>
          <w:rFonts w:cs="Times New Roman"/>
          <w:szCs w:val="24"/>
        </w:rPr>
        <w:t xml:space="preserve"> 137(4), 486–488.</w:t>
      </w:r>
    </w:p>
    <w:p w14:paraId="2F94DD3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Freeman, R. D. (1970). Psychopharmacology and the retarded child. Psychiatric approach to mental retardation. </w:t>
      </w:r>
      <w:r w:rsidRPr="000A40E6">
        <w:rPr>
          <w:rFonts w:cs="Times New Roman"/>
          <w:i/>
          <w:szCs w:val="24"/>
        </w:rPr>
        <w:t>New York: Basic Books</w:t>
      </w:r>
      <w:r w:rsidRPr="000A40E6">
        <w:rPr>
          <w:rFonts w:cs="Times New Roman"/>
          <w:szCs w:val="24"/>
        </w:rPr>
        <w:t>, 294-368.</w:t>
      </w:r>
    </w:p>
    <w:p w14:paraId="7CF746E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Frost H. M. (1991). Some ABC's of skeletal pathophysiology. 6. The growth/ modeling/remodeling distinction. </w:t>
      </w:r>
      <w:r w:rsidRPr="000A40E6">
        <w:rPr>
          <w:rFonts w:cs="Times New Roman"/>
          <w:i/>
          <w:szCs w:val="24"/>
        </w:rPr>
        <w:t>Calcified Tissue International,</w:t>
      </w:r>
      <w:r w:rsidRPr="000A40E6">
        <w:rPr>
          <w:rFonts w:cs="Times New Roman"/>
          <w:szCs w:val="24"/>
        </w:rPr>
        <w:t xml:space="preserve"> 49(5), 301-302.</w:t>
      </w:r>
    </w:p>
    <w:p w14:paraId="356796B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Fuhrmann, R. A. W</w:t>
      </w:r>
      <w:proofErr w:type="gramStart"/>
      <w:r w:rsidRPr="000A40E6">
        <w:rPr>
          <w:rFonts w:cs="Times New Roman"/>
          <w:szCs w:val="24"/>
        </w:rPr>
        <w:t>.,</w:t>
      </w:r>
      <w:proofErr w:type="gramEnd"/>
      <w:r w:rsidRPr="000A40E6">
        <w:rPr>
          <w:rFonts w:cs="Times New Roman"/>
          <w:szCs w:val="24"/>
        </w:rPr>
        <w:t xml:space="preserve"> Bücker, A., &amp; Diedrich, P. R. (1995). Assessment of alveolar bone loss with high resolution computed tomography. </w:t>
      </w:r>
      <w:r w:rsidRPr="000A40E6">
        <w:rPr>
          <w:rFonts w:cs="Times New Roman"/>
          <w:i/>
          <w:szCs w:val="24"/>
        </w:rPr>
        <w:t>Journal of Periodontal Research</w:t>
      </w:r>
      <w:r w:rsidRPr="000A40E6">
        <w:rPr>
          <w:rFonts w:cs="Times New Roman"/>
          <w:szCs w:val="24"/>
        </w:rPr>
        <w:t>, 30(4), 258-263.</w:t>
      </w:r>
    </w:p>
    <w:p w14:paraId="620D7D9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Gardner, G. E. &amp; Kronman, J. H. (1971). Cranioskeletal displacements caused by rapid palatal expansion in the rhesus monkey. </w:t>
      </w:r>
      <w:r w:rsidRPr="000A40E6">
        <w:rPr>
          <w:rFonts w:cs="Times New Roman"/>
          <w:i/>
          <w:szCs w:val="24"/>
        </w:rPr>
        <w:t>American Journal of Orthodontics</w:t>
      </w:r>
      <w:r w:rsidRPr="000A40E6">
        <w:rPr>
          <w:rFonts w:cs="Times New Roman"/>
          <w:szCs w:val="24"/>
        </w:rPr>
        <w:t>, 59(2), 146-155.</w:t>
      </w:r>
    </w:p>
    <w:p w14:paraId="3A97C98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Garib, D. G</w:t>
      </w:r>
      <w:proofErr w:type="gramStart"/>
      <w:r w:rsidRPr="000A40E6">
        <w:rPr>
          <w:rFonts w:cs="Times New Roman"/>
          <w:szCs w:val="24"/>
        </w:rPr>
        <w:t>.,</w:t>
      </w:r>
      <w:proofErr w:type="gramEnd"/>
      <w:r w:rsidRPr="000A40E6">
        <w:rPr>
          <w:rFonts w:cs="Times New Roman"/>
          <w:szCs w:val="24"/>
        </w:rPr>
        <w:t xml:space="preserve"> Henriques, J. F. C., Janson, G., de Freitas, M. R., &amp; Fernandes, A. Y. (2006). Periodontal effects of rapid maxillary expansion with tooth-tissue-borne and tooth-borne expanders: a computed tomography evaluation. </w:t>
      </w:r>
      <w:r w:rsidRPr="000A40E6">
        <w:rPr>
          <w:rFonts w:cs="Times New Roman"/>
          <w:i/>
          <w:szCs w:val="24"/>
        </w:rPr>
        <w:t>American Journal of Orthodontics and Dentofacial Orthopedics</w:t>
      </w:r>
      <w:r w:rsidRPr="000A40E6">
        <w:rPr>
          <w:rFonts w:cs="Times New Roman"/>
          <w:szCs w:val="24"/>
        </w:rPr>
        <w:t>, 129(6), 749-758.</w:t>
      </w:r>
    </w:p>
    <w:p w14:paraId="6C1BC27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Garib, D. G</w:t>
      </w:r>
      <w:proofErr w:type="gramStart"/>
      <w:r w:rsidRPr="000A40E6">
        <w:rPr>
          <w:rFonts w:cs="Times New Roman"/>
          <w:szCs w:val="24"/>
        </w:rPr>
        <w:t>.,</w:t>
      </w:r>
      <w:proofErr w:type="gramEnd"/>
      <w:r w:rsidRPr="000A40E6">
        <w:rPr>
          <w:rFonts w:cs="Times New Roman"/>
          <w:szCs w:val="24"/>
        </w:rPr>
        <w:t xml:space="preserve"> Henriques, J. F. C., Janson, G., Freitas, M. R., &amp; Coelho, R.A. (2005). Rapid maxillary expansion-tooth tissue-borne versus tooth-borne expanders: a computed tomography evaluation of dentoskeletal effects. </w:t>
      </w:r>
      <w:r w:rsidRPr="000A40E6">
        <w:rPr>
          <w:rFonts w:cs="Times New Roman"/>
          <w:i/>
          <w:szCs w:val="24"/>
        </w:rPr>
        <w:t>The Angle Orthodontist</w:t>
      </w:r>
      <w:r w:rsidRPr="000A40E6">
        <w:rPr>
          <w:rFonts w:cs="Times New Roman"/>
          <w:szCs w:val="24"/>
        </w:rPr>
        <w:t>, 75(4), 548-557.</w:t>
      </w:r>
    </w:p>
    <w:p w14:paraId="000061C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Garlet, T. P</w:t>
      </w:r>
      <w:proofErr w:type="gramStart"/>
      <w:r w:rsidRPr="000A40E6">
        <w:rPr>
          <w:rFonts w:cs="Times New Roman"/>
          <w:szCs w:val="24"/>
        </w:rPr>
        <w:t>.,</w:t>
      </w:r>
      <w:proofErr w:type="gramEnd"/>
      <w:r w:rsidRPr="000A40E6">
        <w:rPr>
          <w:rFonts w:cs="Times New Roman"/>
          <w:szCs w:val="24"/>
        </w:rPr>
        <w:t xml:space="preserve"> Coelho, U., Repeke, C. E., Silva, J. S., </w:t>
      </w:r>
      <w:r w:rsidRPr="000A40E6">
        <w:rPr>
          <w:rFonts w:cs="Times New Roman"/>
          <w:szCs w:val="24"/>
          <w:shd w:val="clear" w:color="auto" w:fill="FFFFFF"/>
        </w:rPr>
        <w:t>de Queiroz Cunha</w:t>
      </w:r>
      <w:r w:rsidRPr="000A40E6">
        <w:rPr>
          <w:rFonts w:cs="Times New Roman"/>
          <w:szCs w:val="24"/>
        </w:rPr>
        <w:t xml:space="preserve"> F.,  &amp; Garlet, G. P. (2008). Differential expression of osteoblast and osteoclast chemmoatractants in compression and tension sides during orthodontic movement. </w:t>
      </w:r>
      <w:r w:rsidRPr="000A40E6">
        <w:rPr>
          <w:rFonts w:cs="Times New Roman"/>
          <w:i/>
          <w:szCs w:val="24"/>
        </w:rPr>
        <w:t>Cytokine</w:t>
      </w:r>
      <w:r w:rsidRPr="000A40E6">
        <w:rPr>
          <w:rFonts w:cs="Times New Roman"/>
          <w:szCs w:val="24"/>
        </w:rPr>
        <w:t>, 42(3), 330- 335.</w:t>
      </w:r>
    </w:p>
    <w:p w14:paraId="29B4675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Garlet, T. P</w:t>
      </w:r>
      <w:proofErr w:type="gramStart"/>
      <w:r w:rsidRPr="000A40E6">
        <w:rPr>
          <w:rFonts w:cs="Times New Roman"/>
          <w:szCs w:val="24"/>
        </w:rPr>
        <w:t>.,</w:t>
      </w:r>
      <w:proofErr w:type="gramEnd"/>
      <w:r w:rsidRPr="000A40E6">
        <w:rPr>
          <w:rFonts w:cs="Times New Roman"/>
          <w:szCs w:val="24"/>
        </w:rPr>
        <w:t xml:space="preserve"> Coelho, U., Silva, J. S., &amp; Garlet, G. P. (2007). Cytokine expression pattern in compression and tension sides of the periodontal ligament during orthodontic tooth movement in humans. </w:t>
      </w:r>
      <w:r w:rsidRPr="000A40E6">
        <w:rPr>
          <w:rFonts w:cs="Times New Roman"/>
          <w:i/>
          <w:szCs w:val="24"/>
        </w:rPr>
        <w:t>European Journal of Oral Sciences</w:t>
      </w:r>
      <w:r w:rsidRPr="000A40E6">
        <w:rPr>
          <w:rFonts w:cs="Times New Roman"/>
          <w:szCs w:val="24"/>
        </w:rPr>
        <w:t>, 115(5), 355- 362.</w:t>
      </w:r>
    </w:p>
    <w:p w14:paraId="08EC353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Garrett,  I. R</w:t>
      </w:r>
      <w:proofErr w:type="gramStart"/>
      <w:r w:rsidRPr="000A40E6">
        <w:rPr>
          <w:rFonts w:cs="Times New Roman"/>
          <w:szCs w:val="24"/>
        </w:rPr>
        <w:t>.,</w:t>
      </w:r>
      <w:proofErr w:type="gramEnd"/>
      <w:r w:rsidRPr="000A40E6">
        <w:rPr>
          <w:rFonts w:cs="Times New Roman"/>
          <w:szCs w:val="24"/>
        </w:rPr>
        <w:t xml:space="preserve"> Boyce, B. F., Oreffo, R. O., Bonewald,  L., Poser, J., &amp;  Mundy, G. R. (1990). Oxygen-derived free radicals stimulate osteoclastic bone resorption in rodent bone in vitro and in vivo. </w:t>
      </w:r>
      <w:r w:rsidRPr="000A40E6">
        <w:rPr>
          <w:rFonts w:cs="Times New Roman"/>
          <w:i/>
          <w:szCs w:val="24"/>
        </w:rPr>
        <w:t>The Journal of Clinical Investigation</w:t>
      </w:r>
      <w:r w:rsidRPr="000A40E6">
        <w:rPr>
          <w:rFonts w:cs="Times New Roman"/>
          <w:szCs w:val="24"/>
        </w:rPr>
        <w:t>, 85(3), 632-639.</w:t>
      </w:r>
    </w:p>
    <w:p w14:paraId="68C3503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Garrett, B. J</w:t>
      </w:r>
      <w:proofErr w:type="gramStart"/>
      <w:r w:rsidRPr="000A40E6">
        <w:rPr>
          <w:rFonts w:cs="Times New Roman"/>
          <w:szCs w:val="24"/>
        </w:rPr>
        <w:t>.,</w:t>
      </w:r>
      <w:proofErr w:type="gramEnd"/>
      <w:r w:rsidRPr="000A40E6">
        <w:rPr>
          <w:rFonts w:cs="Times New Roman"/>
          <w:szCs w:val="24"/>
        </w:rPr>
        <w:t xml:space="preserve"> Caruso, J. M., Rungcharassaeng, K., Farrage, J. R., Kim, J. S., &amp; Taylor, G. D. (2008). Skeletal effects to the maxilla after rapid maxillary expansion assessed with conebeam computed tomography. </w:t>
      </w:r>
      <w:r w:rsidRPr="000A40E6">
        <w:rPr>
          <w:rFonts w:cs="Times New Roman"/>
          <w:i/>
          <w:szCs w:val="24"/>
        </w:rPr>
        <w:t>American Journal of Orthodontics and Dentofacial Orthopedics</w:t>
      </w:r>
      <w:r w:rsidRPr="000A40E6">
        <w:rPr>
          <w:rFonts w:cs="Times New Roman"/>
          <w:szCs w:val="24"/>
        </w:rPr>
        <w:t>, 134(1):8.e1-8.e11.</w:t>
      </w:r>
    </w:p>
    <w:p w14:paraId="27E9D6E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Geran, R. G</w:t>
      </w:r>
      <w:proofErr w:type="gramStart"/>
      <w:r w:rsidRPr="000A40E6">
        <w:rPr>
          <w:rFonts w:cs="Times New Roman"/>
          <w:szCs w:val="24"/>
        </w:rPr>
        <w:t>.,</w:t>
      </w:r>
      <w:proofErr w:type="gramEnd"/>
      <w:r w:rsidRPr="000A40E6">
        <w:rPr>
          <w:rFonts w:cs="Times New Roman"/>
          <w:szCs w:val="24"/>
        </w:rPr>
        <w:t xml:space="preserve"> McNamara Jr, J. A., Baccetti, T., Franchi, L., &amp; Shapiro, L. M. (2006). A prospective longterm study on the effects of rapid maxillary expansion in the early mixed dentition. </w:t>
      </w:r>
      <w:r w:rsidRPr="000A40E6">
        <w:rPr>
          <w:rFonts w:cs="Times New Roman"/>
          <w:i/>
          <w:szCs w:val="24"/>
        </w:rPr>
        <w:t>American Journal of Orthodontics and Dentofacial Orthopedics</w:t>
      </w:r>
      <w:r w:rsidRPr="000A40E6">
        <w:rPr>
          <w:rFonts w:cs="Times New Roman"/>
          <w:szCs w:val="24"/>
        </w:rPr>
        <w:t>, 129(5), 631-640.</w:t>
      </w:r>
    </w:p>
    <w:p w14:paraId="50E726BA"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Giannopolou, C</w:t>
      </w:r>
      <w:proofErr w:type="gramStart"/>
      <w:r w:rsidRPr="000A40E6">
        <w:rPr>
          <w:rFonts w:cs="Times New Roman"/>
          <w:szCs w:val="24"/>
        </w:rPr>
        <w:t>.,</w:t>
      </w:r>
      <w:proofErr w:type="gramEnd"/>
      <w:r w:rsidRPr="000A40E6">
        <w:rPr>
          <w:rFonts w:cs="Times New Roman"/>
          <w:szCs w:val="24"/>
        </w:rPr>
        <w:t xml:space="preserve"> Kamma, J. J., &amp; Mombelli A. (2003). Effect of inflammation, smoking and stress on gingival crevicular fluid cytokine level. </w:t>
      </w:r>
      <w:r w:rsidRPr="000A40E6">
        <w:rPr>
          <w:rFonts w:cs="Times New Roman"/>
          <w:i/>
          <w:szCs w:val="24"/>
        </w:rPr>
        <w:t>Journal of Clinical Periodontology</w:t>
      </w:r>
      <w:r w:rsidRPr="000A40E6">
        <w:rPr>
          <w:rFonts w:cs="Times New Roman"/>
          <w:szCs w:val="24"/>
        </w:rPr>
        <w:t>, 30(2), 145-153.</w:t>
      </w:r>
    </w:p>
    <w:p w14:paraId="4EC5853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Goddard, C. L. (1893). Separation of the superior maxilla at the symphysis. </w:t>
      </w:r>
      <w:r w:rsidRPr="000A40E6">
        <w:rPr>
          <w:rFonts w:cs="Times New Roman"/>
          <w:i/>
          <w:szCs w:val="24"/>
        </w:rPr>
        <w:t xml:space="preserve">Dental </w:t>
      </w:r>
      <w:proofErr w:type="gramStart"/>
      <w:r w:rsidRPr="000A40E6">
        <w:rPr>
          <w:rFonts w:cs="Times New Roman"/>
          <w:i/>
          <w:szCs w:val="24"/>
        </w:rPr>
        <w:t>Cosmos</w:t>
      </w:r>
      <w:r w:rsidRPr="000A40E6">
        <w:rPr>
          <w:rFonts w:cs="Times New Roman"/>
          <w:szCs w:val="24"/>
        </w:rPr>
        <w:t xml:space="preserve"> ,35</w:t>
      </w:r>
      <w:proofErr w:type="gramEnd"/>
      <w:r w:rsidRPr="000A40E6">
        <w:rPr>
          <w:rFonts w:cs="Times New Roman"/>
          <w:szCs w:val="24"/>
        </w:rPr>
        <w:t>(9), 880-882.</w:t>
      </w:r>
    </w:p>
    <w:p w14:paraId="0A953C9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Gonzales, J. R</w:t>
      </w:r>
      <w:proofErr w:type="gramStart"/>
      <w:r w:rsidRPr="000A40E6">
        <w:rPr>
          <w:rFonts w:cs="Times New Roman"/>
          <w:szCs w:val="24"/>
        </w:rPr>
        <w:t>.,</w:t>
      </w:r>
      <w:proofErr w:type="gramEnd"/>
      <w:r w:rsidRPr="000A40E6">
        <w:rPr>
          <w:rFonts w:cs="Times New Roman"/>
          <w:szCs w:val="24"/>
        </w:rPr>
        <w:t xml:space="preserve"> Herrmann, J. M., Boedeker, R. H., </w:t>
      </w:r>
      <w:r w:rsidRPr="000A40E6">
        <w:rPr>
          <w:rFonts w:cs="Times New Roman"/>
          <w:szCs w:val="24"/>
          <w:shd w:val="clear" w:color="auto" w:fill="FFFFFF"/>
        </w:rPr>
        <w:t>Francz, P. I., Biesalski, H., &amp; Meyle, J. (2001)</w:t>
      </w:r>
      <w:r w:rsidRPr="000A40E6">
        <w:rPr>
          <w:rFonts w:cs="Times New Roman"/>
          <w:szCs w:val="24"/>
        </w:rPr>
        <w:t xml:space="preserve">. Concentration of interleukin-1 beta and neutrophil elastase activity in gingival crevicular fluid during experimental gingivitis. </w:t>
      </w:r>
      <w:r w:rsidRPr="000A40E6">
        <w:rPr>
          <w:rFonts w:cs="Times New Roman"/>
          <w:i/>
          <w:szCs w:val="24"/>
        </w:rPr>
        <w:t>Journal of Clinical Periodontology</w:t>
      </w:r>
      <w:r w:rsidRPr="000A40E6">
        <w:rPr>
          <w:rFonts w:cs="Times New Roman"/>
          <w:szCs w:val="24"/>
        </w:rPr>
        <w:t>, 28(6), 544–549.</w:t>
      </w:r>
    </w:p>
    <w:p w14:paraId="1A41647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Goodson,  J. M. (2003). Gingival crevice fluid flow. </w:t>
      </w:r>
      <w:r w:rsidRPr="000A40E6">
        <w:rPr>
          <w:rFonts w:cs="Times New Roman"/>
          <w:i/>
          <w:szCs w:val="24"/>
        </w:rPr>
        <w:t>Periodontology 2000</w:t>
      </w:r>
      <w:r w:rsidRPr="000A40E6">
        <w:rPr>
          <w:rFonts w:cs="Times New Roman"/>
          <w:szCs w:val="24"/>
        </w:rPr>
        <w:t>, 31(1), 43-54.</w:t>
      </w:r>
    </w:p>
    <w:p w14:paraId="59B8D2C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Gordon, J. M</w:t>
      </w:r>
      <w:proofErr w:type="gramStart"/>
      <w:r w:rsidRPr="000A40E6">
        <w:rPr>
          <w:rFonts w:cs="Times New Roman"/>
          <w:szCs w:val="24"/>
        </w:rPr>
        <w:t>.,</w:t>
      </w:r>
      <w:proofErr w:type="gramEnd"/>
      <w:r w:rsidRPr="000A40E6">
        <w:rPr>
          <w:rFonts w:cs="Times New Roman"/>
          <w:szCs w:val="24"/>
        </w:rPr>
        <w:t xml:space="preserve"> Rosenblatt, M., Witmans, M., Carey, J. P., Heo, G., Major, P. W. &amp; Flores-Mir, C. (2009). Rapid palatal expansion effects on nasal airway dimensions as measured by acoustic rhinometry: a systematic review. </w:t>
      </w:r>
      <w:r w:rsidRPr="000A40E6">
        <w:rPr>
          <w:rFonts w:cs="Times New Roman"/>
          <w:i/>
          <w:szCs w:val="24"/>
        </w:rPr>
        <w:t>The Angle Orthodontist</w:t>
      </w:r>
      <w:r w:rsidRPr="000A40E6">
        <w:rPr>
          <w:rFonts w:cs="Times New Roman"/>
          <w:szCs w:val="24"/>
        </w:rPr>
        <w:t>, 79(5), 1000-1007.</w:t>
      </w:r>
    </w:p>
    <w:p w14:paraId="227AB4B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Grant, M</w:t>
      </w:r>
      <w:proofErr w:type="gramStart"/>
      <w:r w:rsidRPr="000A40E6">
        <w:rPr>
          <w:rFonts w:cs="Times New Roman"/>
          <w:szCs w:val="24"/>
        </w:rPr>
        <w:t>.,</w:t>
      </w:r>
      <w:proofErr w:type="gramEnd"/>
      <w:r w:rsidRPr="000A40E6">
        <w:rPr>
          <w:rFonts w:cs="Times New Roman"/>
          <w:szCs w:val="24"/>
        </w:rPr>
        <w:t xml:space="preserve"> Wilson, J., Rock, P., &amp; Chapple I. (2013). Induction of cytokines, MMP9, TIMPs, RANKL and OPG during orthodontic tooth movement. </w:t>
      </w:r>
      <w:proofErr w:type="gramStart"/>
      <w:r w:rsidRPr="000A40E6">
        <w:rPr>
          <w:rFonts w:cs="Times New Roman"/>
          <w:i/>
          <w:szCs w:val="24"/>
        </w:rPr>
        <w:t>European  Journal</w:t>
      </w:r>
      <w:proofErr w:type="gramEnd"/>
      <w:r w:rsidRPr="000A40E6">
        <w:rPr>
          <w:rFonts w:cs="Times New Roman"/>
          <w:i/>
          <w:szCs w:val="24"/>
        </w:rPr>
        <w:t xml:space="preserve"> of  Orthodontics</w:t>
      </w:r>
      <w:r w:rsidRPr="000A40E6">
        <w:rPr>
          <w:rFonts w:cs="Times New Roman"/>
          <w:szCs w:val="24"/>
        </w:rPr>
        <w:t>,  35(5), 644–651.</w:t>
      </w:r>
    </w:p>
    <w:p w14:paraId="5873D8E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Grave, K. C</w:t>
      </w:r>
      <w:proofErr w:type="gramStart"/>
      <w:r w:rsidRPr="000A40E6">
        <w:rPr>
          <w:rFonts w:cs="Times New Roman"/>
          <w:szCs w:val="24"/>
        </w:rPr>
        <w:t>.,</w:t>
      </w:r>
      <w:proofErr w:type="gramEnd"/>
      <w:r w:rsidRPr="000A40E6">
        <w:rPr>
          <w:rFonts w:cs="Times New Roman"/>
          <w:szCs w:val="24"/>
        </w:rPr>
        <w:t xml:space="preserve"> &amp; Brown, T. (1976). Skeletal ossification and the adolescent growth spurt. </w:t>
      </w:r>
      <w:r w:rsidRPr="000A40E6">
        <w:rPr>
          <w:rFonts w:cs="Times New Roman"/>
          <w:i/>
          <w:szCs w:val="24"/>
        </w:rPr>
        <w:t xml:space="preserve">American Journal of Orthodontics, </w:t>
      </w:r>
      <w:r w:rsidRPr="000A40E6">
        <w:rPr>
          <w:rFonts w:cs="Times New Roman"/>
          <w:szCs w:val="24"/>
        </w:rPr>
        <w:t>69(6), 611-619.</w:t>
      </w:r>
    </w:p>
    <w:p w14:paraId="6F55CD0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Gray, L. P. (1975). Results of 310 cases of rapid maxillary expansion selected for medical reasons. </w:t>
      </w:r>
      <w:r w:rsidRPr="000A40E6">
        <w:rPr>
          <w:rFonts w:cs="Times New Roman"/>
          <w:i/>
          <w:szCs w:val="24"/>
        </w:rPr>
        <w:t>The Journal of Laryngology &amp; Otology</w:t>
      </w:r>
      <w:r w:rsidRPr="000A40E6">
        <w:rPr>
          <w:rFonts w:cs="Times New Roman"/>
          <w:szCs w:val="24"/>
        </w:rPr>
        <w:t>, 89(6), 601-614.</w:t>
      </w:r>
    </w:p>
    <w:p w14:paraId="49A7194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Greenbaum, K. R</w:t>
      </w:r>
      <w:proofErr w:type="gramStart"/>
      <w:r w:rsidRPr="000A40E6">
        <w:rPr>
          <w:rFonts w:cs="Times New Roman"/>
          <w:szCs w:val="24"/>
        </w:rPr>
        <w:t>.,</w:t>
      </w:r>
      <w:proofErr w:type="gramEnd"/>
      <w:r w:rsidRPr="000A40E6">
        <w:rPr>
          <w:rFonts w:cs="Times New Roman"/>
          <w:szCs w:val="24"/>
        </w:rPr>
        <w:t xml:space="preserve"> &amp; Zachrisson, B. U. (1982). The effect of palatal expansion therapy on the periodontal supporting tissues. </w:t>
      </w:r>
      <w:proofErr w:type="gramStart"/>
      <w:r w:rsidRPr="000A40E6">
        <w:rPr>
          <w:rFonts w:cs="Times New Roman"/>
          <w:i/>
          <w:szCs w:val="24"/>
        </w:rPr>
        <w:t>American  Journal</w:t>
      </w:r>
      <w:proofErr w:type="gramEnd"/>
      <w:r w:rsidRPr="000A40E6">
        <w:rPr>
          <w:rFonts w:cs="Times New Roman"/>
          <w:i/>
          <w:szCs w:val="24"/>
        </w:rPr>
        <w:t xml:space="preserve"> of  Orthodontics</w:t>
      </w:r>
      <w:r w:rsidRPr="000A40E6">
        <w:rPr>
          <w:rFonts w:cs="Times New Roman"/>
          <w:szCs w:val="24"/>
        </w:rPr>
        <w:t>, 81(1), 12-21.</w:t>
      </w:r>
    </w:p>
    <w:p w14:paraId="2A807D6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Grieve III, W.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Johnson, G. K., Moore, R. N., Reinhardt, R. A., &amp; DuBois, L. M. (1994). Prostaglandin E (PGE) and interleukin-1β (IL-1β) levels in gingival crevicular fluid during human orthodontic tooth movement.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105</w:t>
      </w:r>
      <w:r w:rsidRPr="000A40E6">
        <w:rPr>
          <w:rFonts w:cs="Times New Roman"/>
          <w:szCs w:val="24"/>
          <w:shd w:val="clear" w:color="auto" w:fill="FFFFFF"/>
        </w:rPr>
        <w:t>(4), 369-374.</w:t>
      </w:r>
    </w:p>
    <w:p w14:paraId="1E57810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Griffiths, G. S. (2003). Formation, collection and significance of gingival crevice fluid. </w:t>
      </w:r>
      <w:r w:rsidRPr="000A40E6">
        <w:rPr>
          <w:rFonts w:cs="Times New Roman"/>
          <w:i/>
          <w:szCs w:val="24"/>
        </w:rPr>
        <w:t>Periodontology 2000</w:t>
      </w:r>
      <w:r w:rsidRPr="000A40E6">
        <w:rPr>
          <w:rFonts w:cs="Times New Roman"/>
          <w:szCs w:val="24"/>
        </w:rPr>
        <w:t>, 31(1), 32-42.</w:t>
      </w:r>
    </w:p>
    <w:p w14:paraId="1DFDD49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Griffiths, G. S</w:t>
      </w:r>
      <w:proofErr w:type="gramStart"/>
      <w:r w:rsidRPr="000A40E6">
        <w:rPr>
          <w:rFonts w:cs="Times New Roman"/>
          <w:szCs w:val="24"/>
        </w:rPr>
        <w:t>.,</w:t>
      </w:r>
      <w:proofErr w:type="gramEnd"/>
      <w:r w:rsidRPr="000A40E6">
        <w:rPr>
          <w:rFonts w:cs="Times New Roman"/>
          <w:szCs w:val="24"/>
        </w:rPr>
        <w:t xml:space="preserve"> Moulson, A. M., Petrie, A., &amp; James, I. T. (1998). Evaluation of osteocalcin and pyridinium crosslinks of bone collagen as markers of bone turnover in gingival crevicular fluid during different stages of orthodontic treatment. </w:t>
      </w:r>
      <w:r w:rsidRPr="000A40E6">
        <w:rPr>
          <w:rFonts w:cs="Times New Roman"/>
          <w:i/>
          <w:szCs w:val="24"/>
        </w:rPr>
        <w:t>Journal of Clinical Periodontology</w:t>
      </w:r>
      <w:r w:rsidRPr="000A40E6">
        <w:rPr>
          <w:rFonts w:cs="Times New Roman"/>
          <w:szCs w:val="24"/>
        </w:rPr>
        <w:t>, 25(6), 492-498.</w:t>
      </w:r>
    </w:p>
    <w:p w14:paraId="2DD27A8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Griffiths, G. S</w:t>
      </w:r>
      <w:proofErr w:type="gramStart"/>
      <w:r w:rsidRPr="000A40E6">
        <w:rPr>
          <w:rFonts w:cs="Times New Roman"/>
          <w:szCs w:val="24"/>
        </w:rPr>
        <w:t>.,</w:t>
      </w:r>
      <w:proofErr w:type="gramEnd"/>
      <w:r w:rsidRPr="000A40E6">
        <w:rPr>
          <w:rFonts w:cs="Times New Roman"/>
          <w:szCs w:val="24"/>
        </w:rPr>
        <w:t xml:space="preserve"> Sterne, J. A. C., Wilton, J. M. A., Eaton, K. A., &amp; Johnson, N. W. (1992). Associations between volume and flow rate of gingival crevicular fluid and clinical assessments of gingival inflammation in a population of British male adolescents. </w:t>
      </w:r>
      <w:r w:rsidRPr="000A40E6">
        <w:rPr>
          <w:rFonts w:cs="Times New Roman"/>
          <w:i/>
          <w:szCs w:val="24"/>
        </w:rPr>
        <w:t xml:space="preserve">Journal </w:t>
      </w:r>
      <w:proofErr w:type="gramStart"/>
      <w:r w:rsidRPr="000A40E6">
        <w:rPr>
          <w:rFonts w:cs="Times New Roman"/>
          <w:i/>
          <w:szCs w:val="24"/>
        </w:rPr>
        <w:t>of  Clinical</w:t>
      </w:r>
      <w:proofErr w:type="gramEnd"/>
      <w:r w:rsidRPr="000A40E6">
        <w:rPr>
          <w:rFonts w:cs="Times New Roman"/>
          <w:i/>
          <w:szCs w:val="24"/>
        </w:rPr>
        <w:t xml:space="preserve"> Periodontology,</w:t>
      </w:r>
      <w:r w:rsidRPr="000A40E6">
        <w:rPr>
          <w:rFonts w:cs="Times New Roman"/>
          <w:szCs w:val="24"/>
        </w:rPr>
        <w:t xml:space="preserve"> 19(7), 464–470.</w:t>
      </w:r>
    </w:p>
    <w:p w14:paraId="7EB371A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Grimaud, E</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Soubigou, L., Couillaud, S., Coipeau, P., Moreau, A., Passuti, N., Gouin, F., Redini, F., &amp; Heymann, D. (2003). Receptor activator of nuclear factor κB ligand (RANKL)/osteoprotegerin (OPG) ratio is increased in severe osteolysis. </w:t>
      </w:r>
      <w:r w:rsidRPr="000A40E6">
        <w:rPr>
          <w:rFonts w:cs="Times New Roman"/>
          <w:i/>
          <w:iCs/>
          <w:szCs w:val="24"/>
          <w:shd w:val="clear" w:color="auto" w:fill="FFFFFF"/>
        </w:rPr>
        <w:t>The American Journal of Pathology</w:t>
      </w:r>
      <w:r w:rsidRPr="000A40E6">
        <w:rPr>
          <w:rFonts w:cs="Times New Roman"/>
          <w:szCs w:val="24"/>
          <w:shd w:val="clear" w:color="auto" w:fill="FFFFFF"/>
        </w:rPr>
        <w:t>, </w:t>
      </w:r>
      <w:r w:rsidRPr="000A40E6">
        <w:rPr>
          <w:rFonts w:cs="Times New Roman"/>
          <w:i/>
          <w:iCs/>
          <w:szCs w:val="24"/>
          <w:shd w:val="clear" w:color="auto" w:fill="FFFFFF"/>
        </w:rPr>
        <w:t>163</w:t>
      </w:r>
      <w:r w:rsidRPr="000A40E6">
        <w:rPr>
          <w:rFonts w:cs="Times New Roman"/>
          <w:szCs w:val="24"/>
          <w:shd w:val="clear" w:color="auto" w:fill="FFFFFF"/>
        </w:rPr>
        <w:t>(5), 2021-2031.</w:t>
      </w:r>
    </w:p>
    <w:p w14:paraId="451CAB2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Haas, A. J. (1958). </w:t>
      </w:r>
      <w:r w:rsidRPr="000A40E6">
        <w:rPr>
          <w:rFonts w:cs="Times New Roman"/>
          <w:iCs/>
          <w:szCs w:val="24"/>
          <w:shd w:val="clear" w:color="auto" w:fill="FFFFFF"/>
        </w:rPr>
        <w:t>Gross reactions to the widening of the pig by splitting the hard palate</w:t>
      </w:r>
      <w:r w:rsidRPr="000A40E6">
        <w:rPr>
          <w:rFonts w:cs="Times New Roman"/>
          <w:szCs w:val="24"/>
          <w:shd w:val="clear" w:color="auto" w:fill="FFFFFF"/>
        </w:rPr>
        <w:t> (Doctoral dissertation, University of Illinois).</w:t>
      </w:r>
    </w:p>
    <w:p w14:paraId="77DEBEB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Haas, A. J. (1961). Rapid expansion of the maxillary dental arch and nasal cavity by opening the midpalatal suture. </w:t>
      </w:r>
      <w:r w:rsidRPr="000A40E6">
        <w:rPr>
          <w:rFonts w:cs="Times New Roman"/>
          <w:i/>
          <w:szCs w:val="24"/>
        </w:rPr>
        <w:t>The Angle Orthodontist</w:t>
      </w:r>
      <w:r w:rsidRPr="000A40E6">
        <w:rPr>
          <w:rFonts w:cs="Times New Roman"/>
          <w:szCs w:val="24"/>
        </w:rPr>
        <w:t>, 31(2), 73-90.</w:t>
      </w:r>
    </w:p>
    <w:p w14:paraId="3747AAF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Haas, A. J. (1965). The treatment of maxillary deficiency by opening the midpalatal suture. </w:t>
      </w:r>
      <w:r w:rsidRPr="000A40E6">
        <w:rPr>
          <w:rFonts w:cs="Times New Roman"/>
          <w:i/>
          <w:szCs w:val="24"/>
        </w:rPr>
        <w:t>The Angle Orthodontist</w:t>
      </w:r>
      <w:r w:rsidRPr="000A40E6">
        <w:rPr>
          <w:rFonts w:cs="Times New Roman"/>
          <w:szCs w:val="24"/>
        </w:rPr>
        <w:t>, 35(3), 200-217.</w:t>
      </w:r>
    </w:p>
    <w:p w14:paraId="5376344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Haas, A. J. (1970). Palatal expansion: just the beginning of dentofacial orthopedics. </w:t>
      </w:r>
      <w:r w:rsidRPr="000A40E6">
        <w:rPr>
          <w:rFonts w:cs="Times New Roman"/>
          <w:i/>
          <w:szCs w:val="24"/>
        </w:rPr>
        <w:t>American Journal of Orthodontics</w:t>
      </w:r>
      <w:r w:rsidRPr="000A40E6">
        <w:rPr>
          <w:rFonts w:cs="Times New Roman"/>
          <w:szCs w:val="24"/>
        </w:rPr>
        <w:t>, 57(3), 219-55.</w:t>
      </w:r>
    </w:p>
    <w:p w14:paraId="78C02EE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Haas, A. J. (1980). Long-term posttreatment evaluation of rapid palatal expansion.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50</w:t>
      </w:r>
      <w:r w:rsidRPr="000A40E6">
        <w:rPr>
          <w:rFonts w:cs="Times New Roman"/>
          <w:szCs w:val="24"/>
          <w:shd w:val="clear" w:color="auto" w:fill="FFFFFF"/>
        </w:rPr>
        <w:t>(3), 189-217.</w:t>
      </w:r>
    </w:p>
    <w:p w14:paraId="7FD44D1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Habersack, K</w:t>
      </w:r>
      <w:proofErr w:type="gramStart"/>
      <w:r w:rsidRPr="000A40E6">
        <w:rPr>
          <w:rFonts w:cs="Times New Roman"/>
          <w:szCs w:val="24"/>
        </w:rPr>
        <w:t>.,</w:t>
      </w:r>
      <w:proofErr w:type="gramEnd"/>
      <w:r w:rsidRPr="000A40E6">
        <w:rPr>
          <w:rFonts w:cs="Times New Roman"/>
          <w:szCs w:val="24"/>
        </w:rPr>
        <w:t xml:space="preserve"> Karoglan, A., Sommer, B., </w:t>
      </w:r>
      <w:r w:rsidRPr="000A40E6">
        <w:rPr>
          <w:rFonts w:cs="Times New Roman"/>
          <w:szCs w:val="24"/>
          <w:shd w:val="clear" w:color="auto" w:fill="FFFFFF"/>
        </w:rPr>
        <w:t xml:space="preserve">&amp; </w:t>
      </w:r>
      <w:r w:rsidRPr="000A40E6">
        <w:rPr>
          <w:rFonts w:cs="Times New Roman"/>
          <w:szCs w:val="24"/>
        </w:rPr>
        <w:t xml:space="preserve">Benner, K. U. (2007). High-resolution multislice computerized tomography with multiplanar and 3-dimensional reformation imaging in rapid palatal expansion. </w:t>
      </w:r>
      <w:r w:rsidRPr="000A40E6">
        <w:rPr>
          <w:rFonts w:cs="Times New Roman"/>
          <w:i/>
          <w:szCs w:val="24"/>
        </w:rPr>
        <w:t>American Journal of Orthodontics and Dentofacial Orthopedics</w:t>
      </w:r>
      <w:r w:rsidRPr="000A40E6">
        <w:rPr>
          <w:rFonts w:cs="Times New Roman"/>
          <w:szCs w:val="24"/>
        </w:rPr>
        <w:t>, 131(6), 776-781.</w:t>
      </w:r>
    </w:p>
    <w:p w14:paraId="0E9DC72B"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Haerian,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Adonogianaki, E., Mooney, J., Docherty, J. P., &amp; Kinane, D. F. (1995). Gingival crevicular stromelysin, collagenase and tissue inhibitor of metalloproteinases levels in healthy and diseased sites.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22</w:t>
      </w:r>
      <w:r w:rsidRPr="000A40E6">
        <w:rPr>
          <w:rFonts w:cs="Times New Roman"/>
          <w:szCs w:val="24"/>
          <w:shd w:val="clear" w:color="auto" w:fill="FFFFFF"/>
        </w:rPr>
        <w:t>(7), 505-509.</w:t>
      </w:r>
    </w:p>
    <w:p w14:paraId="55EE7A7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Hall, J</w:t>
      </w:r>
      <w:proofErr w:type="gramStart"/>
      <w:r w:rsidRPr="000A40E6">
        <w:rPr>
          <w:rFonts w:cs="Times New Roman"/>
          <w:szCs w:val="24"/>
        </w:rPr>
        <w:t>.,</w:t>
      </w:r>
      <w:proofErr w:type="gramEnd"/>
      <w:r w:rsidRPr="000A40E6">
        <w:rPr>
          <w:rFonts w:cs="Times New Roman"/>
          <w:szCs w:val="24"/>
        </w:rPr>
        <w:t xml:space="preserve"> Pehrson, N-G., Ekestubbe, A., Jemt, T., </w:t>
      </w:r>
      <w:r w:rsidRPr="000A40E6">
        <w:rPr>
          <w:rFonts w:cs="Times New Roman"/>
          <w:szCs w:val="24"/>
          <w:shd w:val="clear" w:color="auto" w:fill="FFFFFF"/>
        </w:rPr>
        <w:t xml:space="preserve">&amp; </w:t>
      </w:r>
      <w:r w:rsidRPr="000A40E6">
        <w:rPr>
          <w:rFonts w:cs="Times New Roman"/>
          <w:szCs w:val="24"/>
        </w:rPr>
        <w:t xml:space="preserve">Friberg, B. (2015). A controlled, cross-sectional exploratory study on markers for the plasminogen system and inflammation in crevicular fluid samples from healthy, mucositis and peri-implantitis sites. </w:t>
      </w:r>
      <w:proofErr w:type="gramStart"/>
      <w:r w:rsidRPr="000A40E6">
        <w:rPr>
          <w:rFonts w:cs="Times New Roman"/>
          <w:i/>
          <w:szCs w:val="24"/>
        </w:rPr>
        <w:t>European  Journal</w:t>
      </w:r>
      <w:proofErr w:type="gramEnd"/>
      <w:r w:rsidRPr="000A40E6">
        <w:rPr>
          <w:rFonts w:cs="Times New Roman"/>
          <w:i/>
          <w:szCs w:val="24"/>
        </w:rPr>
        <w:t xml:space="preserve"> of  Oral Implantology, </w:t>
      </w:r>
      <w:r w:rsidRPr="000A40E6">
        <w:rPr>
          <w:rFonts w:cs="Times New Roman"/>
          <w:szCs w:val="24"/>
        </w:rPr>
        <w:t>8(2), 153–166.</w:t>
      </w:r>
    </w:p>
    <w:p w14:paraId="38DBEEE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Hamamci,  N</w:t>
      </w:r>
      <w:proofErr w:type="gramStart"/>
      <w:r w:rsidRPr="000A40E6">
        <w:rPr>
          <w:rFonts w:cs="Times New Roman"/>
          <w:szCs w:val="24"/>
        </w:rPr>
        <w:t>.,</w:t>
      </w:r>
      <w:proofErr w:type="gramEnd"/>
      <w:r w:rsidRPr="000A40E6">
        <w:rPr>
          <w:rFonts w:cs="Times New Roman"/>
          <w:szCs w:val="24"/>
        </w:rPr>
        <w:t xml:space="preserve">  Acun  Kaya,  F.,  Uysal,  E., </w:t>
      </w:r>
      <w:r w:rsidRPr="000A40E6">
        <w:rPr>
          <w:rFonts w:cs="Times New Roman"/>
          <w:szCs w:val="24"/>
          <w:shd w:val="clear" w:color="auto" w:fill="FFFFFF"/>
        </w:rPr>
        <w:t xml:space="preserve">&amp; </w:t>
      </w:r>
      <w:r w:rsidRPr="000A40E6">
        <w:rPr>
          <w:rFonts w:cs="Times New Roman"/>
          <w:szCs w:val="24"/>
        </w:rPr>
        <w:t xml:space="preserve">Yokus, B. (2012). Identification of interleukin 2, 6,  </w:t>
      </w:r>
      <w:proofErr w:type="gramStart"/>
      <w:r w:rsidRPr="000A40E6">
        <w:rPr>
          <w:rFonts w:cs="Times New Roman"/>
          <w:szCs w:val="24"/>
        </w:rPr>
        <w:t>and  8</w:t>
      </w:r>
      <w:proofErr w:type="gramEnd"/>
      <w:r w:rsidRPr="000A40E6">
        <w:rPr>
          <w:rFonts w:cs="Times New Roman"/>
          <w:szCs w:val="24"/>
        </w:rPr>
        <w:t xml:space="preserve">  levels  around  miniscrews during  orthodontic  tooth  movement. </w:t>
      </w:r>
      <w:r w:rsidRPr="000A40E6">
        <w:rPr>
          <w:rFonts w:cs="Times New Roman"/>
          <w:i/>
          <w:szCs w:val="24"/>
        </w:rPr>
        <w:t xml:space="preserve">The </w:t>
      </w:r>
      <w:proofErr w:type="gramStart"/>
      <w:r w:rsidRPr="000A40E6">
        <w:rPr>
          <w:rFonts w:cs="Times New Roman"/>
          <w:i/>
          <w:szCs w:val="24"/>
        </w:rPr>
        <w:t>European  Journal</w:t>
      </w:r>
      <w:proofErr w:type="gramEnd"/>
      <w:r w:rsidRPr="000A40E6">
        <w:rPr>
          <w:rFonts w:cs="Times New Roman"/>
          <w:i/>
          <w:szCs w:val="24"/>
        </w:rPr>
        <w:t xml:space="preserve"> of  Orthodontics</w:t>
      </w:r>
      <w:r w:rsidRPr="000A40E6">
        <w:rPr>
          <w:rFonts w:cs="Times New Roman"/>
          <w:szCs w:val="24"/>
        </w:rPr>
        <w:t>, 34(3), 357-361.</w:t>
      </w:r>
    </w:p>
    <w:p w14:paraId="68691A69"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Hancock, E. B</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Cray, R. J., &amp; O'leary, T. J. (1979). The relationship between gingival crevicular fluid and gingival inflammation: A clinical and histologic study. </w:t>
      </w:r>
      <w:r w:rsidRPr="000A40E6">
        <w:rPr>
          <w:rFonts w:cs="Times New Roman"/>
          <w:i/>
          <w:iCs/>
          <w:szCs w:val="24"/>
          <w:shd w:val="clear" w:color="auto" w:fill="FFFFFF"/>
        </w:rPr>
        <w:t>Journal of Periodontology</w:t>
      </w:r>
      <w:r w:rsidRPr="000A40E6">
        <w:rPr>
          <w:rFonts w:cs="Times New Roman"/>
          <w:szCs w:val="24"/>
          <w:shd w:val="clear" w:color="auto" w:fill="FFFFFF"/>
        </w:rPr>
        <w:t>, </w:t>
      </w:r>
      <w:r w:rsidRPr="000A40E6">
        <w:rPr>
          <w:rFonts w:cs="Times New Roman"/>
          <w:i/>
          <w:iCs/>
          <w:szCs w:val="24"/>
          <w:shd w:val="clear" w:color="auto" w:fill="FFFFFF"/>
        </w:rPr>
        <w:t>50</w:t>
      </w:r>
      <w:r w:rsidRPr="000A40E6">
        <w:rPr>
          <w:rFonts w:cs="Times New Roman"/>
          <w:szCs w:val="24"/>
          <w:shd w:val="clear" w:color="auto" w:fill="FFFFFF"/>
        </w:rPr>
        <w:t>(1), 13-19.</w:t>
      </w:r>
    </w:p>
    <w:p w14:paraId="2327301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Handelman, C. S. (1997). Nonsurgical rapid maxillary alveolar expansion in adults: a clinical evaluation.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67</w:t>
      </w:r>
      <w:r w:rsidRPr="000A40E6">
        <w:rPr>
          <w:rFonts w:cs="Times New Roman"/>
          <w:szCs w:val="24"/>
          <w:shd w:val="clear" w:color="auto" w:fill="FFFFFF"/>
        </w:rPr>
        <w:t>(4), 291-308.</w:t>
      </w:r>
    </w:p>
    <w:p w14:paraId="316BFB0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Handelman, C.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Wang, L., BeGole, E. A., &amp; Haas, A. J. (2000). Nonsurgical rapid maxillary expansion in adults: report on 47 cases using the Haas expander.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70</w:t>
      </w:r>
      <w:r w:rsidRPr="000A40E6">
        <w:rPr>
          <w:rFonts w:cs="Times New Roman"/>
          <w:szCs w:val="24"/>
          <w:shd w:val="clear" w:color="auto" w:fill="FFFFFF"/>
        </w:rPr>
        <w:t>(2), 129-144.</w:t>
      </w:r>
    </w:p>
    <w:p w14:paraId="168A293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Hatipoğlu, H. (2010). Dişeti Oluğu Sıvısı (DOS) Elde Etme Sürecine Etki Eden Potansiyel Faktörler. </w:t>
      </w:r>
      <w:r w:rsidRPr="000A40E6">
        <w:rPr>
          <w:rFonts w:cs="Times New Roman"/>
          <w:i/>
          <w:szCs w:val="24"/>
        </w:rPr>
        <w:t>Ege Üniversitesi Dişhekimliği Fakültesi Dergisi</w:t>
      </w:r>
      <w:r w:rsidRPr="000A40E6">
        <w:rPr>
          <w:rFonts w:cs="Times New Roman"/>
          <w:szCs w:val="24"/>
        </w:rPr>
        <w:t>, 31(2), 69-81.</w:t>
      </w:r>
    </w:p>
    <w:p w14:paraId="4D5CE00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Heasman, P.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Waterhouse, P. J. (2012). Periodontal diseases in children. </w:t>
      </w:r>
      <w:r w:rsidRPr="000A40E6">
        <w:rPr>
          <w:rFonts w:cs="Times New Roman"/>
          <w:i/>
          <w:iCs/>
          <w:szCs w:val="24"/>
          <w:shd w:val="clear" w:color="auto" w:fill="FFFFFF"/>
        </w:rPr>
        <w:t>Paediatric Dentistry</w:t>
      </w:r>
      <w:r w:rsidRPr="000A40E6">
        <w:rPr>
          <w:rFonts w:cs="Times New Roman"/>
          <w:szCs w:val="24"/>
          <w:shd w:val="clear" w:color="auto" w:fill="FFFFFF"/>
        </w:rPr>
        <w:t>, 199.</w:t>
      </w:r>
    </w:p>
    <w:p w14:paraId="7F0A4DD7"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Heasman, P.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Ward, A., Barrett, A. W., Seymour, R. A., &amp; Edwards, G. (1990). Flurbiprofen in human crevicular fluid analyzed by highperformance liquid chromatography. </w:t>
      </w:r>
      <w:r w:rsidRPr="000A40E6">
        <w:rPr>
          <w:rFonts w:cs="Times New Roman"/>
          <w:i/>
          <w:iCs/>
          <w:szCs w:val="24"/>
          <w:shd w:val="clear" w:color="auto" w:fill="FFFFFF"/>
        </w:rPr>
        <w:t>Journal of Periodontal Research</w:t>
      </w:r>
      <w:r w:rsidRPr="000A40E6">
        <w:rPr>
          <w:rFonts w:cs="Times New Roman"/>
          <w:szCs w:val="24"/>
          <w:shd w:val="clear" w:color="auto" w:fill="FFFFFF"/>
        </w:rPr>
        <w:t>, </w:t>
      </w:r>
      <w:r w:rsidRPr="000A40E6">
        <w:rPr>
          <w:rFonts w:cs="Times New Roman"/>
          <w:i/>
          <w:iCs/>
          <w:szCs w:val="24"/>
          <w:shd w:val="clear" w:color="auto" w:fill="FFFFFF"/>
        </w:rPr>
        <w:t>25</w:t>
      </w:r>
      <w:r w:rsidRPr="000A40E6">
        <w:rPr>
          <w:rFonts w:cs="Times New Roman"/>
          <w:szCs w:val="24"/>
          <w:shd w:val="clear" w:color="auto" w:fill="FFFFFF"/>
        </w:rPr>
        <w:t>(2), 88-92.</w:t>
      </w:r>
    </w:p>
    <w:p w14:paraId="49593C3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Hefti,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Engelberger, T., &amp; Büttner, M. (1981). Gingivitis in Basel schoolchildren. </w:t>
      </w:r>
      <w:r w:rsidRPr="000A40E6">
        <w:rPr>
          <w:rFonts w:cs="Times New Roman"/>
          <w:i/>
          <w:iCs/>
          <w:szCs w:val="24"/>
          <w:shd w:val="clear" w:color="auto" w:fill="FFFFFF"/>
        </w:rPr>
        <w:t>Schweizerische Monatsschrift fur Zahnheilkunde= Revue mensuelle suisse d'odonto-stomatologie</w:t>
      </w:r>
      <w:r w:rsidRPr="000A40E6">
        <w:rPr>
          <w:rFonts w:cs="Times New Roman"/>
          <w:i/>
          <w:szCs w:val="24"/>
          <w:shd w:val="clear" w:color="auto" w:fill="FFFFFF"/>
        </w:rPr>
        <w:t>,</w:t>
      </w:r>
      <w:r w:rsidRPr="000A40E6">
        <w:rPr>
          <w:rFonts w:cs="Times New Roman"/>
          <w:szCs w:val="24"/>
          <w:shd w:val="clear" w:color="auto" w:fill="FFFFFF"/>
        </w:rPr>
        <w:t> </w:t>
      </w:r>
      <w:r w:rsidRPr="000A40E6">
        <w:rPr>
          <w:rFonts w:cs="Times New Roman"/>
          <w:i/>
          <w:iCs/>
          <w:szCs w:val="24"/>
          <w:shd w:val="clear" w:color="auto" w:fill="FFFFFF"/>
        </w:rPr>
        <w:t>91</w:t>
      </w:r>
      <w:r w:rsidRPr="000A40E6">
        <w:rPr>
          <w:rFonts w:cs="Times New Roman"/>
          <w:szCs w:val="24"/>
          <w:shd w:val="clear" w:color="auto" w:fill="FFFFFF"/>
        </w:rPr>
        <w:t>(12), 1087-1092.</w:t>
      </w:r>
    </w:p>
    <w:p w14:paraId="7F69229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Hicks, E. P. (1978). Slow maxillary expansion. A clinical study of the skeletal versus dental response to low-magnitude force. </w:t>
      </w:r>
      <w:proofErr w:type="gramStart"/>
      <w:r w:rsidRPr="000A40E6">
        <w:rPr>
          <w:rFonts w:cs="Times New Roman"/>
          <w:i/>
          <w:szCs w:val="24"/>
        </w:rPr>
        <w:t>American  Journal</w:t>
      </w:r>
      <w:proofErr w:type="gramEnd"/>
      <w:r w:rsidRPr="000A40E6">
        <w:rPr>
          <w:rFonts w:cs="Times New Roman"/>
          <w:i/>
          <w:szCs w:val="24"/>
        </w:rPr>
        <w:t xml:space="preserve"> of  Orthodontics</w:t>
      </w:r>
      <w:r w:rsidRPr="000A40E6">
        <w:rPr>
          <w:rFonts w:cs="Times New Roman"/>
          <w:szCs w:val="24"/>
        </w:rPr>
        <w:t>, 73(2), 121-141.</w:t>
      </w:r>
    </w:p>
    <w:p w14:paraId="7F5FDAC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Hilberg, O. (2002). Objective measurement of nasal airway dimensions using acoustic rhinometry: methodological and clinical aspects. </w:t>
      </w:r>
      <w:r w:rsidRPr="000A40E6">
        <w:rPr>
          <w:rFonts w:cs="Times New Roman"/>
          <w:i/>
          <w:szCs w:val="24"/>
        </w:rPr>
        <w:t>Allergy</w:t>
      </w:r>
      <w:r w:rsidRPr="000A40E6">
        <w:rPr>
          <w:rFonts w:cs="Times New Roman"/>
          <w:szCs w:val="24"/>
        </w:rPr>
        <w:t>, 57, 5-39.</w:t>
      </w:r>
    </w:p>
    <w:p w14:paraId="1B5A11A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Ho, W</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Eubank, T., Leblebicioglu, B., Marsh, C., &amp; Walters, J. (2010). Azithromycin decreases crevicular fluid volume and mediator content. </w:t>
      </w:r>
      <w:r w:rsidRPr="000A40E6">
        <w:rPr>
          <w:rFonts w:cs="Times New Roman"/>
          <w:i/>
          <w:iCs/>
          <w:szCs w:val="24"/>
          <w:shd w:val="clear" w:color="auto" w:fill="FFFFFF"/>
        </w:rPr>
        <w:t>Journal of Dental Research</w:t>
      </w:r>
      <w:r w:rsidRPr="000A40E6">
        <w:rPr>
          <w:rFonts w:cs="Times New Roman"/>
          <w:szCs w:val="24"/>
          <w:shd w:val="clear" w:color="auto" w:fill="FFFFFF"/>
        </w:rPr>
        <w:t>, </w:t>
      </w:r>
      <w:r w:rsidRPr="000A40E6">
        <w:rPr>
          <w:rFonts w:cs="Times New Roman"/>
          <w:i/>
          <w:iCs/>
          <w:szCs w:val="24"/>
          <w:shd w:val="clear" w:color="auto" w:fill="FFFFFF"/>
        </w:rPr>
        <w:t>89</w:t>
      </w:r>
      <w:r w:rsidRPr="000A40E6">
        <w:rPr>
          <w:rFonts w:cs="Times New Roman"/>
          <w:szCs w:val="24"/>
          <w:shd w:val="clear" w:color="auto" w:fill="FFFFFF"/>
        </w:rPr>
        <w:t>(8), 831-835.</w:t>
      </w:r>
    </w:p>
    <w:p w14:paraId="69637D5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Hou, L. T</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Liu, C. M., &amp; Rossomando, E. F. (1995). Crevicular interleukin</w:t>
      </w:r>
      <w:r w:rsidRPr="000A40E6">
        <w:rPr>
          <w:rFonts w:ascii="Cambria Math" w:hAnsi="Cambria Math" w:cs="Cambria Math"/>
          <w:szCs w:val="24"/>
          <w:shd w:val="clear" w:color="auto" w:fill="FFFFFF"/>
        </w:rPr>
        <w:t>‐</w:t>
      </w:r>
      <w:r w:rsidRPr="000A40E6">
        <w:rPr>
          <w:rFonts w:cs="Times New Roman"/>
          <w:szCs w:val="24"/>
          <w:shd w:val="clear" w:color="auto" w:fill="FFFFFF"/>
        </w:rPr>
        <w:t>1β in moderate and severe periodontitis patients and the effect of phase I periodontal treatment.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22</w:t>
      </w:r>
      <w:r w:rsidRPr="000A40E6">
        <w:rPr>
          <w:rFonts w:cs="Times New Roman"/>
          <w:szCs w:val="24"/>
          <w:shd w:val="clear" w:color="auto" w:fill="FFFFFF"/>
        </w:rPr>
        <w:t>(2), 162-167.</w:t>
      </w:r>
    </w:p>
    <w:p w14:paraId="28CC7EB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Hunter, C. J. (1966). The correlation of facial growth with body height and skeletal maturation at adolescence.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36</w:t>
      </w:r>
      <w:r w:rsidRPr="000A40E6">
        <w:rPr>
          <w:rFonts w:cs="Times New Roman"/>
          <w:szCs w:val="24"/>
          <w:shd w:val="clear" w:color="auto" w:fill="FFFFFF"/>
        </w:rPr>
        <w:t>(1), 44-54.</w:t>
      </w:r>
    </w:p>
    <w:p w14:paraId="48264C4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Insoft,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King, G. J., &amp; Keeling, S. D. (1996). The measurement of acid and alkaline phosphatase in gingival crevicular fluid during orthodontic tooth movement.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109</w:t>
      </w:r>
      <w:r w:rsidRPr="000A40E6">
        <w:rPr>
          <w:rFonts w:cs="Times New Roman"/>
          <w:szCs w:val="24"/>
          <w:shd w:val="clear" w:color="auto" w:fill="FFFFFF"/>
        </w:rPr>
        <w:t>(3), 287-296.</w:t>
      </w:r>
    </w:p>
    <w:p w14:paraId="004A490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Isaacson, R. J</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Murphy, T. D. (1964). Some Efifects of rapid maxillary expansion in cleft lip and palate patients.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34</w:t>
      </w:r>
      <w:r w:rsidRPr="000A40E6">
        <w:rPr>
          <w:rFonts w:cs="Times New Roman"/>
          <w:szCs w:val="24"/>
          <w:shd w:val="clear" w:color="auto" w:fill="FFFFFF"/>
        </w:rPr>
        <w:t>(3), 143-154.</w:t>
      </w:r>
    </w:p>
    <w:p w14:paraId="3CE001E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Jafari,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Shetty, K. S., &amp; Kumar, M. (2003). Study of stress distribution and displacement of various craniofacial structures following application of transverse orthopedic forces-a three-dimensional FEM study.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73</w:t>
      </w:r>
      <w:r w:rsidRPr="000A40E6">
        <w:rPr>
          <w:rFonts w:cs="Times New Roman"/>
          <w:szCs w:val="24"/>
          <w:shd w:val="clear" w:color="auto" w:fill="FFFFFF"/>
        </w:rPr>
        <w:t>(1), 12-20.</w:t>
      </w:r>
    </w:p>
    <w:p w14:paraId="78B5165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Jin, L</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Darveau, R. P. (2001). Soluble CD 14 Levels in Ginigival Crevicular Fluid of Subjects With Untreated Adult Periodontitis. </w:t>
      </w:r>
      <w:r w:rsidRPr="000A40E6">
        <w:rPr>
          <w:rFonts w:cs="Times New Roman"/>
          <w:i/>
          <w:iCs/>
          <w:szCs w:val="24"/>
          <w:shd w:val="clear" w:color="auto" w:fill="FFFFFF"/>
        </w:rPr>
        <w:t>Journal of Periodontology</w:t>
      </w:r>
      <w:r w:rsidRPr="000A40E6">
        <w:rPr>
          <w:rFonts w:cs="Times New Roman"/>
          <w:szCs w:val="24"/>
          <w:shd w:val="clear" w:color="auto" w:fill="FFFFFF"/>
        </w:rPr>
        <w:t>, </w:t>
      </w:r>
      <w:r w:rsidRPr="000A40E6">
        <w:rPr>
          <w:rFonts w:cs="Times New Roman"/>
          <w:i/>
          <w:iCs/>
          <w:szCs w:val="24"/>
          <w:shd w:val="clear" w:color="auto" w:fill="FFFFFF"/>
        </w:rPr>
        <w:t>72</w:t>
      </w:r>
      <w:r w:rsidRPr="000A40E6">
        <w:rPr>
          <w:rFonts w:cs="Times New Roman"/>
          <w:szCs w:val="24"/>
          <w:shd w:val="clear" w:color="auto" w:fill="FFFFFF"/>
        </w:rPr>
        <w:t>(5), 634-640.</w:t>
      </w:r>
    </w:p>
    <w:p w14:paraId="5627DF2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Jin, L</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Söder, B., &amp; Corbet, E. F. (2000). Interleukin</w:t>
      </w:r>
      <w:r w:rsidRPr="000A40E6">
        <w:rPr>
          <w:rFonts w:ascii="Cambria Math" w:hAnsi="Cambria Math" w:cs="Cambria Math"/>
          <w:szCs w:val="24"/>
          <w:shd w:val="clear" w:color="auto" w:fill="FFFFFF"/>
        </w:rPr>
        <w:t>‐</w:t>
      </w:r>
      <w:r w:rsidRPr="000A40E6">
        <w:rPr>
          <w:rFonts w:cs="Times New Roman"/>
          <w:szCs w:val="24"/>
          <w:shd w:val="clear" w:color="auto" w:fill="FFFFFF"/>
        </w:rPr>
        <w:t>8 and granulocyte elastase in gingival crevicular fluid in relation to periodontopathogens in untreated adult periodontitis. </w:t>
      </w:r>
      <w:r w:rsidRPr="000A40E6">
        <w:rPr>
          <w:rFonts w:cs="Times New Roman"/>
          <w:i/>
          <w:iCs/>
          <w:szCs w:val="24"/>
          <w:shd w:val="clear" w:color="auto" w:fill="FFFFFF"/>
        </w:rPr>
        <w:t>Journal of Periodontology</w:t>
      </w:r>
      <w:r w:rsidRPr="000A40E6">
        <w:rPr>
          <w:rFonts w:cs="Times New Roman"/>
          <w:szCs w:val="24"/>
          <w:shd w:val="clear" w:color="auto" w:fill="FFFFFF"/>
        </w:rPr>
        <w:t>, </w:t>
      </w:r>
      <w:r w:rsidRPr="000A40E6">
        <w:rPr>
          <w:rFonts w:cs="Times New Roman"/>
          <w:i/>
          <w:iCs/>
          <w:szCs w:val="24"/>
          <w:shd w:val="clear" w:color="auto" w:fill="FFFFFF"/>
        </w:rPr>
        <w:t>71</w:t>
      </w:r>
      <w:r w:rsidRPr="000A40E6">
        <w:rPr>
          <w:rFonts w:cs="Times New Roman"/>
          <w:szCs w:val="24"/>
          <w:shd w:val="clear" w:color="auto" w:fill="FFFFFF"/>
        </w:rPr>
        <w:t>(6), 929-939.</w:t>
      </w:r>
    </w:p>
    <w:p w14:paraId="52A8AE4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Jonsson, T</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Arnlaugsson, S., Karlsson, K. O., Ragnarsson, B., Arnarson, E. O., &amp; Magnusson, T. E. (2007). Orthodontic treatment experience and prevalence of malocclusion traits in an Icelandic adult population.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Cs/>
          <w:szCs w:val="24"/>
          <w:shd w:val="clear" w:color="auto" w:fill="FFFFFF"/>
        </w:rPr>
        <w:t>131</w:t>
      </w:r>
      <w:r w:rsidRPr="000A40E6">
        <w:rPr>
          <w:rFonts w:cs="Times New Roman"/>
          <w:szCs w:val="24"/>
          <w:shd w:val="clear" w:color="auto" w:fill="FFFFFF"/>
        </w:rPr>
        <w:t>(1), 8-e11.</w:t>
      </w:r>
    </w:p>
    <w:p w14:paraId="2C322B0A"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Kantomaa, T. (1986). Correction of unilateral crossbite in the deciduous dentition.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8</w:t>
      </w:r>
      <w:r w:rsidRPr="000A40E6">
        <w:rPr>
          <w:rFonts w:cs="Times New Roman"/>
          <w:szCs w:val="24"/>
          <w:shd w:val="clear" w:color="auto" w:fill="FFFFFF"/>
        </w:rPr>
        <w:t>(2), 80-83.</w:t>
      </w:r>
    </w:p>
    <w:p w14:paraId="1BA9EB49"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shd w:val="clear" w:color="auto" w:fill="FFFFFF"/>
        </w:rPr>
        <w:t>Kanzaki, H</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Chiba, M., Shimizu, Y., &amp; Mitani, H. (2001). Dual regulation of osteoclast differentiation by periodontal ligament cells through RANKL stimulation and OPG inhibition. </w:t>
      </w:r>
      <w:r w:rsidRPr="000A40E6">
        <w:rPr>
          <w:rFonts w:cs="Times New Roman"/>
          <w:i/>
          <w:iCs/>
          <w:szCs w:val="24"/>
          <w:shd w:val="clear" w:color="auto" w:fill="FFFFFF"/>
        </w:rPr>
        <w:t>Journal of Dental Research</w:t>
      </w:r>
      <w:r w:rsidRPr="000A40E6">
        <w:rPr>
          <w:rFonts w:cs="Times New Roman"/>
          <w:szCs w:val="24"/>
          <w:shd w:val="clear" w:color="auto" w:fill="FFFFFF"/>
        </w:rPr>
        <w:t>, </w:t>
      </w:r>
      <w:r w:rsidRPr="000A40E6">
        <w:rPr>
          <w:rFonts w:cs="Times New Roman"/>
          <w:i/>
          <w:iCs/>
          <w:szCs w:val="24"/>
          <w:shd w:val="clear" w:color="auto" w:fill="FFFFFF"/>
        </w:rPr>
        <w:t>80</w:t>
      </w:r>
      <w:r w:rsidRPr="000A40E6">
        <w:rPr>
          <w:rFonts w:cs="Times New Roman"/>
          <w:szCs w:val="24"/>
          <w:shd w:val="clear" w:color="auto" w:fill="FFFFFF"/>
        </w:rPr>
        <w:t>(3), 887-891.</w:t>
      </w:r>
    </w:p>
    <w:p w14:paraId="60B42263"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Kanzaki, H</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Chiba, M., Takahashi, I., Haruyama, N., Nishimura, M., &amp; Mitani, H. (2004). Local OPG gene transfer to periodontal tissue inhibits orthodontic tooth movement. </w:t>
      </w:r>
      <w:r w:rsidRPr="000A40E6">
        <w:rPr>
          <w:rFonts w:cs="Times New Roman"/>
          <w:i/>
          <w:iCs/>
          <w:szCs w:val="24"/>
          <w:shd w:val="clear" w:color="auto" w:fill="FFFFFF"/>
        </w:rPr>
        <w:t>Journal of Dental Research</w:t>
      </w:r>
      <w:r w:rsidRPr="000A40E6">
        <w:rPr>
          <w:rFonts w:cs="Times New Roman"/>
          <w:szCs w:val="24"/>
          <w:shd w:val="clear" w:color="auto" w:fill="FFFFFF"/>
        </w:rPr>
        <w:t>, </w:t>
      </w:r>
      <w:r w:rsidRPr="000A40E6">
        <w:rPr>
          <w:rFonts w:cs="Times New Roman"/>
          <w:i/>
          <w:iCs/>
          <w:szCs w:val="24"/>
          <w:shd w:val="clear" w:color="auto" w:fill="FFFFFF"/>
        </w:rPr>
        <w:t>83</w:t>
      </w:r>
      <w:r w:rsidRPr="000A40E6">
        <w:rPr>
          <w:rFonts w:cs="Times New Roman"/>
          <w:szCs w:val="24"/>
          <w:shd w:val="clear" w:color="auto" w:fill="FFFFFF"/>
        </w:rPr>
        <w:t>(12), 920-925.</w:t>
      </w:r>
    </w:p>
    <w:p w14:paraId="79982C1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Kapoor, P</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Kharbanda, O. P., Monga, N., Miglani, R., &amp; Kapila, S. (2014). Effect of orthodontic forces on cytokine and receptor levels in gingival crevicular fluid: a systematic review. </w:t>
      </w:r>
      <w:r w:rsidRPr="000A40E6">
        <w:rPr>
          <w:rFonts w:cs="Times New Roman"/>
          <w:i/>
          <w:iCs/>
          <w:szCs w:val="24"/>
          <w:shd w:val="clear" w:color="auto" w:fill="FFFFFF"/>
        </w:rPr>
        <w:t>Progress in Orthodontics</w:t>
      </w:r>
      <w:r w:rsidRPr="000A40E6">
        <w:rPr>
          <w:rFonts w:cs="Times New Roman"/>
          <w:szCs w:val="24"/>
          <w:shd w:val="clear" w:color="auto" w:fill="FFFFFF"/>
        </w:rPr>
        <w:t>, </w:t>
      </w:r>
      <w:r w:rsidRPr="000A40E6">
        <w:rPr>
          <w:rFonts w:cs="Times New Roman"/>
          <w:i/>
          <w:iCs/>
          <w:szCs w:val="24"/>
          <w:shd w:val="clear" w:color="auto" w:fill="FFFFFF"/>
        </w:rPr>
        <w:t>15</w:t>
      </w:r>
      <w:r w:rsidRPr="000A40E6">
        <w:rPr>
          <w:rFonts w:cs="Times New Roman"/>
          <w:szCs w:val="24"/>
          <w:shd w:val="clear" w:color="auto" w:fill="FFFFFF"/>
        </w:rPr>
        <w:t>, 1-21.</w:t>
      </w:r>
    </w:p>
    <w:p w14:paraId="5DE17A46"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shd w:val="clear" w:color="auto" w:fill="FFFFFF"/>
        </w:rPr>
        <w:t>Karacay,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Saygun, I., Bengi, A. O., &amp; Serdar, M. (2007). Tumor Necrosis Factor–α Levels during Two Different Canine Distalization Techniques.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77</w:t>
      </w:r>
      <w:r w:rsidRPr="000A40E6">
        <w:rPr>
          <w:rFonts w:cs="Times New Roman"/>
          <w:szCs w:val="24"/>
          <w:shd w:val="clear" w:color="auto" w:fill="FFFFFF"/>
        </w:rPr>
        <w:t>(1), 142-147.</w:t>
      </w:r>
    </w:p>
    <w:p w14:paraId="2E1CC78B"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Kase, Y</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Hilberg, O., &amp; Pedersen, O. F. (1994). Posture and nasal patency: evaluation by acoustic rhinometry. </w:t>
      </w:r>
      <w:r w:rsidRPr="000A40E6">
        <w:rPr>
          <w:rFonts w:cs="Times New Roman"/>
          <w:i/>
          <w:iCs/>
          <w:szCs w:val="24"/>
          <w:shd w:val="clear" w:color="auto" w:fill="FFFFFF"/>
        </w:rPr>
        <w:t>Acta oto-laryngologica</w:t>
      </w:r>
      <w:r w:rsidRPr="000A40E6">
        <w:rPr>
          <w:rFonts w:cs="Times New Roman"/>
          <w:szCs w:val="24"/>
          <w:shd w:val="clear" w:color="auto" w:fill="FFFFFF"/>
        </w:rPr>
        <w:t>, </w:t>
      </w:r>
      <w:r w:rsidRPr="000A40E6">
        <w:rPr>
          <w:rFonts w:cs="Times New Roman"/>
          <w:i/>
          <w:iCs/>
          <w:szCs w:val="24"/>
          <w:shd w:val="clear" w:color="auto" w:fill="FFFFFF"/>
        </w:rPr>
        <w:t>114</w:t>
      </w:r>
      <w:r w:rsidRPr="000A40E6">
        <w:rPr>
          <w:rFonts w:cs="Times New Roman"/>
          <w:szCs w:val="24"/>
          <w:shd w:val="clear" w:color="auto" w:fill="FFFFFF"/>
        </w:rPr>
        <w:t>(1), 70-74.</w:t>
      </w:r>
    </w:p>
    <w:p w14:paraId="211FD97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Kawasaki, K</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Takahashi, T., Yamaguchi, M., &amp; Kasai, K. (2006). Effects of aging on RANKL and OPG levels in gingival crevicular fluid during orthodontic tooth movement. </w:t>
      </w:r>
      <w:r w:rsidRPr="000A40E6">
        <w:rPr>
          <w:rFonts w:cs="Times New Roman"/>
          <w:i/>
          <w:iCs/>
          <w:szCs w:val="24"/>
          <w:shd w:val="clear" w:color="auto" w:fill="FFFFFF"/>
        </w:rPr>
        <w:t>Orthodontics and Craniofacial Research</w:t>
      </w:r>
      <w:r w:rsidRPr="000A40E6">
        <w:rPr>
          <w:rFonts w:cs="Times New Roman"/>
          <w:szCs w:val="24"/>
          <w:shd w:val="clear" w:color="auto" w:fill="FFFFFF"/>
        </w:rPr>
        <w:t>, </w:t>
      </w:r>
      <w:r w:rsidRPr="000A40E6">
        <w:rPr>
          <w:rFonts w:cs="Times New Roman"/>
          <w:i/>
          <w:iCs/>
          <w:szCs w:val="24"/>
          <w:shd w:val="clear" w:color="auto" w:fill="FFFFFF"/>
        </w:rPr>
        <w:t>9</w:t>
      </w:r>
      <w:r w:rsidRPr="000A40E6">
        <w:rPr>
          <w:rFonts w:cs="Times New Roman"/>
          <w:szCs w:val="24"/>
          <w:shd w:val="clear" w:color="auto" w:fill="FFFFFF"/>
        </w:rPr>
        <w:t>(3), 137-142.</w:t>
      </w:r>
    </w:p>
    <w:p w14:paraId="5DE780E0"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shd w:val="clear" w:color="auto" w:fill="FFFFFF"/>
        </w:rPr>
        <w:t>Kaya, F.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Hamamcı, N., Uysal, E., &amp; Yokuş, B. (2011). Identification of tumor necrosis factor-α levels around miniscrews during canine distalization. </w:t>
      </w:r>
      <w:r w:rsidRPr="000A40E6">
        <w:rPr>
          <w:rFonts w:cs="Times New Roman"/>
          <w:i/>
          <w:iCs/>
          <w:szCs w:val="24"/>
          <w:shd w:val="clear" w:color="auto" w:fill="FFFFFF"/>
        </w:rPr>
        <w:t>Korean Journal of Orthodontics</w:t>
      </w:r>
      <w:r w:rsidRPr="000A40E6">
        <w:rPr>
          <w:rFonts w:cs="Times New Roman"/>
          <w:szCs w:val="24"/>
          <w:shd w:val="clear" w:color="auto" w:fill="FFFFFF"/>
        </w:rPr>
        <w:t>, </w:t>
      </w:r>
      <w:r w:rsidRPr="000A40E6">
        <w:rPr>
          <w:rFonts w:cs="Times New Roman"/>
          <w:i/>
          <w:iCs/>
          <w:szCs w:val="24"/>
          <w:shd w:val="clear" w:color="auto" w:fill="FFFFFF"/>
        </w:rPr>
        <w:t>41</w:t>
      </w:r>
      <w:r w:rsidRPr="000A40E6">
        <w:rPr>
          <w:rFonts w:cs="Times New Roman"/>
          <w:szCs w:val="24"/>
          <w:shd w:val="clear" w:color="auto" w:fill="FFFFFF"/>
        </w:rPr>
        <w:t>(1), 36-41.</w:t>
      </w:r>
    </w:p>
    <w:p w14:paraId="154803D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Kayhan, F</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Küçükkeleş, N., &amp; Demirel, D. (2000). A histologic and histomorphometric evaluation of pulpal reactions following rapid palatal expansion.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117</w:t>
      </w:r>
      <w:r w:rsidRPr="000A40E6">
        <w:rPr>
          <w:rFonts w:cs="Times New Roman"/>
          <w:szCs w:val="24"/>
          <w:shd w:val="clear" w:color="auto" w:fill="FFFFFF"/>
        </w:rPr>
        <w:t>(4), 465-473.</w:t>
      </w:r>
    </w:p>
    <w:p w14:paraId="06C9241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Keeling, S. D</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King, G. J., McCoy, E. A., &amp; Valdez, M. (1993). Serum and alveolar bone phosphatase changes reflect bone turnover during orthodontic tooth movement.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103</w:t>
      </w:r>
      <w:r w:rsidRPr="000A40E6">
        <w:rPr>
          <w:rFonts w:cs="Times New Roman"/>
          <w:szCs w:val="24"/>
          <w:shd w:val="clear" w:color="auto" w:fill="FFFFFF"/>
        </w:rPr>
        <w:t>(4), 320-326.</w:t>
      </w:r>
    </w:p>
    <w:p w14:paraId="6D7AEC1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Kellesarian, S. V</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Malignaggi, V. R., Majoka, H. A., Al-Kheraif, A. A., Kellesarian, T. V., Romanos, G. E., &amp; Javed, F. (2017). Effect of laser-assisted scaling and root planing on the expression of pro-inflammatory cytokines in the gingival crevicular fluid of patients with chronic periodontitis: a systematic review. </w:t>
      </w:r>
      <w:r w:rsidRPr="000A40E6">
        <w:rPr>
          <w:rFonts w:cs="Times New Roman"/>
          <w:i/>
          <w:iCs/>
          <w:szCs w:val="24"/>
          <w:shd w:val="clear" w:color="auto" w:fill="FFFFFF"/>
        </w:rPr>
        <w:t>Photodiagnosis and Photodynamic Therapy</w:t>
      </w:r>
      <w:r w:rsidRPr="000A40E6">
        <w:rPr>
          <w:rFonts w:cs="Times New Roman"/>
          <w:szCs w:val="24"/>
          <w:shd w:val="clear" w:color="auto" w:fill="FFFFFF"/>
        </w:rPr>
        <w:t>, </w:t>
      </w:r>
      <w:r w:rsidRPr="000A40E6">
        <w:rPr>
          <w:rFonts w:cs="Times New Roman"/>
          <w:i/>
          <w:iCs/>
          <w:szCs w:val="24"/>
          <w:shd w:val="clear" w:color="auto" w:fill="FFFFFF"/>
        </w:rPr>
        <w:t>18</w:t>
      </w:r>
      <w:r w:rsidRPr="000A40E6">
        <w:rPr>
          <w:rFonts w:cs="Times New Roman"/>
          <w:szCs w:val="24"/>
          <w:shd w:val="clear" w:color="auto" w:fill="FFFFFF"/>
        </w:rPr>
        <w:t>, 63-77.</w:t>
      </w:r>
    </w:p>
    <w:p w14:paraId="1FBFDE6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Keski-Nisula, K</w:t>
      </w:r>
      <w:proofErr w:type="gramStart"/>
      <w:r w:rsidRPr="000A40E6">
        <w:rPr>
          <w:rFonts w:cs="Times New Roman"/>
          <w:szCs w:val="24"/>
        </w:rPr>
        <w:t>.,</w:t>
      </w:r>
      <w:proofErr w:type="gramEnd"/>
      <w:r w:rsidRPr="000A40E6">
        <w:rPr>
          <w:rFonts w:cs="Times New Roman"/>
          <w:szCs w:val="24"/>
        </w:rPr>
        <w:t xml:space="preserve"> Lehto, R., Lusa, V., Keski-Nisula, L., </w:t>
      </w:r>
      <w:r w:rsidRPr="000A40E6">
        <w:rPr>
          <w:rFonts w:cs="Times New Roman"/>
          <w:szCs w:val="24"/>
          <w:shd w:val="clear" w:color="auto" w:fill="FFFFFF"/>
        </w:rPr>
        <w:t xml:space="preserve">&amp; </w:t>
      </w:r>
      <w:r w:rsidRPr="000A40E6">
        <w:rPr>
          <w:rFonts w:cs="Times New Roman"/>
          <w:szCs w:val="24"/>
        </w:rPr>
        <w:t xml:space="preserve">Varrela, J. (2003). Occurrence of malocclusion and need of orthodontic treatment in early mixed dentition. </w:t>
      </w:r>
      <w:r w:rsidRPr="000A40E6">
        <w:rPr>
          <w:rFonts w:cs="Times New Roman"/>
          <w:i/>
          <w:szCs w:val="24"/>
        </w:rPr>
        <w:t>American Journal of Orthodontics and Dentofacial Orthopedics</w:t>
      </w:r>
      <w:r w:rsidRPr="000A40E6">
        <w:rPr>
          <w:rFonts w:cs="Times New Roman"/>
          <w:szCs w:val="24"/>
        </w:rPr>
        <w:t>, 124(6), 631-638.</w:t>
      </w:r>
    </w:p>
    <w:p w14:paraId="1EC3401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Kılıç, N</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Kiki, A., &amp; Oktay, H. (2008). A comparison of dentoalveolar inclination treated by two palatal expanders.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30</w:t>
      </w:r>
      <w:r w:rsidRPr="000A40E6">
        <w:rPr>
          <w:rFonts w:cs="Times New Roman"/>
          <w:szCs w:val="24"/>
          <w:shd w:val="clear" w:color="auto" w:fill="FFFFFF"/>
        </w:rPr>
        <w:t>(1), 67-72.</w:t>
      </w:r>
    </w:p>
    <w:p w14:paraId="437DF703"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Kiliç, N</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Oktay, H. (2008). Effects of rapid maxillary expansion on nasal breathing and some naso-respiratory and breathing problems in growing children: a literature review. </w:t>
      </w:r>
      <w:r w:rsidRPr="000A40E6">
        <w:rPr>
          <w:rFonts w:cs="Times New Roman"/>
          <w:i/>
          <w:iCs/>
          <w:szCs w:val="24"/>
          <w:shd w:val="clear" w:color="auto" w:fill="FFFFFF"/>
        </w:rPr>
        <w:t>International Journal of Pediatric Otorhinolaryngology</w:t>
      </w:r>
      <w:r w:rsidRPr="000A40E6">
        <w:rPr>
          <w:rFonts w:cs="Times New Roman"/>
          <w:szCs w:val="24"/>
          <w:shd w:val="clear" w:color="auto" w:fill="FFFFFF"/>
        </w:rPr>
        <w:t>, </w:t>
      </w:r>
      <w:r w:rsidRPr="000A40E6">
        <w:rPr>
          <w:rFonts w:cs="Times New Roman"/>
          <w:i/>
          <w:iCs/>
          <w:szCs w:val="24"/>
          <w:shd w:val="clear" w:color="auto" w:fill="FFFFFF"/>
        </w:rPr>
        <w:t>72</w:t>
      </w:r>
      <w:r w:rsidRPr="000A40E6">
        <w:rPr>
          <w:rFonts w:cs="Times New Roman"/>
          <w:szCs w:val="24"/>
          <w:shd w:val="clear" w:color="auto" w:fill="FFFFFF"/>
        </w:rPr>
        <w:t>(11), 1595-1601.</w:t>
      </w:r>
    </w:p>
    <w:p w14:paraId="527A0D5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King, G.J</w:t>
      </w:r>
      <w:proofErr w:type="gramStart"/>
      <w:r w:rsidRPr="000A40E6">
        <w:rPr>
          <w:rFonts w:cs="Times New Roman"/>
          <w:szCs w:val="24"/>
        </w:rPr>
        <w:t>.,</w:t>
      </w:r>
      <w:proofErr w:type="gramEnd"/>
      <w:r w:rsidRPr="000A40E6">
        <w:rPr>
          <w:rFonts w:cs="Times New Roman"/>
          <w:szCs w:val="24"/>
        </w:rPr>
        <w:t xml:space="preserve"> Keeling, S.D., </w:t>
      </w:r>
      <w:r w:rsidRPr="000A40E6">
        <w:rPr>
          <w:rFonts w:cs="Times New Roman"/>
          <w:szCs w:val="24"/>
          <w:shd w:val="clear" w:color="auto" w:fill="FFFFFF"/>
        </w:rPr>
        <w:t xml:space="preserve">&amp; </w:t>
      </w:r>
      <w:r w:rsidRPr="000A40E6">
        <w:rPr>
          <w:rFonts w:cs="Times New Roman"/>
          <w:szCs w:val="24"/>
        </w:rPr>
        <w:t xml:space="preserve">Wronski, T.J. (1991). Histomorphometric study of alveolar bone turnover in orthodontic tooth movement. </w:t>
      </w:r>
      <w:r w:rsidRPr="000A40E6">
        <w:rPr>
          <w:rFonts w:cs="Times New Roman"/>
          <w:i/>
          <w:szCs w:val="24"/>
        </w:rPr>
        <w:t>Bone</w:t>
      </w:r>
      <w:r w:rsidRPr="000A40E6">
        <w:rPr>
          <w:rFonts w:cs="Times New Roman"/>
          <w:szCs w:val="24"/>
        </w:rPr>
        <w:t>, 12(6), 401-409.</w:t>
      </w:r>
    </w:p>
    <w:p w14:paraId="2F5DFDD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Kloehn, J. S</w:t>
      </w:r>
      <w:proofErr w:type="gramStart"/>
      <w:r w:rsidRPr="000A40E6">
        <w:rPr>
          <w:rFonts w:cs="Times New Roman"/>
          <w:szCs w:val="24"/>
        </w:rPr>
        <w:t>.,</w:t>
      </w:r>
      <w:proofErr w:type="gramEnd"/>
      <w:r w:rsidRPr="000A40E6">
        <w:rPr>
          <w:rFonts w:cs="Times New Roman"/>
          <w:szCs w:val="24"/>
        </w:rPr>
        <w:t xml:space="preserve"> </w:t>
      </w:r>
      <w:r w:rsidRPr="000A40E6">
        <w:rPr>
          <w:rFonts w:cs="Times New Roman"/>
          <w:szCs w:val="24"/>
          <w:shd w:val="clear" w:color="auto" w:fill="FFFFFF"/>
        </w:rPr>
        <w:t xml:space="preserve">&amp; </w:t>
      </w:r>
      <w:r w:rsidRPr="000A40E6">
        <w:rPr>
          <w:rFonts w:cs="Times New Roman"/>
          <w:szCs w:val="24"/>
        </w:rPr>
        <w:t xml:space="preserve">Pfeifer, J. S. (1974). The effect of orthodontic treatment on the periodontium. </w:t>
      </w:r>
      <w:r w:rsidRPr="000A40E6">
        <w:rPr>
          <w:rFonts w:cs="Times New Roman"/>
          <w:i/>
          <w:szCs w:val="24"/>
        </w:rPr>
        <w:t>The Angle Orthodontist</w:t>
      </w:r>
      <w:r w:rsidRPr="000A40E6">
        <w:rPr>
          <w:rFonts w:cs="Times New Roman"/>
          <w:szCs w:val="24"/>
        </w:rPr>
        <w:t>, 44(2), 127-134.</w:t>
      </w:r>
    </w:p>
    <w:p w14:paraId="43DF44DE"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Klukowska,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Bader, A., Erbe, C., Bellamy, P., White, D. J., Anastasia, M. K. &amp; Wehrbein, H. (2011). </w:t>
      </w:r>
      <w:r w:rsidRPr="000A40E6">
        <w:rPr>
          <w:rFonts w:cs="Times New Roman"/>
          <w:szCs w:val="24"/>
        </w:rPr>
        <w:t xml:space="preserve">Plaque levels of patients with fixed orthodontic appliances measured by digital plaque image analysis. </w:t>
      </w:r>
      <w:r w:rsidRPr="000A40E6">
        <w:rPr>
          <w:rFonts w:cs="Times New Roman"/>
          <w:i/>
          <w:iCs/>
          <w:szCs w:val="24"/>
          <w:shd w:val="clear" w:color="auto" w:fill="FFFFFF"/>
        </w:rPr>
        <w:t xml:space="preserve">American Journal of Orthodontics and Dentofacial </w:t>
      </w:r>
      <w:proofErr w:type="gramStart"/>
      <w:r w:rsidRPr="000A40E6">
        <w:rPr>
          <w:rFonts w:cs="Times New Roman"/>
          <w:i/>
          <w:iCs/>
          <w:szCs w:val="24"/>
          <w:shd w:val="clear" w:color="auto" w:fill="FFFFFF"/>
        </w:rPr>
        <w:t>Orthopedics</w:t>
      </w:r>
      <w:r w:rsidRPr="000A40E6">
        <w:rPr>
          <w:rFonts w:cs="Times New Roman"/>
          <w:szCs w:val="24"/>
          <w:shd w:val="clear" w:color="auto" w:fill="FFFFFF"/>
        </w:rPr>
        <w:t> , </w:t>
      </w:r>
      <w:r w:rsidRPr="000A40E6">
        <w:rPr>
          <w:rFonts w:cs="Times New Roman"/>
          <w:i/>
          <w:iCs/>
          <w:szCs w:val="24"/>
          <w:shd w:val="clear" w:color="auto" w:fill="FFFFFF"/>
        </w:rPr>
        <w:t>139</w:t>
      </w:r>
      <w:proofErr w:type="gramEnd"/>
      <w:r w:rsidRPr="000A40E6">
        <w:rPr>
          <w:rFonts w:cs="Times New Roman"/>
          <w:szCs w:val="24"/>
          <w:shd w:val="clear" w:color="auto" w:fill="FFFFFF"/>
        </w:rPr>
        <w:t> (5), e463-e470.</w:t>
      </w:r>
    </w:p>
    <w:p w14:paraId="6761E1D8"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Kobayashi, K</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Takahashi, N., Jimi, E., Udagawa, N., Takami, M., Kotake, S., Nakagawa, N., Kinosaki, M., </w:t>
      </w:r>
      <w:r w:rsidRPr="000A40E6">
        <w:rPr>
          <w:rFonts w:cs="Times New Roman"/>
          <w:szCs w:val="24"/>
        </w:rPr>
        <w:t>Yamaguchi, K., Shima, N, Yasuda, H.,</w:t>
      </w:r>
      <w:r w:rsidRPr="000A40E6">
        <w:rPr>
          <w:rFonts w:cs="Times New Roman"/>
          <w:szCs w:val="24"/>
          <w:shd w:val="clear" w:color="auto" w:fill="FFFFFF"/>
        </w:rPr>
        <w:t xml:space="preserve"> </w:t>
      </w:r>
      <w:r w:rsidRPr="000A40E6">
        <w:rPr>
          <w:rFonts w:cs="Times New Roman"/>
          <w:szCs w:val="24"/>
        </w:rPr>
        <w:t>Morinaga</w:t>
      </w:r>
      <w:r w:rsidRPr="000A40E6">
        <w:rPr>
          <w:rFonts w:cs="Times New Roman"/>
          <w:szCs w:val="24"/>
          <w:shd w:val="clear" w:color="auto" w:fill="FFFFFF"/>
        </w:rPr>
        <w:t xml:space="preserve">, T., </w:t>
      </w:r>
      <w:r w:rsidRPr="000A40E6">
        <w:rPr>
          <w:rFonts w:cs="Times New Roman"/>
          <w:szCs w:val="24"/>
        </w:rPr>
        <w:t>Higashio</w:t>
      </w:r>
      <w:r w:rsidRPr="000A40E6">
        <w:rPr>
          <w:rFonts w:cs="Times New Roman"/>
          <w:szCs w:val="24"/>
          <w:shd w:val="clear" w:color="auto" w:fill="FFFFFF"/>
        </w:rPr>
        <w:t>, K., John Martin, T., &amp; Suda, T. (2000). Tumor necrosis factor α stimulates osteoclast differentiation by a mechanism independent of the ODF/RANKL–RANK interaction. </w:t>
      </w:r>
      <w:r w:rsidRPr="000A40E6">
        <w:rPr>
          <w:rFonts w:cs="Times New Roman"/>
          <w:i/>
          <w:iCs/>
          <w:szCs w:val="24"/>
          <w:shd w:val="clear" w:color="auto" w:fill="FFFFFF"/>
        </w:rPr>
        <w:t>The Journal of Experimental Medicine</w:t>
      </w:r>
      <w:r w:rsidRPr="000A40E6">
        <w:rPr>
          <w:rFonts w:cs="Times New Roman"/>
          <w:szCs w:val="24"/>
          <w:shd w:val="clear" w:color="auto" w:fill="FFFFFF"/>
        </w:rPr>
        <w:t>, </w:t>
      </w:r>
      <w:r w:rsidRPr="000A40E6">
        <w:rPr>
          <w:rFonts w:cs="Times New Roman"/>
          <w:i/>
          <w:iCs/>
          <w:szCs w:val="24"/>
          <w:shd w:val="clear" w:color="auto" w:fill="FFFFFF"/>
        </w:rPr>
        <w:t>191</w:t>
      </w:r>
      <w:r w:rsidRPr="000A40E6">
        <w:rPr>
          <w:rFonts w:cs="Times New Roman"/>
          <w:szCs w:val="24"/>
          <w:shd w:val="clear" w:color="auto" w:fill="FFFFFF"/>
        </w:rPr>
        <w:t>(2), 275-286.</w:t>
      </w:r>
    </w:p>
    <w:p w14:paraId="31221C92"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shd w:val="clear" w:color="auto" w:fill="FFFFFF"/>
        </w:rPr>
        <w:t>Kojima, T</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Yamaguchi, M., Yoshino, T., Shimizu, M., Yamada, K., Goseki, T., &amp; Kasai, K. (2013). TNF-α and RANKL facilitates the development of orthodontically-induced inflammatory root resorption. </w:t>
      </w:r>
      <w:r w:rsidRPr="000A40E6">
        <w:rPr>
          <w:rFonts w:cs="Times New Roman"/>
          <w:i/>
          <w:iCs/>
          <w:szCs w:val="24"/>
          <w:shd w:val="clear" w:color="auto" w:fill="FFFFFF"/>
        </w:rPr>
        <w:t>Open Journal of Stomatology</w:t>
      </w:r>
      <w:r w:rsidRPr="000A40E6">
        <w:rPr>
          <w:rFonts w:cs="Times New Roman"/>
          <w:szCs w:val="24"/>
          <w:shd w:val="clear" w:color="auto" w:fill="FFFFFF"/>
        </w:rPr>
        <w:t>, </w:t>
      </w:r>
      <w:r w:rsidRPr="000A40E6">
        <w:rPr>
          <w:rFonts w:cs="Times New Roman"/>
          <w:i/>
          <w:iCs/>
          <w:szCs w:val="24"/>
          <w:shd w:val="clear" w:color="auto" w:fill="FFFFFF"/>
        </w:rPr>
        <w:t>3</w:t>
      </w:r>
      <w:r w:rsidRPr="000A40E6">
        <w:rPr>
          <w:rFonts w:cs="Times New Roman"/>
          <w:szCs w:val="24"/>
          <w:shd w:val="clear" w:color="auto" w:fill="FFFFFF"/>
        </w:rPr>
        <w:t>, 52-58.</w:t>
      </w:r>
    </w:p>
    <w:p w14:paraId="04AEE59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Korbmacher, H</w:t>
      </w:r>
      <w:proofErr w:type="gramStart"/>
      <w:r w:rsidRPr="000A40E6">
        <w:rPr>
          <w:rFonts w:cs="Times New Roman"/>
          <w:szCs w:val="24"/>
        </w:rPr>
        <w:t>.,</w:t>
      </w:r>
      <w:proofErr w:type="gramEnd"/>
      <w:r w:rsidRPr="000A40E6">
        <w:rPr>
          <w:rFonts w:cs="Times New Roman"/>
          <w:szCs w:val="24"/>
        </w:rPr>
        <w:t xml:space="preserve"> Huck, L., Merkle, T.,</w:t>
      </w:r>
      <w:r w:rsidRPr="000A40E6">
        <w:rPr>
          <w:rFonts w:cs="Times New Roman"/>
          <w:szCs w:val="24"/>
          <w:shd w:val="clear" w:color="auto" w:fill="FFFFFF"/>
        </w:rPr>
        <w:t xml:space="preserve"> &amp; </w:t>
      </w:r>
      <w:r w:rsidRPr="000A40E6">
        <w:rPr>
          <w:rFonts w:cs="Times New Roman"/>
          <w:szCs w:val="24"/>
        </w:rPr>
        <w:t xml:space="preserve"> Kahl-Nieke, B. (2005). Clinical </w:t>
      </w:r>
      <w:proofErr w:type="gramStart"/>
      <w:r w:rsidRPr="000A40E6">
        <w:rPr>
          <w:rFonts w:cs="Times New Roman"/>
          <w:szCs w:val="24"/>
        </w:rPr>
        <w:t>profile</w:t>
      </w:r>
      <w:proofErr w:type="gramEnd"/>
      <w:r w:rsidRPr="000A40E6">
        <w:rPr>
          <w:rFonts w:cs="Times New Roman"/>
          <w:szCs w:val="24"/>
        </w:rPr>
        <w:t xml:space="preserve"> of rapid maxillary expansion–outcome of a national inquiry. </w:t>
      </w:r>
      <w:r w:rsidRPr="000A40E6">
        <w:rPr>
          <w:rFonts w:cs="Times New Roman"/>
          <w:i/>
          <w:szCs w:val="24"/>
        </w:rPr>
        <w:t>Journal of Orofacial Orthopedics,</w:t>
      </w:r>
      <w:r w:rsidRPr="000A40E6">
        <w:rPr>
          <w:rFonts w:cs="Times New Roman"/>
          <w:szCs w:val="24"/>
        </w:rPr>
        <w:t xml:space="preserve"> 66(6), 455–468.</w:t>
      </w:r>
    </w:p>
    <w:p w14:paraId="44AB399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Korkhaus, G. (1953). Discussion of report: a review of orthodontic research (1946–1950). </w:t>
      </w:r>
      <w:r w:rsidRPr="000A40E6">
        <w:rPr>
          <w:rFonts w:cs="Times New Roman"/>
          <w:i/>
          <w:szCs w:val="24"/>
        </w:rPr>
        <w:t>International Dental Journal</w:t>
      </w:r>
      <w:r w:rsidRPr="000A40E6">
        <w:rPr>
          <w:rFonts w:cs="Times New Roman"/>
          <w:szCs w:val="24"/>
        </w:rPr>
        <w:t>, 3, 356.</w:t>
      </w:r>
    </w:p>
    <w:p w14:paraId="77CDE86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Korkhaus, G. (1959). Present orthodontic thought in Germany. </w:t>
      </w:r>
      <w:r w:rsidRPr="000A40E6">
        <w:rPr>
          <w:rFonts w:cs="Times New Roman"/>
          <w:i/>
          <w:szCs w:val="24"/>
        </w:rPr>
        <w:t>American Journal of Orthodontics</w:t>
      </w:r>
      <w:r w:rsidRPr="000A40E6">
        <w:rPr>
          <w:rFonts w:cs="Times New Roman"/>
          <w:szCs w:val="24"/>
        </w:rPr>
        <w:t>, 45(12), 881-900.</w:t>
      </w:r>
    </w:p>
    <w:p w14:paraId="3159328D" w14:textId="77777777" w:rsidR="00A3711B" w:rsidRPr="000A40E6" w:rsidRDefault="00A3711B" w:rsidP="00A3711B">
      <w:pPr>
        <w:pStyle w:val="NormalWeb"/>
        <w:suppressAutoHyphens/>
        <w:spacing w:before="0" w:beforeAutospacing="0" w:after="120" w:afterAutospacing="0" w:line="360" w:lineRule="auto"/>
        <w:ind w:left="567" w:hanging="567"/>
        <w:jc w:val="both"/>
      </w:pPr>
      <w:r w:rsidRPr="000A40E6">
        <w:t>Korkmaz, S</w:t>
      </w:r>
      <w:proofErr w:type="gramStart"/>
      <w:r w:rsidRPr="000A40E6">
        <w:t>.,</w:t>
      </w:r>
      <w:proofErr w:type="gramEnd"/>
      <w:r w:rsidRPr="000A40E6">
        <w:t xml:space="preserve"> Goksuluk D., Zararsiz. (2014). MVN: An R Package for Assessing Multivariate Normality. </w:t>
      </w:r>
      <w:r w:rsidRPr="000A40E6">
        <w:rPr>
          <w:i/>
        </w:rPr>
        <w:t>The R Journal</w:t>
      </w:r>
      <w:r w:rsidRPr="000A40E6">
        <w:t>, 6(2):151-162.</w:t>
      </w:r>
    </w:p>
    <w:p w14:paraId="45F50631" w14:textId="77777777" w:rsidR="00A3711B" w:rsidRPr="000A40E6" w:rsidRDefault="00A3711B" w:rsidP="00A3711B">
      <w:pPr>
        <w:pStyle w:val="NormalWeb"/>
        <w:suppressAutoHyphens/>
        <w:spacing w:before="0" w:beforeAutospacing="0" w:after="120" w:afterAutospacing="0" w:line="360" w:lineRule="auto"/>
        <w:ind w:left="567" w:hanging="567"/>
        <w:jc w:val="both"/>
      </w:pPr>
      <w:r w:rsidRPr="000A40E6">
        <w:t xml:space="preserve">Kowashi Y, Jaccard F, </w:t>
      </w:r>
      <w:r w:rsidRPr="000A40E6">
        <w:rPr>
          <w:shd w:val="clear" w:color="auto" w:fill="FFFFFF"/>
        </w:rPr>
        <w:t xml:space="preserve">&amp; </w:t>
      </w:r>
      <w:r w:rsidRPr="000A40E6">
        <w:t xml:space="preserve">Cimasoni G. (1980). Sulcular polymorphonuclear leucocytes and gingival exudate during experimental gingivitis in man. </w:t>
      </w:r>
      <w:r w:rsidRPr="000A40E6">
        <w:rPr>
          <w:i/>
        </w:rPr>
        <w:t>Journal of Periodontal Research</w:t>
      </w:r>
      <w:r w:rsidRPr="000A40E6">
        <w:t>, 15(2), 151-158.</w:t>
      </w:r>
    </w:p>
    <w:p w14:paraId="63FB5DC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Krebs, A. (1959). Expansion of the midpalatal suture, studied by means of metallic implants. </w:t>
      </w:r>
      <w:r w:rsidRPr="000A40E6">
        <w:rPr>
          <w:rFonts w:cs="Times New Roman"/>
          <w:i/>
          <w:szCs w:val="24"/>
        </w:rPr>
        <w:t>Acta Odontologica Scandinavica</w:t>
      </w:r>
      <w:r w:rsidRPr="000A40E6">
        <w:rPr>
          <w:rFonts w:cs="Times New Roman"/>
          <w:szCs w:val="24"/>
        </w:rPr>
        <w:t>, 17(4), 491-501.</w:t>
      </w:r>
    </w:p>
    <w:p w14:paraId="3D490B7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Krebs, A. (1964). Midpalatal suture expansion studies by the implant method over a seven-year period. InReport of the Congress. </w:t>
      </w:r>
      <w:r w:rsidRPr="000A40E6">
        <w:rPr>
          <w:rFonts w:cs="Times New Roman"/>
          <w:i/>
          <w:szCs w:val="24"/>
        </w:rPr>
        <w:t>European Orthodontic Society,</w:t>
      </w:r>
      <w:r w:rsidRPr="000A40E6">
        <w:rPr>
          <w:rFonts w:cs="Times New Roman"/>
          <w:szCs w:val="24"/>
        </w:rPr>
        <w:t xml:space="preserve"> 40, 131-142.</w:t>
      </w:r>
    </w:p>
    <w:p w14:paraId="364A616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Krishnan, V</w:t>
      </w:r>
      <w:proofErr w:type="gramStart"/>
      <w:r w:rsidRPr="000A40E6">
        <w:rPr>
          <w:rFonts w:cs="Times New Roman"/>
          <w:szCs w:val="24"/>
        </w:rPr>
        <w:t>.,</w:t>
      </w:r>
      <w:proofErr w:type="gramEnd"/>
      <w:r w:rsidRPr="000A40E6">
        <w:rPr>
          <w:rFonts w:cs="Times New Roman"/>
          <w:szCs w:val="24"/>
        </w:rPr>
        <w:t xml:space="preserve"> </w:t>
      </w:r>
      <w:r w:rsidRPr="000A40E6">
        <w:rPr>
          <w:rFonts w:cs="Times New Roman"/>
          <w:szCs w:val="24"/>
          <w:shd w:val="clear" w:color="auto" w:fill="FFFFFF"/>
        </w:rPr>
        <w:t xml:space="preserve">&amp; </w:t>
      </w:r>
      <w:r w:rsidRPr="000A40E6">
        <w:rPr>
          <w:rFonts w:cs="Times New Roman"/>
          <w:szCs w:val="24"/>
        </w:rPr>
        <w:t xml:space="preserve">Davidovich, Z. (2009). On a path to unfolding the biological mechanisms of orthodontic tooth movement. </w:t>
      </w:r>
      <w:r w:rsidRPr="000A40E6">
        <w:rPr>
          <w:rFonts w:cs="Times New Roman"/>
          <w:i/>
          <w:szCs w:val="24"/>
        </w:rPr>
        <w:t>Journal of  Dental Research</w:t>
      </w:r>
      <w:proofErr w:type="gramStart"/>
      <w:r w:rsidRPr="000A40E6">
        <w:rPr>
          <w:rFonts w:cs="Times New Roman"/>
          <w:i/>
          <w:szCs w:val="24"/>
        </w:rPr>
        <w:t>,,</w:t>
      </w:r>
      <w:proofErr w:type="gramEnd"/>
      <w:r w:rsidRPr="000A40E6">
        <w:rPr>
          <w:rFonts w:cs="Times New Roman"/>
          <w:szCs w:val="24"/>
        </w:rPr>
        <w:t xml:space="preserve"> 88(7), 597-608.</w:t>
      </w:r>
    </w:p>
    <w:p w14:paraId="5E8664B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Krishnan, V</w:t>
      </w:r>
      <w:proofErr w:type="gramStart"/>
      <w:r w:rsidRPr="000A40E6">
        <w:rPr>
          <w:rFonts w:cs="Times New Roman"/>
          <w:szCs w:val="24"/>
        </w:rPr>
        <w:t>.,</w:t>
      </w:r>
      <w:proofErr w:type="gramEnd"/>
      <w:r w:rsidRPr="000A40E6">
        <w:rPr>
          <w:rFonts w:cs="Times New Roman"/>
          <w:szCs w:val="24"/>
        </w:rPr>
        <w:t xml:space="preserve"> Davidovitch, Z.E. (2006). Cellular, molecular, and tissue-level reactions to orthodontic force. </w:t>
      </w:r>
      <w:r w:rsidRPr="000A40E6">
        <w:rPr>
          <w:rFonts w:cs="Times New Roman"/>
          <w:i/>
          <w:szCs w:val="24"/>
        </w:rPr>
        <w:t>American Journal of Orthodontics and Dentofacial Orthopedics</w:t>
      </w:r>
      <w:r w:rsidRPr="000A40E6">
        <w:rPr>
          <w:rFonts w:cs="Times New Roman"/>
          <w:szCs w:val="24"/>
        </w:rPr>
        <w:t>, 129(4), 469- e1.</w:t>
      </w:r>
    </w:p>
    <w:p w14:paraId="64D3575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Kunii, R</w:t>
      </w:r>
      <w:proofErr w:type="gramStart"/>
      <w:r w:rsidRPr="000A40E6">
        <w:rPr>
          <w:rFonts w:cs="Times New Roman"/>
          <w:szCs w:val="24"/>
        </w:rPr>
        <w:t>.,</w:t>
      </w:r>
      <w:proofErr w:type="gramEnd"/>
      <w:r w:rsidRPr="000A40E6">
        <w:rPr>
          <w:rFonts w:cs="Times New Roman"/>
          <w:szCs w:val="24"/>
        </w:rPr>
        <w:t xml:space="preserve"> Yamaguchi,  M., Tanimoto,  Y., Asano,  M., Yamada,  K., Goseki,  T., &amp; Kasai, K. (2013). Role of interleukin 6 in orthodontically </w:t>
      </w:r>
      <w:proofErr w:type="gramStart"/>
      <w:r w:rsidRPr="000A40E6">
        <w:rPr>
          <w:rFonts w:cs="Times New Roman"/>
          <w:szCs w:val="24"/>
        </w:rPr>
        <w:t>induced  inflammatory</w:t>
      </w:r>
      <w:proofErr w:type="gramEnd"/>
      <w:r w:rsidRPr="000A40E6">
        <w:rPr>
          <w:rFonts w:cs="Times New Roman"/>
          <w:szCs w:val="24"/>
        </w:rPr>
        <w:t xml:space="preserve">  root  resorption in  humans. </w:t>
      </w:r>
      <w:r w:rsidRPr="000A40E6">
        <w:rPr>
          <w:rFonts w:cs="Times New Roman"/>
          <w:i/>
          <w:szCs w:val="24"/>
        </w:rPr>
        <w:t>Korean J Orthod</w:t>
      </w:r>
      <w:r w:rsidRPr="000A40E6">
        <w:rPr>
          <w:rFonts w:cs="Times New Roman"/>
          <w:szCs w:val="24"/>
        </w:rPr>
        <w:t>, 43(6), 294-301.</w:t>
      </w:r>
    </w:p>
    <w:p w14:paraId="1ACB672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Kurol, J</w:t>
      </w:r>
      <w:proofErr w:type="gramStart"/>
      <w:r w:rsidRPr="000A40E6">
        <w:rPr>
          <w:rFonts w:cs="Times New Roman"/>
          <w:szCs w:val="24"/>
        </w:rPr>
        <w:t>.,</w:t>
      </w:r>
      <w:proofErr w:type="gramEnd"/>
      <w:r w:rsidRPr="000A40E6">
        <w:rPr>
          <w:rFonts w:cs="Times New Roman"/>
          <w:szCs w:val="24"/>
        </w:rPr>
        <w:t xml:space="preserve"> Modin, H. &amp; Bjerkhoel, A.</w:t>
      </w:r>
      <w:r w:rsidRPr="000A40E6">
        <w:rPr>
          <w:rFonts w:cs="Times New Roman"/>
          <w:b/>
          <w:szCs w:val="24"/>
        </w:rPr>
        <w:t xml:space="preserve"> (</w:t>
      </w:r>
      <w:r w:rsidRPr="000A40E6">
        <w:rPr>
          <w:rFonts w:cs="Times New Roman"/>
          <w:szCs w:val="24"/>
        </w:rPr>
        <w:t xml:space="preserve">1998). Orthodontic maxillary expansion and its effect on nocturnal enuresis. </w:t>
      </w:r>
      <w:r w:rsidRPr="000A40E6">
        <w:rPr>
          <w:rFonts w:cs="Times New Roman"/>
          <w:i/>
          <w:szCs w:val="24"/>
        </w:rPr>
        <w:t>The Angle Orthodontist</w:t>
      </w:r>
      <w:r w:rsidRPr="000A40E6">
        <w:rPr>
          <w:rFonts w:cs="Times New Roman"/>
          <w:szCs w:val="24"/>
        </w:rPr>
        <w:t>, 68(3), 225-232.</w:t>
      </w:r>
    </w:p>
    <w:p w14:paraId="0841DB6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Kutin, G</w:t>
      </w:r>
      <w:proofErr w:type="gramStart"/>
      <w:r w:rsidRPr="000A40E6">
        <w:rPr>
          <w:rFonts w:cs="Times New Roman"/>
          <w:szCs w:val="24"/>
        </w:rPr>
        <w:t>.,</w:t>
      </w:r>
      <w:proofErr w:type="gramEnd"/>
      <w:r w:rsidRPr="000A40E6">
        <w:rPr>
          <w:rFonts w:cs="Times New Roman"/>
          <w:szCs w:val="24"/>
        </w:rPr>
        <w:t xml:space="preserve"> &amp; Hawes, R.R.,</w:t>
      </w:r>
      <w:r w:rsidRPr="000A40E6">
        <w:rPr>
          <w:rFonts w:cs="Times New Roman"/>
          <w:b/>
          <w:szCs w:val="24"/>
        </w:rPr>
        <w:t xml:space="preserve"> (</w:t>
      </w:r>
      <w:r w:rsidRPr="000A40E6">
        <w:rPr>
          <w:rFonts w:cs="Times New Roman"/>
          <w:szCs w:val="24"/>
        </w:rPr>
        <w:t xml:space="preserve">1969). Posterior cross-bites in the deciduous and mixed dentitions. </w:t>
      </w:r>
      <w:r w:rsidRPr="000A40E6">
        <w:rPr>
          <w:rFonts w:cs="Times New Roman"/>
          <w:i/>
          <w:szCs w:val="24"/>
        </w:rPr>
        <w:t>American Journal of Orthodontics</w:t>
      </w:r>
      <w:r w:rsidRPr="000A40E6">
        <w:rPr>
          <w:rFonts w:cs="Times New Roman"/>
          <w:szCs w:val="24"/>
        </w:rPr>
        <w:t>, 56(5), 491-504.</w:t>
      </w:r>
    </w:p>
    <w:p w14:paraId="618ABEC8" w14:textId="77777777" w:rsidR="00A3711B" w:rsidRPr="000A40E6" w:rsidRDefault="00A3711B" w:rsidP="00A3711B">
      <w:pPr>
        <w:suppressAutoHyphens/>
        <w:spacing w:after="120"/>
        <w:ind w:left="567" w:hanging="567"/>
        <w:rPr>
          <w:rFonts w:cs="Times New Roman"/>
          <w:b/>
          <w:szCs w:val="24"/>
        </w:rPr>
      </w:pPr>
      <w:r w:rsidRPr="000A40E6">
        <w:rPr>
          <w:rFonts w:cs="Times New Roman"/>
          <w:szCs w:val="24"/>
          <w:shd w:val="clear" w:color="auto" w:fill="FFFFFF"/>
        </w:rPr>
        <w:t>Küçükkeleş, N</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Ceylanoğlu, C. (2003). Changes in lip, cheek, and tongue pressures after rapid maxillary expansion using a diaphragm pressure transducer.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73</w:t>
      </w:r>
      <w:r w:rsidRPr="000A40E6">
        <w:rPr>
          <w:rFonts w:cs="Times New Roman"/>
          <w:szCs w:val="24"/>
          <w:shd w:val="clear" w:color="auto" w:fill="FFFFFF"/>
        </w:rPr>
        <w:t>(6), 662-668.</w:t>
      </w:r>
    </w:p>
    <w:p w14:paraId="22C5D99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Lagravère, M. O</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Flores-Mir, C. (2005). The treatment effects of Invisalign orthodontic aligners: a systematic review. </w:t>
      </w:r>
      <w:r w:rsidRPr="000A40E6">
        <w:rPr>
          <w:rFonts w:cs="Times New Roman"/>
          <w:i/>
          <w:iCs/>
          <w:szCs w:val="24"/>
          <w:shd w:val="clear" w:color="auto" w:fill="FFFFFF"/>
        </w:rPr>
        <w:t>The Journal of the American Dental Association</w:t>
      </w:r>
      <w:r w:rsidRPr="000A40E6">
        <w:rPr>
          <w:rFonts w:cs="Times New Roman"/>
          <w:szCs w:val="24"/>
          <w:shd w:val="clear" w:color="auto" w:fill="FFFFFF"/>
        </w:rPr>
        <w:t>, </w:t>
      </w:r>
      <w:r w:rsidRPr="000A40E6">
        <w:rPr>
          <w:rFonts w:cs="Times New Roman"/>
          <w:iCs/>
          <w:szCs w:val="24"/>
          <w:shd w:val="clear" w:color="auto" w:fill="FFFFFF"/>
        </w:rPr>
        <w:t>136</w:t>
      </w:r>
      <w:r w:rsidRPr="000A40E6">
        <w:rPr>
          <w:rFonts w:cs="Times New Roman"/>
          <w:szCs w:val="24"/>
          <w:shd w:val="clear" w:color="auto" w:fill="FFFFFF"/>
        </w:rPr>
        <w:t>(12), 1724-1729.</w:t>
      </w:r>
    </w:p>
    <w:p w14:paraId="1B3A6FD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Lagrav</w:t>
      </w:r>
      <w:r w:rsidRPr="000A40E6">
        <w:rPr>
          <w:rFonts w:cs="Times New Roman"/>
          <w:szCs w:val="24"/>
          <w:shd w:val="clear" w:color="auto" w:fill="FFFFFF"/>
        </w:rPr>
        <w:t>è</w:t>
      </w:r>
      <w:r w:rsidRPr="000A40E6">
        <w:rPr>
          <w:rFonts w:cs="Times New Roman"/>
          <w:szCs w:val="24"/>
        </w:rPr>
        <w:t>re, M. O</w:t>
      </w:r>
      <w:proofErr w:type="gramStart"/>
      <w:r w:rsidRPr="000A40E6">
        <w:rPr>
          <w:rFonts w:cs="Times New Roman"/>
          <w:szCs w:val="24"/>
        </w:rPr>
        <w:t>.,</w:t>
      </w:r>
      <w:proofErr w:type="gramEnd"/>
      <w:r w:rsidRPr="000A40E6">
        <w:rPr>
          <w:rFonts w:cs="Times New Roman"/>
          <w:szCs w:val="24"/>
        </w:rPr>
        <w:t xml:space="preserve"> Hansen, L., Harzer, W. &amp; Major, P. W. (2006). Plane orientation for standardization in 3- dimensional cephalometric analysis with computerized tomography imaging. </w:t>
      </w:r>
      <w:r w:rsidRPr="000A40E6">
        <w:rPr>
          <w:rFonts w:cs="Times New Roman"/>
          <w:i/>
          <w:szCs w:val="24"/>
        </w:rPr>
        <w:t>American Journal of Orthodontics and Dentofacial Orthopedics</w:t>
      </w:r>
      <w:r w:rsidRPr="000A40E6">
        <w:rPr>
          <w:rFonts w:cs="Times New Roman"/>
          <w:szCs w:val="24"/>
        </w:rPr>
        <w:t>, 129(5), 601-604.</w:t>
      </w:r>
    </w:p>
    <w:p w14:paraId="2BE27FF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Lagrav</w:t>
      </w:r>
      <w:r w:rsidRPr="000A40E6">
        <w:rPr>
          <w:rFonts w:cs="Times New Roman"/>
          <w:szCs w:val="24"/>
          <w:shd w:val="clear" w:color="auto" w:fill="FFFFFF"/>
        </w:rPr>
        <w:t>è</w:t>
      </w:r>
      <w:r w:rsidRPr="000A40E6">
        <w:rPr>
          <w:rFonts w:cs="Times New Roman"/>
          <w:szCs w:val="24"/>
        </w:rPr>
        <w:t>re, M. O</w:t>
      </w:r>
      <w:proofErr w:type="gramStart"/>
      <w:r w:rsidRPr="000A40E6">
        <w:rPr>
          <w:rFonts w:cs="Times New Roman"/>
          <w:szCs w:val="24"/>
        </w:rPr>
        <w:t>.,</w:t>
      </w:r>
      <w:proofErr w:type="gramEnd"/>
      <w:r w:rsidRPr="000A40E6">
        <w:rPr>
          <w:rFonts w:cs="Times New Roman"/>
          <w:szCs w:val="24"/>
        </w:rPr>
        <w:t xml:space="preserve"> Major, P. W. &amp; Flores-Mir, C. (2005a). Long-term dental arch changes after rapid maxillary expansion treatment: a systematic review. </w:t>
      </w:r>
      <w:r w:rsidRPr="000A40E6">
        <w:rPr>
          <w:rFonts w:cs="Times New Roman"/>
          <w:i/>
          <w:szCs w:val="24"/>
        </w:rPr>
        <w:t>The Angle Orthodontist,</w:t>
      </w:r>
      <w:r w:rsidRPr="000A40E6">
        <w:rPr>
          <w:rFonts w:cs="Times New Roman"/>
          <w:szCs w:val="24"/>
        </w:rPr>
        <w:t xml:space="preserve"> 75(2), 155-161.</w:t>
      </w:r>
    </w:p>
    <w:p w14:paraId="2B53612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Lagrav</w:t>
      </w:r>
      <w:r w:rsidRPr="000A40E6">
        <w:rPr>
          <w:rFonts w:cs="Times New Roman"/>
          <w:szCs w:val="24"/>
          <w:shd w:val="clear" w:color="auto" w:fill="FFFFFF"/>
        </w:rPr>
        <w:t>è</w:t>
      </w:r>
      <w:r w:rsidRPr="000A40E6">
        <w:rPr>
          <w:rFonts w:cs="Times New Roman"/>
          <w:szCs w:val="24"/>
        </w:rPr>
        <w:t>re, M. O</w:t>
      </w:r>
      <w:proofErr w:type="gramStart"/>
      <w:r w:rsidRPr="000A40E6">
        <w:rPr>
          <w:rFonts w:cs="Times New Roman"/>
          <w:szCs w:val="24"/>
        </w:rPr>
        <w:t>.,</w:t>
      </w:r>
      <w:proofErr w:type="gramEnd"/>
      <w:r w:rsidRPr="000A40E6">
        <w:rPr>
          <w:rFonts w:cs="Times New Roman"/>
          <w:szCs w:val="24"/>
        </w:rPr>
        <w:t xml:space="preserve"> Major, P. W. &amp; Flores-Mir, C</w:t>
      </w:r>
      <w:r w:rsidRPr="000A40E6">
        <w:rPr>
          <w:rFonts w:cs="Times New Roman"/>
          <w:b/>
          <w:szCs w:val="24"/>
        </w:rPr>
        <w:t>.</w:t>
      </w:r>
      <w:r w:rsidRPr="000A40E6">
        <w:rPr>
          <w:rFonts w:cs="Times New Roman"/>
          <w:szCs w:val="24"/>
        </w:rPr>
        <w:t xml:space="preserve"> (2005b). Long-term skeletal changes with rapid maxillary expansion: a systematic review. </w:t>
      </w:r>
      <w:r w:rsidRPr="000A40E6">
        <w:rPr>
          <w:rFonts w:cs="Times New Roman"/>
          <w:i/>
          <w:szCs w:val="24"/>
        </w:rPr>
        <w:t>The Angle Orthodontist</w:t>
      </w:r>
      <w:r w:rsidRPr="000A40E6">
        <w:rPr>
          <w:rFonts w:cs="Times New Roman"/>
          <w:szCs w:val="24"/>
        </w:rPr>
        <w:t>, 75(6), 1046-1052.</w:t>
      </w:r>
    </w:p>
    <w:p w14:paraId="38C1C5E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Lalic,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Aleksic, E., Gajic, M., Milic, J., &amp; Malesevic, D. (2012). Does oral health counseling effectively improve oral hygiene of orthodontic patients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w:t>
      </w:r>
      <w:r w:rsidRPr="000A40E6">
        <w:rPr>
          <w:rFonts w:cs="Times New Roman"/>
          <w:i/>
          <w:iCs/>
          <w:szCs w:val="24"/>
          <w:shd w:val="clear" w:color="auto" w:fill="FFFFFF"/>
        </w:rPr>
        <w:t>European Journal of Paediatric Dentistry</w:t>
      </w:r>
      <w:r w:rsidRPr="000A40E6">
        <w:rPr>
          <w:rFonts w:cs="Times New Roman"/>
          <w:szCs w:val="24"/>
          <w:shd w:val="clear" w:color="auto" w:fill="FFFFFF"/>
        </w:rPr>
        <w:t>, </w:t>
      </w:r>
      <w:r w:rsidRPr="000A40E6">
        <w:rPr>
          <w:rFonts w:cs="Times New Roman"/>
          <w:i/>
          <w:iCs/>
          <w:szCs w:val="24"/>
          <w:shd w:val="clear" w:color="auto" w:fill="FFFFFF"/>
        </w:rPr>
        <w:t>13</w:t>
      </w:r>
      <w:r w:rsidRPr="000A40E6">
        <w:rPr>
          <w:rFonts w:cs="Times New Roman"/>
          <w:szCs w:val="24"/>
          <w:shd w:val="clear" w:color="auto" w:fill="FFFFFF"/>
        </w:rPr>
        <w:t>(3), 181-186.</w:t>
      </w:r>
    </w:p>
    <w:p w14:paraId="7CD2922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Lamparski Jr, D.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Rinchuse, D. J., Close, J. M., &amp; Sciote, J. J. (2003). Comparison of skeletal and dental changes between 2-point and 4-point rapid palatal expanders.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123</w:t>
      </w:r>
      <w:r w:rsidRPr="000A40E6">
        <w:rPr>
          <w:rFonts w:cs="Times New Roman"/>
          <w:szCs w:val="24"/>
          <w:shd w:val="clear" w:color="auto" w:fill="FFFFFF"/>
        </w:rPr>
        <w:t>(3), 321-328.</w:t>
      </w:r>
    </w:p>
    <w:p w14:paraId="353E9EF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Lamster, I. B</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Oshrain, R. L., &amp; Gordon, J. M. (1986). Enzyme activity in human gingival crevicular fluid: considerations in </w:t>
      </w:r>
      <w:proofErr w:type="gramStart"/>
      <w:r w:rsidRPr="000A40E6">
        <w:rPr>
          <w:rFonts w:cs="Times New Roman"/>
          <w:szCs w:val="24"/>
          <w:shd w:val="clear" w:color="auto" w:fill="FFFFFF"/>
        </w:rPr>
        <w:t>data</w:t>
      </w:r>
      <w:proofErr w:type="gramEnd"/>
      <w:r w:rsidRPr="000A40E6">
        <w:rPr>
          <w:rFonts w:cs="Times New Roman"/>
          <w:szCs w:val="24"/>
          <w:shd w:val="clear" w:color="auto" w:fill="FFFFFF"/>
        </w:rPr>
        <w:t xml:space="preserve"> reporting based on analysis of individual crevicular sites.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13</w:t>
      </w:r>
      <w:r w:rsidRPr="000A40E6">
        <w:rPr>
          <w:rFonts w:cs="Times New Roman"/>
          <w:szCs w:val="24"/>
          <w:shd w:val="clear" w:color="auto" w:fill="FFFFFF"/>
        </w:rPr>
        <w:t>(8), 799-804.</w:t>
      </w:r>
    </w:p>
    <w:p w14:paraId="3E6542A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Laptook, T. (1981). Conductive hearing loss and rapid maxillary expansion: report of a case. </w:t>
      </w:r>
      <w:r w:rsidRPr="000A40E6">
        <w:rPr>
          <w:rFonts w:cs="Times New Roman"/>
          <w:i/>
          <w:iCs/>
          <w:szCs w:val="24"/>
          <w:shd w:val="clear" w:color="auto" w:fill="FFFFFF"/>
        </w:rPr>
        <w:t>American Journal of Orthodontics</w:t>
      </w:r>
      <w:r w:rsidRPr="000A40E6">
        <w:rPr>
          <w:rFonts w:cs="Times New Roman"/>
          <w:szCs w:val="24"/>
          <w:shd w:val="clear" w:color="auto" w:fill="FFFFFF"/>
        </w:rPr>
        <w:t>, </w:t>
      </w:r>
      <w:r w:rsidRPr="000A40E6">
        <w:rPr>
          <w:rFonts w:cs="Times New Roman"/>
          <w:i/>
          <w:iCs/>
          <w:szCs w:val="24"/>
          <w:shd w:val="clear" w:color="auto" w:fill="FFFFFF"/>
        </w:rPr>
        <w:t>80</w:t>
      </w:r>
      <w:r w:rsidRPr="000A40E6">
        <w:rPr>
          <w:rFonts w:cs="Times New Roman"/>
          <w:szCs w:val="24"/>
          <w:shd w:val="clear" w:color="auto" w:fill="FFFFFF"/>
        </w:rPr>
        <w:t>(3), 325-331.</w:t>
      </w:r>
    </w:p>
    <w:p w14:paraId="4DBB8B4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Lauritano, D</w:t>
      </w:r>
      <w:proofErr w:type="gramStart"/>
      <w:r w:rsidRPr="000A40E6">
        <w:rPr>
          <w:rFonts w:cs="Times New Roman"/>
          <w:szCs w:val="24"/>
        </w:rPr>
        <w:t>.,</w:t>
      </w:r>
      <w:proofErr w:type="gramEnd"/>
      <w:r w:rsidRPr="000A40E6">
        <w:rPr>
          <w:rFonts w:cs="Times New Roman"/>
          <w:szCs w:val="24"/>
        </w:rPr>
        <w:t xml:space="preserve"> Avantaggiato, A., Cura, F., Girardi, A.,</w:t>
      </w:r>
      <w:r w:rsidRPr="000A40E6">
        <w:rPr>
          <w:rFonts w:cs="Times New Roman"/>
          <w:szCs w:val="24"/>
          <w:shd w:val="clear" w:color="auto" w:fill="FFFFFF"/>
        </w:rPr>
        <w:t xml:space="preserve"> &amp;</w:t>
      </w:r>
      <w:r w:rsidRPr="000A40E6">
        <w:rPr>
          <w:rFonts w:cs="Times New Roman"/>
          <w:szCs w:val="24"/>
        </w:rPr>
        <w:t xml:space="preserve"> Carinci, F. (2014). Biomarkers of periodontal tissue in gingival crevicular fluid during orthodontic movements: An overview. </w:t>
      </w:r>
      <w:r w:rsidRPr="000A40E6">
        <w:rPr>
          <w:rFonts w:cs="Times New Roman"/>
          <w:i/>
          <w:szCs w:val="24"/>
        </w:rPr>
        <w:t>Open Acces Dentistry</w:t>
      </w:r>
      <w:r w:rsidRPr="000A40E6">
        <w:rPr>
          <w:rFonts w:cs="Times New Roman"/>
          <w:szCs w:val="24"/>
        </w:rPr>
        <w:t>, 2(1), 1-4.</w:t>
      </w:r>
    </w:p>
    <w:p w14:paraId="2EDA6DD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Lee, K. J</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Park, Y. C., Yu, H. S., Choi, S. H., &amp; Yoo, Y. J. (2004). Effects of continuous and interrupted orthodontic force on interleukin-1β and prostaglandin E2 production in gingival crevicular fluid.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125</w:t>
      </w:r>
      <w:r w:rsidRPr="000A40E6">
        <w:rPr>
          <w:rFonts w:cs="Times New Roman"/>
          <w:szCs w:val="24"/>
          <w:shd w:val="clear" w:color="auto" w:fill="FFFFFF"/>
        </w:rPr>
        <w:t>(2), 168-177.</w:t>
      </w:r>
    </w:p>
    <w:p w14:paraId="0CB3DB0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Leonardi, R</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Sicurezza, E., Cutrera, A., &amp; Barbato, E. (2011). Early post-treatment changes of circumaxillary sutures in young patients treated with rapid maxillary expansion.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81</w:t>
      </w:r>
      <w:r w:rsidRPr="000A40E6">
        <w:rPr>
          <w:rFonts w:cs="Times New Roman"/>
          <w:szCs w:val="24"/>
          <w:shd w:val="clear" w:color="auto" w:fill="FFFFFF"/>
        </w:rPr>
        <w:t>(1), 36-41.</w:t>
      </w:r>
    </w:p>
    <w:p w14:paraId="6AE61E7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Lessa, F. C. R</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Enoki, C., Feres, M. F. N., Valera, F. C. P., Lima, W. T. A., &amp; Matsumoto, M. A. N. (2005). Breathing mode influence in craniofacial development. </w:t>
      </w:r>
      <w:r w:rsidRPr="000A40E6">
        <w:rPr>
          <w:rFonts w:cs="Times New Roman"/>
          <w:i/>
          <w:iCs/>
          <w:szCs w:val="24"/>
          <w:shd w:val="clear" w:color="auto" w:fill="FFFFFF"/>
        </w:rPr>
        <w:t>Revista Brasileira de Otorrinolaringologia</w:t>
      </w:r>
      <w:r w:rsidRPr="000A40E6">
        <w:rPr>
          <w:rFonts w:cs="Times New Roman"/>
          <w:szCs w:val="24"/>
          <w:shd w:val="clear" w:color="auto" w:fill="FFFFFF"/>
        </w:rPr>
        <w:t>, </w:t>
      </w:r>
      <w:r w:rsidRPr="000A40E6">
        <w:rPr>
          <w:rFonts w:cs="Times New Roman"/>
          <w:i/>
          <w:iCs/>
          <w:szCs w:val="24"/>
          <w:shd w:val="clear" w:color="auto" w:fill="FFFFFF"/>
        </w:rPr>
        <w:t>71</w:t>
      </w:r>
      <w:r w:rsidRPr="000A40E6">
        <w:rPr>
          <w:rFonts w:cs="Times New Roman"/>
          <w:szCs w:val="24"/>
          <w:shd w:val="clear" w:color="auto" w:fill="FFFFFF"/>
        </w:rPr>
        <w:t>, 156-160.</w:t>
      </w:r>
    </w:p>
    <w:p w14:paraId="192B984B" w14:textId="77777777" w:rsidR="00A3711B" w:rsidRPr="000A40E6" w:rsidRDefault="00A3711B" w:rsidP="00A3711B">
      <w:pPr>
        <w:suppressAutoHyphens/>
        <w:spacing w:after="120"/>
        <w:ind w:left="567" w:hanging="567"/>
        <w:rPr>
          <w:rFonts w:cs="Times New Roman"/>
          <w:szCs w:val="24"/>
          <w:u w:val="single"/>
        </w:rPr>
      </w:pPr>
      <w:r w:rsidRPr="000A40E6">
        <w:rPr>
          <w:rFonts w:cs="Times New Roman"/>
          <w:szCs w:val="24"/>
          <w:shd w:val="clear" w:color="auto" w:fill="FFFFFF"/>
        </w:rPr>
        <w:t>Levrini, L</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Sacerdote, P., Moretti, S., Panzi, S., &amp; Caprioglio, A. (2013). Changes of substance P in the crevicular fluid in relation to orthodontic movement preliminary investigation. </w:t>
      </w:r>
      <w:r w:rsidRPr="000A40E6">
        <w:rPr>
          <w:rFonts w:cs="Times New Roman"/>
          <w:i/>
          <w:iCs/>
          <w:szCs w:val="24"/>
          <w:shd w:val="clear" w:color="auto" w:fill="FFFFFF"/>
        </w:rPr>
        <w:t>The Scientific World Journal</w:t>
      </w:r>
      <w:r w:rsidRPr="000A40E6">
        <w:rPr>
          <w:rFonts w:cs="Times New Roman"/>
          <w:szCs w:val="24"/>
          <w:shd w:val="clear" w:color="auto" w:fill="FFFFFF"/>
        </w:rPr>
        <w:t>, </w:t>
      </w:r>
      <w:r w:rsidRPr="000A40E6">
        <w:rPr>
          <w:rFonts w:cs="Times New Roman"/>
          <w:i/>
          <w:iCs/>
          <w:szCs w:val="24"/>
          <w:shd w:val="clear" w:color="auto" w:fill="FFFFFF"/>
        </w:rPr>
        <w:t>2013</w:t>
      </w:r>
      <w:r w:rsidRPr="000A40E6">
        <w:rPr>
          <w:rFonts w:cs="Times New Roman"/>
          <w:szCs w:val="24"/>
          <w:shd w:val="clear" w:color="auto" w:fill="FFFFFF"/>
        </w:rPr>
        <w:t>.</w:t>
      </w:r>
    </w:p>
    <w:p w14:paraId="387E3FC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Lewis, A. B</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Garn, S. M. (1960). The relationship between tooth formation and other maturational factors.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30</w:t>
      </w:r>
      <w:r w:rsidRPr="000A40E6">
        <w:rPr>
          <w:rFonts w:cs="Times New Roman"/>
          <w:szCs w:val="24"/>
          <w:shd w:val="clear" w:color="auto" w:fill="FFFFFF"/>
        </w:rPr>
        <w:t>(2), 70-77.</w:t>
      </w:r>
    </w:p>
    <w:p w14:paraId="5E626B0C"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Linder-Aronson,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Aschan, G. (1963). Nasal resistance to breathing and palatal height before and after expansion of the median palatine suture. </w:t>
      </w:r>
      <w:r w:rsidRPr="000A40E6">
        <w:rPr>
          <w:rFonts w:cs="Times New Roman"/>
          <w:i/>
          <w:iCs/>
          <w:szCs w:val="24"/>
          <w:shd w:val="clear" w:color="auto" w:fill="FFFFFF"/>
        </w:rPr>
        <w:t>Odontol Revy</w:t>
      </w:r>
      <w:r w:rsidRPr="000A40E6">
        <w:rPr>
          <w:rFonts w:cs="Times New Roman"/>
          <w:szCs w:val="24"/>
          <w:shd w:val="clear" w:color="auto" w:fill="FFFFFF"/>
        </w:rPr>
        <w:t>, </w:t>
      </w:r>
      <w:r w:rsidRPr="000A40E6">
        <w:rPr>
          <w:rFonts w:cs="Times New Roman"/>
          <w:i/>
          <w:iCs/>
          <w:szCs w:val="24"/>
          <w:shd w:val="clear" w:color="auto" w:fill="FFFFFF"/>
        </w:rPr>
        <w:t>14</w:t>
      </w:r>
      <w:r w:rsidRPr="000A40E6">
        <w:rPr>
          <w:rFonts w:cs="Times New Roman"/>
          <w:szCs w:val="24"/>
          <w:shd w:val="clear" w:color="auto" w:fill="FFFFFF"/>
        </w:rPr>
        <w:t>(3), 254-270.</w:t>
      </w:r>
    </w:p>
    <w:p w14:paraId="00B1817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Lione, R</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Ballanti, F., Franchi, L., Baccetti, T., &amp; Cozza, P. (2008). Treatment and posttreatment skeletal effects of rapid maxillary expansion studied with low-dose computed tomography in growing subjects.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134</w:t>
      </w:r>
      <w:r w:rsidRPr="000A40E6">
        <w:rPr>
          <w:rFonts w:cs="Times New Roman"/>
          <w:szCs w:val="24"/>
          <w:shd w:val="clear" w:color="auto" w:fill="FFFFFF"/>
        </w:rPr>
        <w:t>(3), 389-392.</w:t>
      </w:r>
    </w:p>
    <w:p w14:paraId="34C00DA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Lowney, J. J</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Norton, L. A., Shafer, D. M., &amp; Rossomando, E. F. (1995). Orthodontic forces increase tumor necrosis factor α in the human gingival sulcus.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108</w:t>
      </w:r>
      <w:r w:rsidRPr="000A40E6">
        <w:rPr>
          <w:rFonts w:cs="Times New Roman"/>
          <w:szCs w:val="24"/>
          <w:shd w:val="clear" w:color="auto" w:fill="FFFFFF"/>
        </w:rPr>
        <w:t>(5), 519-524.</w:t>
      </w:r>
    </w:p>
    <w:p w14:paraId="46D91A6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Löe, H</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Silness, J. (1963). Periodontal disease in pregnancy I. Prevalence and severity. </w:t>
      </w:r>
      <w:r w:rsidRPr="000A40E6">
        <w:rPr>
          <w:rFonts w:cs="Times New Roman"/>
          <w:i/>
          <w:iCs/>
          <w:szCs w:val="24"/>
          <w:shd w:val="clear" w:color="auto" w:fill="FFFFFF"/>
        </w:rPr>
        <w:t>Acta odontologica scandinavica</w:t>
      </w:r>
      <w:r w:rsidRPr="000A40E6">
        <w:rPr>
          <w:rFonts w:cs="Times New Roman"/>
          <w:szCs w:val="24"/>
          <w:shd w:val="clear" w:color="auto" w:fill="FFFFFF"/>
        </w:rPr>
        <w:t>, </w:t>
      </w:r>
      <w:r w:rsidRPr="000A40E6">
        <w:rPr>
          <w:rFonts w:cs="Times New Roman"/>
          <w:i/>
          <w:iCs/>
          <w:szCs w:val="24"/>
          <w:shd w:val="clear" w:color="auto" w:fill="FFFFFF"/>
        </w:rPr>
        <w:t>21</w:t>
      </w:r>
      <w:r w:rsidRPr="000A40E6">
        <w:rPr>
          <w:rFonts w:cs="Times New Roman"/>
          <w:szCs w:val="24"/>
          <w:shd w:val="clear" w:color="auto" w:fill="FFFFFF"/>
        </w:rPr>
        <w:t>(6), 533-551.</w:t>
      </w:r>
    </w:p>
    <w:p w14:paraId="11D60EF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Luppanapornlarp,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Kajii, T. S., Surarit, R., &amp; Iida, J. (2010). Interleukin-1β levels, pain intensity, and tooth movement using two different magnitudes of continuous orthodontic force.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32</w:t>
      </w:r>
      <w:r w:rsidRPr="000A40E6">
        <w:rPr>
          <w:rFonts w:cs="Times New Roman"/>
          <w:szCs w:val="24"/>
          <w:shd w:val="clear" w:color="auto" w:fill="FFFFFF"/>
        </w:rPr>
        <w:t>(5), 596-601.</w:t>
      </w:r>
    </w:p>
    <w:p w14:paraId="5C08BDF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Mariotti, A. (1994). Sex steroid hormones and cell dynamics in the periodontium. </w:t>
      </w:r>
      <w:r w:rsidRPr="000A40E6">
        <w:rPr>
          <w:rFonts w:cs="Times New Roman"/>
          <w:i/>
          <w:iCs/>
          <w:szCs w:val="24"/>
          <w:shd w:val="clear" w:color="auto" w:fill="FFFFFF"/>
        </w:rPr>
        <w:t>Critical Reviews in Oral Biology &amp; Medicine</w:t>
      </w:r>
      <w:r w:rsidRPr="000A40E6">
        <w:rPr>
          <w:rFonts w:cs="Times New Roman"/>
          <w:szCs w:val="24"/>
          <w:shd w:val="clear" w:color="auto" w:fill="FFFFFF"/>
        </w:rPr>
        <w:t>, </w:t>
      </w:r>
      <w:r w:rsidRPr="000A40E6">
        <w:rPr>
          <w:rFonts w:cs="Times New Roman"/>
          <w:i/>
          <w:iCs/>
          <w:szCs w:val="24"/>
          <w:shd w:val="clear" w:color="auto" w:fill="FFFFFF"/>
        </w:rPr>
        <w:t>5</w:t>
      </w:r>
      <w:r w:rsidRPr="000A40E6">
        <w:rPr>
          <w:rFonts w:cs="Times New Roman"/>
          <w:szCs w:val="24"/>
          <w:shd w:val="clear" w:color="auto" w:fill="FFFFFF"/>
        </w:rPr>
        <w:t>(1), 27-53.</w:t>
      </w:r>
    </w:p>
    <w:p w14:paraId="566DB62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Marsh, P. D</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Bradshaw, D. J. (1997). Physiological approaches to the control of oral biofilms. </w:t>
      </w:r>
      <w:r w:rsidRPr="000A40E6">
        <w:rPr>
          <w:rFonts w:cs="Times New Roman"/>
          <w:i/>
          <w:iCs/>
          <w:szCs w:val="24"/>
          <w:shd w:val="clear" w:color="auto" w:fill="FFFFFF"/>
        </w:rPr>
        <w:t>Advances in Dental Research</w:t>
      </w:r>
      <w:r w:rsidRPr="000A40E6">
        <w:rPr>
          <w:rFonts w:cs="Times New Roman"/>
          <w:szCs w:val="24"/>
          <w:shd w:val="clear" w:color="auto" w:fill="FFFFFF"/>
        </w:rPr>
        <w:t>, </w:t>
      </w:r>
      <w:r w:rsidRPr="000A40E6">
        <w:rPr>
          <w:rFonts w:cs="Times New Roman"/>
          <w:i/>
          <w:iCs/>
          <w:szCs w:val="24"/>
          <w:shd w:val="clear" w:color="auto" w:fill="FFFFFF"/>
        </w:rPr>
        <w:t>11</w:t>
      </w:r>
      <w:r w:rsidRPr="000A40E6">
        <w:rPr>
          <w:rFonts w:cs="Times New Roman"/>
          <w:szCs w:val="24"/>
          <w:shd w:val="clear" w:color="auto" w:fill="FFFFFF"/>
        </w:rPr>
        <w:t>(1), 176-185.</w:t>
      </w:r>
    </w:p>
    <w:p w14:paraId="49F2D4A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Marshall, S.D</w:t>
      </w:r>
      <w:proofErr w:type="gramStart"/>
      <w:r w:rsidRPr="000A40E6">
        <w:rPr>
          <w:rFonts w:cs="Times New Roman"/>
          <w:szCs w:val="24"/>
        </w:rPr>
        <w:t>.,</w:t>
      </w:r>
      <w:proofErr w:type="gramEnd"/>
      <w:r w:rsidRPr="000A40E6">
        <w:rPr>
          <w:rFonts w:cs="Times New Roman"/>
          <w:szCs w:val="24"/>
        </w:rPr>
        <w:t xml:space="preserve"> Southard, K.A., </w:t>
      </w:r>
      <w:r w:rsidRPr="000A40E6">
        <w:rPr>
          <w:rFonts w:cs="Times New Roman"/>
          <w:szCs w:val="24"/>
          <w:shd w:val="clear" w:color="auto" w:fill="FFFFFF"/>
        </w:rPr>
        <w:t xml:space="preserve">&amp; </w:t>
      </w:r>
      <w:r w:rsidRPr="000A40E6">
        <w:rPr>
          <w:rFonts w:cs="Times New Roman"/>
          <w:szCs w:val="24"/>
        </w:rPr>
        <w:t xml:space="preserve">Southard, T.E. (2005). Early transverse treatment. </w:t>
      </w:r>
      <w:r w:rsidRPr="000A40E6">
        <w:rPr>
          <w:rFonts w:cs="Times New Roman"/>
          <w:i/>
          <w:szCs w:val="24"/>
        </w:rPr>
        <w:t>Seminars in Orthodontics</w:t>
      </w:r>
      <w:r w:rsidRPr="000A40E6">
        <w:rPr>
          <w:rFonts w:cs="Times New Roman"/>
          <w:szCs w:val="24"/>
        </w:rPr>
        <w:t>, 11(3), 130-139.</w:t>
      </w:r>
    </w:p>
    <w:p w14:paraId="03D60C7A"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Mathur,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Michalowicz, B., Castillo, M., &amp; Aeppll, D. (1996). Interleukin</w:t>
      </w:r>
      <w:r w:rsidRPr="000A40E6">
        <w:rPr>
          <w:rFonts w:ascii="Cambria Math" w:hAnsi="Cambria Math" w:cs="Cambria Math"/>
          <w:szCs w:val="24"/>
          <w:shd w:val="clear" w:color="auto" w:fill="FFFFFF"/>
        </w:rPr>
        <w:t>‐</w:t>
      </w:r>
      <w:r w:rsidRPr="000A40E6">
        <w:rPr>
          <w:rFonts w:cs="Times New Roman"/>
          <w:szCs w:val="24"/>
          <w:shd w:val="clear" w:color="auto" w:fill="FFFFFF"/>
        </w:rPr>
        <w:t>1 alpha, interleukin</w:t>
      </w:r>
      <w:r w:rsidRPr="000A40E6">
        <w:rPr>
          <w:rFonts w:ascii="Cambria Math" w:hAnsi="Cambria Math" w:cs="Cambria Math"/>
          <w:szCs w:val="24"/>
          <w:shd w:val="clear" w:color="auto" w:fill="FFFFFF"/>
        </w:rPr>
        <w:t>‐</w:t>
      </w:r>
      <w:r w:rsidRPr="000A40E6">
        <w:rPr>
          <w:rFonts w:cs="Times New Roman"/>
          <w:szCs w:val="24"/>
          <w:shd w:val="clear" w:color="auto" w:fill="FFFFFF"/>
        </w:rPr>
        <w:t>8 and interferon</w:t>
      </w:r>
      <w:r w:rsidRPr="000A40E6">
        <w:rPr>
          <w:rFonts w:ascii="Cambria Math" w:hAnsi="Cambria Math" w:cs="Cambria Math"/>
          <w:szCs w:val="24"/>
          <w:shd w:val="clear" w:color="auto" w:fill="FFFFFF"/>
        </w:rPr>
        <w:t>‐</w:t>
      </w:r>
      <w:r w:rsidRPr="000A40E6">
        <w:rPr>
          <w:rFonts w:cs="Times New Roman"/>
          <w:szCs w:val="24"/>
          <w:shd w:val="clear" w:color="auto" w:fill="FFFFFF"/>
        </w:rPr>
        <w:t>alpha levels in gingival crevicular fluid. </w:t>
      </w:r>
      <w:r w:rsidRPr="000A40E6">
        <w:rPr>
          <w:rFonts w:cs="Times New Roman"/>
          <w:i/>
          <w:iCs/>
          <w:szCs w:val="24"/>
          <w:shd w:val="clear" w:color="auto" w:fill="FFFFFF"/>
        </w:rPr>
        <w:t>Journal of periodontal research</w:t>
      </w:r>
      <w:r w:rsidRPr="000A40E6">
        <w:rPr>
          <w:rFonts w:cs="Times New Roman"/>
          <w:szCs w:val="24"/>
          <w:shd w:val="clear" w:color="auto" w:fill="FFFFFF"/>
        </w:rPr>
        <w:t>, </w:t>
      </w:r>
      <w:r w:rsidRPr="000A40E6">
        <w:rPr>
          <w:rFonts w:cs="Times New Roman"/>
          <w:i/>
          <w:iCs/>
          <w:szCs w:val="24"/>
          <w:shd w:val="clear" w:color="auto" w:fill="FFFFFF"/>
        </w:rPr>
        <w:t>31</w:t>
      </w:r>
      <w:r w:rsidRPr="000A40E6">
        <w:rPr>
          <w:rFonts w:cs="Times New Roman"/>
          <w:szCs w:val="24"/>
          <w:shd w:val="clear" w:color="auto" w:fill="FFFFFF"/>
        </w:rPr>
        <w:t>(7), 489-495.</w:t>
      </w:r>
    </w:p>
    <w:p w14:paraId="45A96210"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McDonald, J. P. (1995). Airway problems in children--can the orthodontist help</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w:t>
      </w:r>
      <w:r w:rsidRPr="000A40E6">
        <w:rPr>
          <w:rFonts w:cs="Times New Roman"/>
          <w:i/>
          <w:iCs/>
          <w:szCs w:val="24"/>
          <w:shd w:val="clear" w:color="auto" w:fill="FFFFFF"/>
        </w:rPr>
        <w:t>Annals of the Academy of Medicine, Singapore</w:t>
      </w:r>
      <w:r w:rsidRPr="000A40E6">
        <w:rPr>
          <w:rFonts w:cs="Times New Roman"/>
          <w:szCs w:val="24"/>
          <w:shd w:val="clear" w:color="auto" w:fill="FFFFFF"/>
        </w:rPr>
        <w:t>, </w:t>
      </w:r>
      <w:r w:rsidRPr="000A40E6">
        <w:rPr>
          <w:rFonts w:cs="Times New Roman"/>
          <w:i/>
          <w:iCs/>
          <w:szCs w:val="24"/>
          <w:shd w:val="clear" w:color="auto" w:fill="FFFFFF"/>
        </w:rPr>
        <w:t>24</w:t>
      </w:r>
      <w:r w:rsidRPr="000A40E6">
        <w:rPr>
          <w:rFonts w:cs="Times New Roman"/>
          <w:szCs w:val="24"/>
          <w:shd w:val="clear" w:color="auto" w:fill="FFFFFF"/>
        </w:rPr>
        <w:t>(1), 158-162.</w:t>
      </w:r>
    </w:p>
    <w:p w14:paraId="0E23CD1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McNally, M. R</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Spary, D. J., &amp; Rock, W. P. (2005). A randomized controlled trial comparing the quadhelix and the expansion arch for the correction of crossbite. </w:t>
      </w:r>
      <w:r w:rsidRPr="000A40E6">
        <w:rPr>
          <w:rFonts w:cs="Times New Roman"/>
          <w:i/>
          <w:iCs/>
          <w:szCs w:val="24"/>
          <w:shd w:val="clear" w:color="auto" w:fill="FFFFFF"/>
        </w:rPr>
        <w:t>Journal of Orthodontics</w:t>
      </w:r>
      <w:r w:rsidRPr="000A40E6">
        <w:rPr>
          <w:rFonts w:cs="Times New Roman"/>
          <w:szCs w:val="24"/>
          <w:shd w:val="clear" w:color="auto" w:fill="FFFFFF"/>
        </w:rPr>
        <w:t>, </w:t>
      </w:r>
      <w:r w:rsidRPr="000A40E6">
        <w:rPr>
          <w:rFonts w:cs="Times New Roman"/>
          <w:i/>
          <w:iCs/>
          <w:szCs w:val="24"/>
          <w:shd w:val="clear" w:color="auto" w:fill="FFFFFF"/>
        </w:rPr>
        <w:t>32</w:t>
      </w:r>
      <w:r w:rsidRPr="000A40E6">
        <w:rPr>
          <w:rFonts w:cs="Times New Roman"/>
          <w:szCs w:val="24"/>
          <w:shd w:val="clear" w:color="auto" w:fill="FFFFFF"/>
        </w:rPr>
        <w:t>(1), 29-35.</w:t>
      </w:r>
    </w:p>
    <w:p w14:paraId="0E7EC31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McNamara Jr, J.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Baccetti, T., Franchi, L., &amp; Herberger, T. A. (2003). Rapid maxillary expansion followed by fixed appliances: a long-term evaluation of changes in arch dimensions.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73</w:t>
      </w:r>
      <w:r w:rsidRPr="000A40E6">
        <w:rPr>
          <w:rFonts w:cs="Times New Roman"/>
          <w:szCs w:val="24"/>
          <w:shd w:val="clear" w:color="auto" w:fill="FFFFFF"/>
        </w:rPr>
        <w:t>(4), 344-353.</w:t>
      </w:r>
    </w:p>
    <w:p w14:paraId="300E3E5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McNamaraa, J. A. (2000). Maxillary transverse deficiency.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117</w:t>
      </w:r>
      <w:r w:rsidRPr="000A40E6">
        <w:rPr>
          <w:rFonts w:cs="Times New Roman"/>
          <w:szCs w:val="24"/>
          <w:shd w:val="clear" w:color="auto" w:fill="FFFFFF"/>
        </w:rPr>
        <w:t>(5), 567-570.</w:t>
      </w:r>
    </w:p>
    <w:p w14:paraId="2D7B51C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Meeran, N. A. (2013). Cellular response within the periodontal ligament on application of orthodontic forces. </w:t>
      </w:r>
      <w:r w:rsidRPr="000A40E6">
        <w:rPr>
          <w:rFonts w:cs="Times New Roman"/>
          <w:i/>
          <w:iCs/>
          <w:szCs w:val="24"/>
          <w:shd w:val="clear" w:color="auto" w:fill="FFFFFF"/>
        </w:rPr>
        <w:t>Journal of Indian Society of Periodontology</w:t>
      </w:r>
      <w:r w:rsidRPr="000A40E6">
        <w:rPr>
          <w:rFonts w:cs="Times New Roman"/>
          <w:szCs w:val="24"/>
          <w:shd w:val="clear" w:color="auto" w:fill="FFFFFF"/>
        </w:rPr>
        <w:t>, </w:t>
      </w:r>
      <w:r w:rsidRPr="000A40E6">
        <w:rPr>
          <w:rFonts w:cs="Times New Roman"/>
          <w:i/>
          <w:iCs/>
          <w:szCs w:val="24"/>
          <w:shd w:val="clear" w:color="auto" w:fill="FFFFFF"/>
        </w:rPr>
        <w:t>17</w:t>
      </w:r>
      <w:r w:rsidRPr="000A40E6">
        <w:rPr>
          <w:rFonts w:cs="Times New Roman"/>
          <w:szCs w:val="24"/>
          <w:shd w:val="clear" w:color="auto" w:fill="FFFFFF"/>
        </w:rPr>
        <w:t>(1), 16-20.</w:t>
      </w:r>
    </w:p>
    <w:p w14:paraId="6EFDDB0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Memikoglu, T. U. T</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Işeri, H. (1999). Effects of a bonded rapid maxillary expansion appliance during orthodontic treatment.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69</w:t>
      </w:r>
      <w:r w:rsidRPr="000A40E6">
        <w:rPr>
          <w:rFonts w:cs="Times New Roman"/>
          <w:szCs w:val="24"/>
          <w:shd w:val="clear" w:color="auto" w:fill="FFFFFF"/>
        </w:rPr>
        <w:t>(3), 251-256.</w:t>
      </w:r>
    </w:p>
    <w:p w14:paraId="1BC9305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Mew, J. (1983). Relapse following maxillary expansion: a study of twenty-five consecutive cases. </w:t>
      </w:r>
      <w:r w:rsidRPr="000A40E6">
        <w:rPr>
          <w:rFonts w:cs="Times New Roman"/>
          <w:i/>
          <w:iCs/>
          <w:szCs w:val="24"/>
          <w:shd w:val="clear" w:color="auto" w:fill="FFFFFF"/>
        </w:rPr>
        <w:t>American Journal of Orthodontics</w:t>
      </w:r>
      <w:r w:rsidRPr="000A40E6">
        <w:rPr>
          <w:rFonts w:cs="Times New Roman"/>
          <w:szCs w:val="24"/>
          <w:shd w:val="clear" w:color="auto" w:fill="FFFFFF"/>
        </w:rPr>
        <w:t>, </w:t>
      </w:r>
      <w:r w:rsidRPr="000A40E6">
        <w:rPr>
          <w:rFonts w:cs="Times New Roman"/>
          <w:i/>
          <w:iCs/>
          <w:szCs w:val="24"/>
          <w:shd w:val="clear" w:color="auto" w:fill="FFFFFF"/>
        </w:rPr>
        <w:t>83</w:t>
      </w:r>
      <w:r w:rsidRPr="000A40E6">
        <w:rPr>
          <w:rFonts w:cs="Times New Roman"/>
          <w:szCs w:val="24"/>
          <w:shd w:val="clear" w:color="auto" w:fill="FFFFFF"/>
        </w:rPr>
        <w:t>(1), 56-61.</w:t>
      </w:r>
    </w:p>
    <w:p w14:paraId="104FDFC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Mishina, Y</w:t>
      </w:r>
      <w:proofErr w:type="gramStart"/>
      <w:r w:rsidRPr="000A40E6">
        <w:rPr>
          <w:rFonts w:cs="Times New Roman"/>
          <w:szCs w:val="24"/>
        </w:rPr>
        <w:t>.,</w:t>
      </w:r>
      <w:proofErr w:type="gramEnd"/>
      <w:r w:rsidRPr="000A40E6">
        <w:rPr>
          <w:rFonts w:cs="Times New Roman"/>
          <w:szCs w:val="24"/>
        </w:rPr>
        <w:t xml:space="preserve"> Starbuck, M.W., Gentile, M.A., Fukuda, T., Kasparcova, V., Seedor, J.G., Hanks, M.C., Amling M, Pinero GJ, Harada SI, Behringer RR. (2004). Bone morphogenetic protein type IA receptor signaling regulates postnatal osteoblast function and bone remodeling. </w:t>
      </w:r>
      <w:r w:rsidRPr="000A40E6">
        <w:rPr>
          <w:rFonts w:cs="Times New Roman"/>
          <w:i/>
          <w:szCs w:val="24"/>
        </w:rPr>
        <w:t>Journal of Biological Chemistry</w:t>
      </w:r>
      <w:r w:rsidRPr="000A40E6">
        <w:rPr>
          <w:rFonts w:cs="Times New Roman"/>
          <w:szCs w:val="24"/>
        </w:rPr>
        <w:t>, 279(26),  27560-27566.</w:t>
      </w:r>
    </w:p>
    <w:p w14:paraId="6347D5C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Miyagawa,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Chiba, M., Hayashi, H., &amp; Igarashi, K. (2009). Compressive force induces VEGF production in periodontal tissues. </w:t>
      </w:r>
      <w:r w:rsidRPr="000A40E6">
        <w:rPr>
          <w:rFonts w:cs="Times New Roman"/>
          <w:i/>
          <w:iCs/>
          <w:szCs w:val="24"/>
          <w:shd w:val="clear" w:color="auto" w:fill="FFFFFF"/>
        </w:rPr>
        <w:t>Journal of Dental Research</w:t>
      </w:r>
      <w:r w:rsidRPr="000A40E6">
        <w:rPr>
          <w:rFonts w:cs="Times New Roman"/>
          <w:szCs w:val="24"/>
          <w:shd w:val="clear" w:color="auto" w:fill="FFFFFF"/>
        </w:rPr>
        <w:t>, </w:t>
      </w:r>
      <w:r w:rsidRPr="000A40E6">
        <w:rPr>
          <w:rFonts w:cs="Times New Roman"/>
          <w:i/>
          <w:iCs/>
          <w:szCs w:val="24"/>
          <w:shd w:val="clear" w:color="auto" w:fill="FFFFFF"/>
        </w:rPr>
        <w:t>88</w:t>
      </w:r>
      <w:r w:rsidRPr="000A40E6">
        <w:rPr>
          <w:rFonts w:cs="Times New Roman"/>
          <w:szCs w:val="24"/>
          <w:shd w:val="clear" w:color="auto" w:fill="FFFFFF"/>
        </w:rPr>
        <w:t>(8), 752-756.</w:t>
      </w:r>
    </w:p>
    <w:p w14:paraId="55E09432" w14:textId="77777777" w:rsidR="00A3711B" w:rsidRPr="000A40E6" w:rsidRDefault="00A3711B" w:rsidP="00A3711B">
      <w:pPr>
        <w:suppressAutoHyphens/>
        <w:spacing w:after="120"/>
        <w:ind w:left="567" w:hanging="567"/>
        <w:rPr>
          <w:rFonts w:cs="Times New Roman"/>
          <w:i/>
          <w:szCs w:val="24"/>
          <w:shd w:val="clear" w:color="auto" w:fill="FFFFFF"/>
        </w:rPr>
      </w:pPr>
      <w:r w:rsidRPr="000A40E6">
        <w:rPr>
          <w:rFonts w:cs="Times New Roman"/>
          <w:szCs w:val="24"/>
          <w:shd w:val="clear" w:color="auto" w:fill="FFFFFF"/>
        </w:rPr>
        <w:t>Moyers, R. E</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van der Linden, F. P., Riolo, M. L., &amp; McNamara, J. A. (1976). Standards of human occlusal development. </w:t>
      </w:r>
      <w:r w:rsidRPr="000A40E6">
        <w:rPr>
          <w:rFonts w:cs="Times New Roman"/>
          <w:i/>
          <w:szCs w:val="24"/>
          <w:shd w:val="clear" w:color="auto" w:fill="FFFFFF"/>
        </w:rPr>
        <w:t>Monograph no. 5. Craniofacial Growth Series, Center for Human Growth and Development. In </w:t>
      </w:r>
      <w:proofErr w:type="gramStart"/>
      <w:r w:rsidRPr="000A40E6">
        <w:rPr>
          <w:rFonts w:cs="Times New Roman"/>
          <w:i/>
          <w:iCs/>
          <w:szCs w:val="24"/>
          <w:shd w:val="clear" w:color="auto" w:fill="FFFFFF"/>
        </w:rPr>
        <w:t>:</w:t>
      </w:r>
      <w:r w:rsidRPr="000A40E6">
        <w:rPr>
          <w:rFonts w:cs="Times New Roman"/>
          <w:i/>
          <w:szCs w:val="24"/>
          <w:shd w:val="clear" w:color="auto" w:fill="FFFFFF"/>
        </w:rPr>
        <w:t>.</w:t>
      </w:r>
      <w:proofErr w:type="gramEnd"/>
      <w:r w:rsidRPr="000A40E6">
        <w:rPr>
          <w:rFonts w:cs="Times New Roman"/>
          <w:i/>
          <w:szCs w:val="24"/>
          <w:shd w:val="clear" w:color="auto" w:fill="FFFFFF"/>
        </w:rPr>
        <w:t xml:space="preserve"> University of Michigan.</w:t>
      </w:r>
    </w:p>
    <w:p w14:paraId="23A233C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Mummolo, S</w:t>
      </w:r>
      <w:proofErr w:type="gramStart"/>
      <w:r w:rsidRPr="000A40E6">
        <w:rPr>
          <w:rFonts w:cs="Times New Roman"/>
          <w:szCs w:val="24"/>
        </w:rPr>
        <w:t>.,</w:t>
      </w:r>
      <w:proofErr w:type="gramEnd"/>
      <w:r w:rsidRPr="000A40E6">
        <w:rPr>
          <w:rFonts w:cs="Times New Roman"/>
          <w:szCs w:val="24"/>
        </w:rPr>
        <w:t xml:space="preserve"> Marchetti, E., Albani, F., Campanella, V., Pugliese, F., Di Martino, S., Tecco, S. and Marzo, G. (2014). Comparison between rapid and slow palatal expansion: evaluation of selected periodontal indices. </w:t>
      </w:r>
      <w:r w:rsidRPr="000A40E6">
        <w:rPr>
          <w:rFonts w:cs="Times New Roman"/>
          <w:i/>
          <w:szCs w:val="24"/>
        </w:rPr>
        <w:t xml:space="preserve">Head </w:t>
      </w:r>
      <w:r w:rsidRPr="000A40E6">
        <w:rPr>
          <w:rFonts w:cs="Times New Roman"/>
          <w:i/>
          <w:iCs/>
          <w:szCs w:val="24"/>
          <w:shd w:val="clear" w:color="auto" w:fill="FFFFFF"/>
        </w:rPr>
        <w:t xml:space="preserve">&amp; </w:t>
      </w:r>
      <w:r w:rsidRPr="000A40E6">
        <w:rPr>
          <w:rFonts w:cs="Times New Roman"/>
          <w:i/>
          <w:szCs w:val="24"/>
        </w:rPr>
        <w:t>Face Medicine Journal</w:t>
      </w:r>
      <w:r w:rsidRPr="000A40E6">
        <w:rPr>
          <w:rFonts w:cs="Times New Roman"/>
          <w:szCs w:val="24"/>
        </w:rPr>
        <w:t>, 10, 1-7.</w:t>
      </w:r>
    </w:p>
    <w:p w14:paraId="20A85B0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Murray, J. M.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Cleall, J. F. (1971). Early tissue response to rapid maxillary expansion in the midpalatal suture of the rhesus monkey. </w:t>
      </w:r>
      <w:r w:rsidRPr="000A40E6">
        <w:rPr>
          <w:rFonts w:cs="Times New Roman"/>
          <w:i/>
          <w:iCs/>
          <w:szCs w:val="24"/>
          <w:shd w:val="clear" w:color="auto" w:fill="FFFFFF"/>
        </w:rPr>
        <w:t>Journal of Dental Research</w:t>
      </w:r>
      <w:r w:rsidRPr="000A40E6">
        <w:rPr>
          <w:rFonts w:cs="Times New Roman"/>
          <w:szCs w:val="24"/>
          <w:shd w:val="clear" w:color="auto" w:fill="FFFFFF"/>
        </w:rPr>
        <w:t>, </w:t>
      </w:r>
      <w:r w:rsidRPr="000A40E6">
        <w:rPr>
          <w:rFonts w:cs="Times New Roman"/>
          <w:i/>
          <w:iCs/>
          <w:szCs w:val="24"/>
          <w:shd w:val="clear" w:color="auto" w:fill="FFFFFF"/>
        </w:rPr>
        <w:t>50</w:t>
      </w:r>
      <w:r w:rsidRPr="000A40E6">
        <w:rPr>
          <w:rFonts w:cs="Times New Roman"/>
          <w:szCs w:val="24"/>
          <w:shd w:val="clear" w:color="auto" w:fill="FFFFFF"/>
        </w:rPr>
        <w:t>(6), 1654-1660.</w:t>
      </w:r>
    </w:p>
    <w:p w14:paraId="75B965F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Mutinelli,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Cozzani, M., Manfredi, M., Bee, M., &amp; Siciliani, G. (2008). Dental arch changes following rapid maxillary expansion.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30</w:t>
      </w:r>
      <w:r w:rsidRPr="000A40E6">
        <w:rPr>
          <w:rFonts w:cs="Times New Roman"/>
          <w:szCs w:val="24"/>
          <w:shd w:val="clear" w:color="auto" w:fill="FFFFFF"/>
        </w:rPr>
        <w:t>(5), 469-476.</w:t>
      </w:r>
    </w:p>
    <w:p w14:paraId="648ADFE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Nakano, Y</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Yamaguchi, M., Fujita, S., Asano, M., Saito, K., &amp; Kasai, K. (2011). Expressions of RANKL/RANK and M-CSF/c-fms in root resorption lacunae in rat molar by heavy orthodontic force.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33</w:t>
      </w:r>
      <w:r w:rsidRPr="000A40E6">
        <w:rPr>
          <w:rFonts w:cs="Times New Roman"/>
          <w:szCs w:val="24"/>
          <w:shd w:val="clear" w:color="auto" w:fill="FFFFFF"/>
        </w:rPr>
        <w:t>(4), 335-343.</w:t>
      </w:r>
    </w:p>
    <w:p w14:paraId="3EBC429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Nakashima, K</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Roehrich, N., &amp; Cimasoni, G. (1994). Osteocalcin, prostaglandin E2 and alkaline phosphatase in gingival crevicular fluid: their relations to periodontal status.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21</w:t>
      </w:r>
      <w:r w:rsidRPr="000A40E6">
        <w:rPr>
          <w:rFonts w:cs="Times New Roman"/>
          <w:szCs w:val="24"/>
          <w:shd w:val="clear" w:color="auto" w:fill="FFFFFF"/>
        </w:rPr>
        <w:t>(5), 327-333.</w:t>
      </w:r>
    </w:p>
    <w:p w14:paraId="5752572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Newman Michael, Takei Henry, Klokkevold Perry, Carranza Fermin, (2015), Carranza’s Clinical Periodontology, </w:t>
      </w:r>
      <w:r w:rsidRPr="000A40E6">
        <w:rPr>
          <w:rFonts w:cs="Times New Roman"/>
          <w:i/>
          <w:szCs w:val="24"/>
        </w:rPr>
        <w:t>Elsevier Inc</w:t>
      </w:r>
      <w:proofErr w:type="gramStart"/>
      <w:r w:rsidRPr="000A40E6">
        <w:rPr>
          <w:rFonts w:cs="Times New Roman"/>
          <w:szCs w:val="24"/>
        </w:rPr>
        <w:t>.,</w:t>
      </w:r>
      <w:proofErr w:type="gramEnd"/>
      <w:r w:rsidRPr="000A40E6">
        <w:rPr>
          <w:rFonts w:cs="Times New Roman"/>
          <w:szCs w:val="24"/>
        </w:rPr>
        <w:t xml:space="preserve"> </w:t>
      </w:r>
      <w:r w:rsidRPr="000A40E6">
        <w:rPr>
          <w:rFonts w:cs="Times New Roman"/>
          <w:i/>
          <w:szCs w:val="24"/>
        </w:rPr>
        <w:t>Canada</w:t>
      </w:r>
      <w:r w:rsidRPr="000A40E6">
        <w:rPr>
          <w:rFonts w:cs="Times New Roman"/>
          <w:szCs w:val="24"/>
        </w:rPr>
        <w:t>, 978-0-323-18824-1</w:t>
      </w:r>
    </w:p>
    <w:p w14:paraId="0CE5EF33" w14:textId="77777777" w:rsidR="00A3711B" w:rsidRPr="000A40E6" w:rsidRDefault="00A3711B" w:rsidP="00A3711B">
      <w:pPr>
        <w:suppressAutoHyphens/>
        <w:spacing w:after="120"/>
        <w:ind w:left="567" w:hanging="567"/>
        <w:rPr>
          <w:rFonts w:cs="Times New Roman"/>
          <w:szCs w:val="24"/>
        </w:rPr>
      </w:pPr>
      <w:bookmarkStart w:id="151" w:name="OLE_LINK3"/>
      <w:bookmarkStart w:id="152" w:name="OLE_LINK4"/>
      <w:r w:rsidRPr="000A40E6">
        <w:rPr>
          <w:rFonts w:cs="Times New Roman"/>
          <w:szCs w:val="24"/>
          <w:shd w:val="clear" w:color="auto" w:fill="FFFFFF"/>
        </w:rPr>
        <w:t>Ngan, P</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Hägg, U., Yiu, C., Merwin, D., &amp; Wei, S. H. (1996). Soft tissue and dentoskeletal </w:t>
      </w:r>
      <w:proofErr w:type="gramStart"/>
      <w:r w:rsidRPr="000A40E6">
        <w:rPr>
          <w:rFonts w:cs="Times New Roman"/>
          <w:szCs w:val="24"/>
          <w:shd w:val="clear" w:color="auto" w:fill="FFFFFF"/>
        </w:rPr>
        <w:t>profile</w:t>
      </w:r>
      <w:proofErr w:type="gramEnd"/>
      <w:r w:rsidRPr="000A40E6">
        <w:rPr>
          <w:rFonts w:cs="Times New Roman"/>
          <w:szCs w:val="24"/>
          <w:shd w:val="clear" w:color="auto" w:fill="FFFFFF"/>
        </w:rPr>
        <w:t xml:space="preserve"> changes associated with maxillary expansion and protraction headgear treatment.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109</w:t>
      </w:r>
      <w:r w:rsidRPr="000A40E6">
        <w:rPr>
          <w:rFonts w:cs="Times New Roman"/>
          <w:szCs w:val="24"/>
          <w:shd w:val="clear" w:color="auto" w:fill="FFFFFF"/>
        </w:rPr>
        <w:t>(1), 38-49.</w:t>
      </w:r>
    </w:p>
    <w:bookmarkEnd w:id="151"/>
    <w:bookmarkEnd w:id="152"/>
    <w:p w14:paraId="6C163950"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Nishijima, Y</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Yamaguchi, M., Kojima, T., Aihara, N., Nakajima, R., &amp; Kasai, K. (2006). Levels of RANKL and OPG in gingival crevicular fluid during orthodontic tooth movement and effect of compression force on releases from periodontal ligament cells in vitro. </w:t>
      </w:r>
      <w:r w:rsidRPr="000A40E6">
        <w:rPr>
          <w:rFonts w:cs="Times New Roman"/>
          <w:i/>
          <w:iCs/>
          <w:szCs w:val="24"/>
          <w:shd w:val="clear" w:color="auto" w:fill="FFFFFF"/>
        </w:rPr>
        <w:t>Orthodontics and Craniofacial Research</w:t>
      </w:r>
      <w:r w:rsidRPr="000A40E6">
        <w:rPr>
          <w:rFonts w:cs="Times New Roman"/>
          <w:szCs w:val="24"/>
          <w:shd w:val="clear" w:color="auto" w:fill="FFFFFF"/>
        </w:rPr>
        <w:t>, </w:t>
      </w:r>
      <w:r w:rsidRPr="000A40E6">
        <w:rPr>
          <w:rFonts w:cs="Times New Roman"/>
          <w:i/>
          <w:iCs/>
          <w:szCs w:val="24"/>
          <w:shd w:val="clear" w:color="auto" w:fill="FFFFFF"/>
        </w:rPr>
        <w:t>9</w:t>
      </w:r>
      <w:r w:rsidRPr="000A40E6">
        <w:rPr>
          <w:rFonts w:cs="Times New Roman"/>
          <w:szCs w:val="24"/>
          <w:shd w:val="clear" w:color="auto" w:fill="FFFFFF"/>
        </w:rPr>
        <w:t>(2), 63-70.</w:t>
      </w:r>
    </w:p>
    <w:p w14:paraId="2BA19E56"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Noguchi, K</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Gel, Y. R., Brunner, E., &amp; Konietschke, F. </w:t>
      </w:r>
      <w:r w:rsidRPr="000A40E6">
        <w:rPr>
          <w:rFonts w:cs="Times New Roman"/>
          <w:szCs w:val="24"/>
        </w:rPr>
        <w:t xml:space="preserve">(2012). nparLD: An R Software Package for the Nonparametric Analysis of Longitudinal Data in Factorial Experiments. </w:t>
      </w:r>
      <w:r w:rsidRPr="000A40E6">
        <w:rPr>
          <w:rFonts w:cs="Times New Roman"/>
          <w:i/>
          <w:szCs w:val="24"/>
        </w:rPr>
        <w:t>Journal of Statistical Software</w:t>
      </w:r>
      <w:r w:rsidRPr="000A40E6">
        <w:rPr>
          <w:rFonts w:cs="Times New Roman"/>
          <w:szCs w:val="24"/>
        </w:rPr>
        <w:t>, 50(12), 1-23. URL http://www.jstatsoft.org/v50/i12/.</w:t>
      </w:r>
    </w:p>
    <w:p w14:paraId="72440ED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Oates, T. W</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Graves, D. T., &amp; Cochran, D. L. (2002). Clinical, radiographic and biochemical assessment of IL</w:t>
      </w:r>
      <w:r w:rsidRPr="000A40E6">
        <w:rPr>
          <w:rFonts w:ascii="Cambria Math" w:hAnsi="Cambria Math" w:cs="Cambria Math"/>
          <w:szCs w:val="24"/>
          <w:shd w:val="clear" w:color="auto" w:fill="FFFFFF"/>
        </w:rPr>
        <w:t>‐</w:t>
      </w:r>
      <w:r w:rsidRPr="000A40E6">
        <w:rPr>
          <w:rFonts w:cs="Times New Roman"/>
          <w:szCs w:val="24"/>
          <w:shd w:val="clear" w:color="auto" w:fill="FFFFFF"/>
        </w:rPr>
        <w:t>1/TNF</w:t>
      </w:r>
      <w:r w:rsidRPr="000A40E6">
        <w:rPr>
          <w:rFonts w:ascii="Cambria Math" w:hAnsi="Cambria Math" w:cs="Cambria Math"/>
          <w:szCs w:val="24"/>
          <w:shd w:val="clear" w:color="auto" w:fill="FFFFFF"/>
        </w:rPr>
        <w:t>‐</w:t>
      </w:r>
      <w:r w:rsidRPr="000A40E6">
        <w:rPr>
          <w:rFonts w:cs="Times New Roman"/>
          <w:szCs w:val="24"/>
          <w:shd w:val="clear" w:color="auto" w:fill="FFFFFF"/>
        </w:rPr>
        <w:t xml:space="preserve">α </w:t>
      </w:r>
      <w:proofErr w:type="gramStart"/>
      <w:r w:rsidRPr="000A40E6">
        <w:rPr>
          <w:rFonts w:cs="Times New Roman"/>
          <w:szCs w:val="24"/>
          <w:shd w:val="clear" w:color="auto" w:fill="FFFFFF"/>
        </w:rPr>
        <w:t>antagonist</w:t>
      </w:r>
      <w:proofErr w:type="gramEnd"/>
      <w:r w:rsidRPr="000A40E6">
        <w:rPr>
          <w:rFonts w:cs="Times New Roman"/>
          <w:szCs w:val="24"/>
          <w:shd w:val="clear" w:color="auto" w:fill="FFFFFF"/>
        </w:rPr>
        <w:t xml:space="preserve"> inhibition of bone loss in experimental periodontitis.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29</w:t>
      </w:r>
      <w:r w:rsidRPr="000A40E6">
        <w:rPr>
          <w:rFonts w:cs="Times New Roman"/>
          <w:szCs w:val="24"/>
          <w:shd w:val="clear" w:color="auto" w:fill="FFFFFF"/>
        </w:rPr>
        <w:t>(2), 137-143.</w:t>
      </w:r>
    </w:p>
    <w:p w14:paraId="37FA913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Odenrick, L</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Karlander, O. D. E. L., Pierce, O. D. A., FRACDS, O. D., &amp; Kretschmar, U. (1991). Surface resorption following two forms of rapid maxillary expansion.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13</w:t>
      </w:r>
      <w:r w:rsidRPr="000A40E6">
        <w:rPr>
          <w:rFonts w:cs="Times New Roman"/>
          <w:szCs w:val="24"/>
          <w:shd w:val="clear" w:color="auto" w:fill="FFFFFF"/>
        </w:rPr>
        <w:t>(4), 264-270.</w:t>
      </w:r>
    </w:p>
    <w:p w14:paraId="22A1EAE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Offenbacher,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Odle, B. M., Gray, R. C., &amp; Van Dyke, T. E. (1984). Crevicular fluid prostaglandin E levels as a measure of the periodontal disease status of adult and juvenile periodontitis patients. </w:t>
      </w:r>
      <w:r w:rsidRPr="000A40E6">
        <w:rPr>
          <w:rFonts w:cs="Times New Roman"/>
          <w:i/>
          <w:iCs/>
          <w:szCs w:val="24"/>
          <w:shd w:val="clear" w:color="auto" w:fill="FFFFFF"/>
        </w:rPr>
        <w:t>Journal of Periodontal Research</w:t>
      </w:r>
      <w:r w:rsidRPr="000A40E6">
        <w:rPr>
          <w:rFonts w:cs="Times New Roman"/>
          <w:szCs w:val="24"/>
          <w:shd w:val="clear" w:color="auto" w:fill="FFFFFF"/>
        </w:rPr>
        <w:t>, </w:t>
      </w:r>
      <w:r w:rsidRPr="000A40E6">
        <w:rPr>
          <w:rFonts w:cs="Times New Roman"/>
          <w:i/>
          <w:iCs/>
          <w:szCs w:val="24"/>
          <w:shd w:val="clear" w:color="auto" w:fill="FFFFFF"/>
        </w:rPr>
        <w:t>19</w:t>
      </w:r>
      <w:r w:rsidRPr="000A40E6">
        <w:rPr>
          <w:rFonts w:cs="Times New Roman"/>
          <w:szCs w:val="24"/>
          <w:shd w:val="clear" w:color="auto" w:fill="FFFFFF"/>
        </w:rPr>
        <w:t>(1), 1-13.</w:t>
      </w:r>
    </w:p>
    <w:p w14:paraId="38BCBC4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Ogasawara, T</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Yoshimine, Y., Kiyoshima, T., Kobayashi, I., Matsuo, K., Akamine, A., &amp; Sakai, H. (2004). In situ expression of RANKL, RANK, osteoprotegerin and cytokines in osteoclasts of rat periodontal tissue. </w:t>
      </w:r>
      <w:r w:rsidRPr="000A40E6">
        <w:rPr>
          <w:rFonts w:cs="Times New Roman"/>
          <w:i/>
          <w:iCs/>
          <w:szCs w:val="24"/>
          <w:shd w:val="clear" w:color="auto" w:fill="FFFFFF"/>
        </w:rPr>
        <w:t>Journal of Periodontal Research</w:t>
      </w:r>
      <w:r w:rsidRPr="000A40E6">
        <w:rPr>
          <w:rFonts w:cs="Times New Roman"/>
          <w:szCs w:val="24"/>
          <w:shd w:val="clear" w:color="auto" w:fill="FFFFFF"/>
        </w:rPr>
        <w:t>, </w:t>
      </w:r>
      <w:r w:rsidRPr="000A40E6">
        <w:rPr>
          <w:rFonts w:cs="Times New Roman"/>
          <w:i/>
          <w:iCs/>
          <w:szCs w:val="24"/>
          <w:shd w:val="clear" w:color="auto" w:fill="FFFFFF"/>
        </w:rPr>
        <w:t>39</w:t>
      </w:r>
      <w:r w:rsidRPr="000A40E6">
        <w:rPr>
          <w:rFonts w:cs="Times New Roman"/>
          <w:szCs w:val="24"/>
          <w:shd w:val="clear" w:color="auto" w:fill="FFFFFF"/>
        </w:rPr>
        <w:t>(1), 42-49.</w:t>
      </w:r>
    </w:p>
    <w:p w14:paraId="3B8F4037"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shd w:val="clear" w:color="auto" w:fill="FFFFFF"/>
        </w:rPr>
        <w:t>Okunnu, B.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Berg, R. E. (2019). Neutrophils are more effective than monocytes at phagosomal containment and killing of Listeria monocytogenes. </w:t>
      </w:r>
      <w:r w:rsidRPr="000A40E6">
        <w:rPr>
          <w:rFonts w:cs="Times New Roman"/>
          <w:i/>
          <w:iCs/>
          <w:szCs w:val="24"/>
          <w:shd w:val="clear" w:color="auto" w:fill="FFFFFF"/>
        </w:rPr>
        <w:t>Immunohorizons</w:t>
      </w:r>
      <w:r w:rsidRPr="000A40E6">
        <w:rPr>
          <w:rFonts w:cs="Times New Roman"/>
          <w:szCs w:val="24"/>
          <w:shd w:val="clear" w:color="auto" w:fill="FFFFFF"/>
        </w:rPr>
        <w:t>, </w:t>
      </w:r>
      <w:r w:rsidRPr="000A40E6">
        <w:rPr>
          <w:rFonts w:cs="Times New Roman"/>
          <w:i/>
          <w:iCs/>
          <w:szCs w:val="24"/>
          <w:shd w:val="clear" w:color="auto" w:fill="FFFFFF"/>
        </w:rPr>
        <w:t>3</w:t>
      </w:r>
      <w:r w:rsidRPr="000A40E6">
        <w:rPr>
          <w:rFonts w:cs="Times New Roman"/>
          <w:szCs w:val="24"/>
          <w:shd w:val="clear" w:color="auto" w:fill="FFFFFF"/>
        </w:rPr>
        <w:t>(12), 573-584.</w:t>
      </w:r>
    </w:p>
    <w:p w14:paraId="019F4AB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Oliveira, N. L</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Da Silveira, A. C., Kusnoto, B., &amp; Viana, G. (2004). Three-dimensional assessment of morphologic changes of the maxilla: a comparison of 2 kinds of palatal expanders.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126</w:t>
      </w:r>
      <w:r w:rsidRPr="000A40E6">
        <w:rPr>
          <w:rFonts w:cs="Times New Roman"/>
          <w:szCs w:val="24"/>
          <w:shd w:val="clear" w:color="auto" w:fill="FFFFFF"/>
        </w:rPr>
        <w:t>(3), 354-362.</w:t>
      </w:r>
    </w:p>
    <w:p w14:paraId="5701DB9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Ong, S. C</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Khambay, B. S., McDonald, J. P., Cross, D. L., Brocklebank, L. M., &amp; Ju, X. (2015). The novel use of three-dimensional surface models to quantify and visualise the immediate changes of the mid-facial skeleton following rapid maxillary expansion. </w:t>
      </w:r>
      <w:r w:rsidRPr="000A40E6">
        <w:rPr>
          <w:rFonts w:cs="Times New Roman"/>
          <w:i/>
          <w:iCs/>
          <w:szCs w:val="24"/>
          <w:shd w:val="clear" w:color="auto" w:fill="FFFFFF"/>
        </w:rPr>
        <w:t>The Surgeon</w:t>
      </w:r>
      <w:r w:rsidRPr="000A40E6">
        <w:rPr>
          <w:rFonts w:cs="Times New Roman"/>
          <w:szCs w:val="24"/>
          <w:shd w:val="clear" w:color="auto" w:fill="FFFFFF"/>
        </w:rPr>
        <w:t>, </w:t>
      </w:r>
      <w:r w:rsidRPr="000A40E6">
        <w:rPr>
          <w:rFonts w:cs="Times New Roman"/>
          <w:i/>
          <w:iCs/>
          <w:szCs w:val="24"/>
          <w:shd w:val="clear" w:color="auto" w:fill="FFFFFF"/>
        </w:rPr>
        <w:t>13</w:t>
      </w:r>
      <w:r w:rsidRPr="000A40E6">
        <w:rPr>
          <w:rFonts w:cs="Times New Roman"/>
          <w:szCs w:val="24"/>
          <w:shd w:val="clear" w:color="auto" w:fill="FFFFFF"/>
        </w:rPr>
        <w:t>(3), 132-138.</w:t>
      </w:r>
    </w:p>
    <w:p w14:paraId="7D5227E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O'Reilly, M. T</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Yanniello, G. J. (1988). Mandibular Growth Changes and Maturation of Cervical Vertebrae: —A Longitudinal Cephalometric Study.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58</w:t>
      </w:r>
      <w:r w:rsidRPr="000A40E6">
        <w:rPr>
          <w:rFonts w:cs="Times New Roman"/>
          <w:szCs w:val="24"/>
          <w:shd w:val="clear" w:color="auto" w:fill="FFFFFF"/>
        </w:rPr>
        <w:t>(2), 179-184.</w:t>
      </w:r>
    </w:p>
    <w:p w14:paraId="53D13AA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Özel, N</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Aksoy, A., Kırzıoglu, F. Y., Doguc, D. K., &amp; Aksoy, T. A. (2018). Evaluation of interleukin-1β level and oxidative status in gingival crevicular fluid during rapid maxillary expansion. </w:t>
      </w:r>
      <w:r w:rsidRPr="000A40E6">
        <w:rPr>
          <w:rFonts w:cs="Times New Roman"/>
          <w:i/>
          <w:iCs/>
          <w:szCs w:val="24"/>
          <w:shd w:val="clear" w:color="auto" w:fill="FFFFFF"/>
        </w:rPr>
        <w:t>Archives of Oral Biology</w:t>
      </w:r>
      <w:r w:rsidRPr="000A40E6">
        <w:rPr>
          <w:rFonts w:cs="Times New Roman"/>
          <w:szCs w:val="24"/>
          <w:shd w:val="clear" w:color="auto" w:fill="FFFFFF"/>
        </w:rPr>
        <w:t>, </w:t>
      </w:r>
      <w:r w:rsidRPr="000A40E6">
        <w:rPr>
          <w:rFonts w:cs="Times New Roman"/>
          <w:i/>
          <w:iCs/>
          <w:szCs w:val="24"/>
          <w:shd w:val="clear" w:color="auto" w:fill="FFFFFF"/>
        </w:rPr>
        <w:t>90</w:t>
      </w:r>
      <w:r w:rsidRPr="000A40E6">
        <w:rPr>
          <w:rFonts w:cs="Times New Roman"/>
          <w:szCs w:val="24"/>
          <w:shd w:val="clear" w:color="auto" w:fill="FFFFFF"/>
        </w:rPr>
        <w:t>, 74-79.</w:t>
      </w:r>
    </w:p>
    <w:p w14:paraId="1CC511EF"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Özkavaf,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Aras, H., Huri, C. B., Mottaghian-Dini, F., Tözüm, T. F., Etikan, I., Yamalık, N., &amp; Caglayan, F. (2000). Relationship between the quantity of gingival crevicular fluid and clinical periodontal status. </w:t>
      </w:r>
      <w:r w:rsidRPr="000A40E6">
        <w:rPr>
          <w:rFonts w:cs="Times New Roman"/>
          <w:i/>
          <w:iCs/>
          <w:szCs w:val="24"/>
          <w:shd w:val="clear" w:color="auto" w:fill="FFFFFF"/>
        </w:rPr>
        <w:t>Journal of Oral Science</w:t>
      </w:r>
      <w:r w:rsidRPr="000A40E6">
        <w:rPr>
          <w:rFonts w:cs="Times New Roman"/>
          <w:szCs w:val="24"/>
          <w:shd w:val="clear" w:color="auto" w:fill="FFFFFF"/>
        </w:rPr>
        <w:t>, </w:t>
      </w:r>
      <w:r w:rsidRPr="000A40E6">
        <w:rPr>
          <w:rFonts w:cs="Times New Roman"/>
          <w:i/>
          <w:iCs/>
          <w:szCs w:val="24"/>
          <w:shd w:val="clear" w:color="auto" w:fill="FFFFFF"/>
        </w:rPr>
        <w:t>42</w:t>
      </w:r>
      <w:r w:rsidRPr="000A40E6">
        <w:rPr>
          <w:rFonts w:cs="Times New Roman"/>
          <w:szCs w:val="24"/>
          <w:shd w:val="clear" w:color="auto" w:fill="FFFFFF"/>
        </w:rPr>
        <w:t>(4), 231-238.</w:t>
      </w:r>
    </w:p>
    <w:p w14:paraId="4F4DC6C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Özkavaf,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Aras, H., Huri, C. B., Yamalik, N., Kilinc, A., Kilinc, K., &amp; Caglayan, F. (2001). Analysis of factors that may affect the enzymatic profile of gingival crevicular fluid: sampling technique, sequential sampling and mode of </w:t>
      </w:r>
      <w:proofErr w:type="gramStart"/>
      <w:r w:rsidRPr="000A40E6">
        <w:rPr>
          <w:rFonts w:cs="Times New Roman"/>
          <w:szCs w:val="24"/>
          <w:shd w:val="clear" w:color="auto" w:fill="FFFFFF"/>
        </w:rPr>
        <w:t>data</w:t>
      </w:r>
      <w:proofErr w:type="gramEnd"/>
      <w:r w:rsidRPr="000A40E6">
        <w:rPr>
          <w:rFonts w:cs="Times New Roman"/>
          <w:szCs w:val="24"/>
          <w:shd w:val="clear" w:color="auto" w:fill="FFFFFF"/>
        </w:rPr>
        <w:t xml:space="preserve"> presentation. </w:t>
      </w:r>
      <w:r w:rsidRPr="000A40E6">
        <w:rPr>
          <w:rFonts w:cs="Times New Roman"/>
          <w:i/>
          <w:iCs/>
          <w:szCs w:val="24"/>
          <w:shd w:val="clear" w:color="auto" w:fill="FFFFFF"/>
        </w:rPr>
        <w:t>Journal of Oral Science</w:t>
      </w:r>
      <w:r w:rsidRPr="000A40E6">
        <w:rPr>
          <w:rFonts w:cs="Times New Roman"/>
          <w:szCs w:val="24"/>
          <w:shd w:val="clear" w:color="auto" w:fill="FFFFFF"/>
        </w:rPr>
        <w:t>, </w:t>
      </w:r>
      <w:r w:rsidRPr="000A40E6">
        <w:rPr>
          <w:rFonts w:cs="Times New Roman"/>
          <w:i/>
          <w:iCs/>
          <w:szCs w:val="24"/>
          <w:shd w:val="clear" w:color="auto" w:fill="FFFFFF"/>
        </w:rPr>
        <w:t>43</w:t>
      </w:r>
      <w:r w:rsidRPr="000A40E6">
        <w:rPr>
          <w:rFonts w:cs="Times New Roman"/>
          <w:szCs w:val="24"/>
          <w:shd w:val="clear" w:color="auto" w:fill="FFFFFF"/>
        </w:rPr>
        <w:t>(1), 41-48.</w:t>
      </w:r>
    </w:p>
    <w:p w14:paraId="75D0A38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Parks, E.T. (2000). Computed tomography applications for dentistry. </w:t>
      </w:r>
      <w:r w:rsidRPr="000A40E6">
        <w:rPr>
          <w:rFonts w:cs="Times New Roman"/>
          <w:i/>
          <w:szCs w:val="24"/>
        </w:rPr>
        <w:t>Dent Clin North Am</w:t>
      </w:r>
      <w:r w:rsidRPr="000A40E6">
        <w:rPr>
          <w:rFonts w:cs="Times New Roman"/>
          <w:szCs w:val="24"/>
        </w:rPr>
        <w:t>, 44, 371-94.</w:t>
      </w:r>
    </w:p>
    <w:p w14:paraId="601E51F3"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Pender, N</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Samuels, R. H. A., &amp; Last, K. S. (1994). The monitoring of orthodontic tooth movement over a 2-year period by analysis of gingival crevicular fluid.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16</w:t>
      </w:r>
      <w:r w:rsidRPr="000A40E6">
        <w:rPr>
          <w:rFonts w:cs="Times New Roman"/>
          <w:szCs w:val="24"/>
          <w:shd w:val="clear" w:color="auto" w:fill="FFFFFF"/>
        </w:rPr>
        <w:t>(6), 511-520.</w:t>
      </w:r>
    </w:p>
    <w:p w14:paraId="063AC44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Perinetti,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Baccetti, T., Di Leonardo, B., Di Lenarda, R., &amp; Contardo, L. (2011). Dentition phase and chronological age in relation to gingival crevicular fluid alkaline phosphatase activity in growing subjects. </w:t>
      </w:r>
      <w:r w:rsidRPr="000A40E6">
        <w:rPr>
          <w:rFonts w:cs="Times New Roman"/>
          <w:i/>
          <w:iCs/>
          <w:szCs w:val="24"/>
          <w:shd w:val="clear" w:color="auto" w:fill="FFFFFF"/>
        </w:rPr>
        <w:t>Progress in Orthodontics</w:t>
      </w:r>
      <w:r w:rsidRPr="000A40E6">
        <w:rPr>
          <w:rFonts w:cs="Times New Roman"/>
          <w:szCs w:val="24"/>
          <w:shd w:val="clear" w:color="auto" w:fill="FFFFFF"/>
        </w:rPr>
        <w:t>, </w:t>
      </w:r>
      <w:r w:rsidRPr="000A40E6">
        <w:rPr>
          <w:rFonts w:cs="Times New Roman"/>
          <w:i/>
          <w:iCs/>
          <w:szCs w:val="24"/>
          <w:shd w:val="clear" w:color="auto" w:fill="FFFFFF"/>
        </w:rPr>
        <w:t>12</w:t>
      </w:r>
      <w:r w:rsidRPr="000A40E6">
        <w:rPr>
          <w:rFonts w:cs="Times New Roman"/>
          <w:szCs w:val="24"/>
          <w:shd w:val="clear" w:color="auto" w:fill="FFFFFF"/>
        </w:rPr>
        <w:t>(2), 100-106.</w:t>
      </w:r>
    </w:p>
    <w:p w14:paraId="17897C77"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Perinetti,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D'Apuzzo, F., Contardo, L., Primozic, J., Rupel, K., &amp; Perillo, L. (2015). Gingival crevicular fluid alkaline phosphate activity during the retention phase of maxillary expansion in prepubertal subjects: A split-mouth longitudinal study.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148</w:t>
      </w:r>
      <w:r w:rsidRPr="000A40E6">
        <w:rPr>
          <w:rFonts w:cs="Times New Roman"/>
          <w:szCs w:val="24"/>
          <w:shd w:val="clear" w:color="auto" w:fill="FFFFFF"/>
        </w:rPr>
        <w:t>(1), 90-96.</w:t>
      </w:r>
    </w:p>
    <w:p w14:paraId="1078A77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Perinetti,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Paolantonio, M., D'Attilio, M., D'Archivio, D., Tripodi, D., Femminella, B., </w:t>
      </w:r>
      <w:r w:rsidRPr="000A40E6">
        <w:rPr>
          <w:rFonts w:cs="Times New Roman"/>
          <w:szCs w:val="24"/>
        </w:rPr>
        <w:t>Festa, F.,</w:t>
      </w:r>
      <w:r w:rsidRPr="000A40E6">
        <w:rPr>
          <w:rFonts w:cs="Times New Roman"/>
          <w:szCs w:val="24"/>
          <w:shd w:val="clear" w:color="auto" w:fill="FFFFFF"/>
        </w:rPr>
        <w:t xml:space="preserve"> &amp; Spoto, G. (2002). Alkaline phosphatase activity in gingival crevicular fluid during human orthodontic tooth movement.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122</w:t>
      </w:r>
      <w:r w:rsidRPr="000A40E6">
        <w:rPr>
          <w:rFonts w:cs="Times New Roman"/>
          <w:szCs w:val="24"/>
          <w:shd w:val="clear" w:color="auto" w:fill="FFFFFF"/>
        </w:rPr>
        <w:t>(5), 548-556.</w:t>
      </w:r>
    </w:p>
    <w:p w14:paraId="7FBC551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Perinetti,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Paolantonio, M., Femminella, B., Serra, E., &amp; Spoto, G. (2008). Gingival crevicular fluid alkaline phosphatase activity reflects periodontal healing/recurrent inflammation phases in chronic periodontitis patients. </w:t>
      </w:r>
      <w:r w:rsidRPr="000A40E6">
        <w:rPr>
          <w:rFonts w:cs="Times New Roman"/>
          <w:i/>
          <w:iCs/>
          <w:szCs w:val="24"/>
          <w:shd w:val="clear" w:color="auto" w:fill="FFFFFF"/>
        </w:rPr>
        <w:t>Journal of Periodontology</w:t>
      </w:r>
      <w:r w:rsidRPr="000A40E6">
        <w:rPr>
          <w:rFonts w:cs="Times New Roman"/>
          <w:szCs w:val="24"/>
          <w:shd w:val="clear" w:color="auto" w:fill="FFFFFF"/>
        </w:rPr>
        <w:t>, </w:t>
      </w:r>
      <w:r w:rsidRPr="000A40E6">
        <w:rPr>
          <w:rFonts w:cs="Times New Roman"/>
          <w:i/>
          <w:iCs/>
          <w:szCs w:val="24"/>
          <w:shd w:val="clear" w:color="auto" w:fill="FFFFFF"/>
        </w:rPr>
        <w:t>79</w:t>
      </w:r>
      <w:r w:rsidRPr="000A40E6">
        <w:rPr>
          <w:rFonts w:cs="Times New Roman"/>
          <w:szCs w:val="24"/>
          <w:shd w:val="clear" w:color="auto" w:fill="FFFFFF"/>
        </w:rPr>
        <w:t>(7), 1200-1207.</w:t>
      </w:r>
    </w:p>
    <w:p w14:paraId="771958A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Perinetti,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Primožič, J., Castaldo, A., Di Lenarda, R., &amp; Contardo, L. (2013). Is gingival crevicular fluid volume sensitive to orthodontic tooth movement? A systematic review of split</w:t>
      </w:r>
      <w:r w:rsidRPr="000A40E6">
        <w:rPr>
          <w:rFonts w:ascii="Cambria Math" w:hAnsi="Cambria Math" w:cs="Cambria Math"/>
          <w:szCs w:val="24"/>
          <w:shd w:val="clear" w:color="auto" w:fill="FFFFFF"/>
        </w:rPr>
        <w:t>‐</w:t>
      </w:r>
      <w:r w:rsidRPr="000A40E6">
        <w:rPr>
          <w:rFonts w:cs="Times New Roman"/>
          <w:szCs w:val="24"/>
          <w:shd w:val="clear" w:color="auto" w:fill="FFFFFF"/>
        </w:rPr>
        <w:t>mouth longitudinal studies. </w:t>
      </w:r>
      <w:r w:rsidRPr="000A40E6">
        <w:rPr>
          <w:rFonts w:cs="Times New Roman"/>
          <w:i/>
          <w:iCs/>
          <w:szCs w:val="24"/>
          <w:shd w:val="clear" w:color="auto" w:fill="FFFFFF"/>
        </w:rPr>
        <w:t>Orthodontics and Craniofacial Research</w:t>
      </w:r>
      <w:r w:rsidRPr="000A40E6">
        <w:rPr>
          <w:rFonts w:cs="Times New Roman"/>
          <w:szCs w:val="24"/>
          <w:shd w:val="clear" w:color="auto" w:fill="FFFFFF"/>
        </w:rPr>
        <w:t>, </w:t>
      </w:r>
      <w:r w:rsidRPr="000A40E6">
        <w:rPr>
          <w:rFonts w:cs="Times New Roman"/>
          <w:i/>
          <w:iCs/>
          <w:szCs w:val="24"/>
          <w:shd w:val="clear" w:color="auto" w:fill="FFFFFF"/>
        </w:rPr>
        <w:t>16</w:t>
      </w:r>
      <w:r w:rsidRPr="000A40E6">
        <w:rPr>
          <w:rFonts w:cs="Times New Roman"/>
          <w:szCs w:val="24"/>
          <w:shd w:val="clear" w:color="auto" w:fill="FFFFFF"/>
        </w:rPr>
        <w:t>(1), 1-19.</w:t>
      </w:r>
    </w:p>
    <w:p w14:paraId="226ADDE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Pöllänen, M. T</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Salonen, J. I., &amp; Uitto, V. J. (2003). Structure and function of the tooth–epithelial interface in health and disease. </w:t>
      </w:r>
      <w:r w:rsidRPr="000A40E6">
        <w:rPr>
          <w:rFonts w:cs="Times New Roman"/>
          <w:i/>
          <w:iCs/>
          <w:szCs w:val="24"/>
          <w:shd w:val="clear" w:color="auto" w:fill="FFFFFF"/>
        </w:rPr>
        <w:t>Periodontology 2000</w:t>
      </w:r>
      <w:r w:rsidRPr="000A40E6">
        <w:rPr>
          <w:rFonts w:cs="Times New Roman"/>
          <w:szCs w:val="24"/>
          <w:shd w:val="clear" w:color="auto" w:fill="FFFFFF"/>
        </w:rPr>
        <w:t>, </w:t>
      </w:r>
      <w:r w:rsidRPr="000A40E6">
        <w:rPr>
          <w:rFonts w:cs="Times New Roman"/>
          <w:i/>
          <w:iCs/>
          <w:szCs w:val="24"/>
          <w:shd w:val="clear" w:color="auto" w:fill="FFFFFF"/>
        </w:rPr>
        <w:t>31</w:t>
      </w:r>
      <w:r w:rsidRPr="000A40E6">
        <w:rPr>
          <w:rFonts w:cs="Times New Roman"/>
          <w:szCs w:val="24"/>
          <w:shd w:val="clear" w:color="auto" w:fill="FFFFFF"/>
        </w:rPr>
        <w:t>(1), 12-31.</w:t>
      </w:r>
    </w:p>
    <w:p w14:paraId="78CFBBA9"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Primozic, J</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Richmond, S., Kau, C. H., Zhurov, A., &amp; Ovsenik, M. (2013). Three-dimensional evaluation of early crossbite correction: a longitudinal study.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35</w:t>
      </w:r>
      <w:r w:rsidRPr="000A40E6">
        <w:rPr>
          <w:rFonts w:cs="Times New Roman"/>
          <w:szCs w:val="24"/>
          <w:shd w:val="clear" w:color="auto" w:fill="FFFFFF"/>
        </w:rPr>
        <w:t>(1), 7-13.</w:t>
      </w:r>
    </w:p>
    <w:p w14:paraId="545F2CF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Proffit, W. R</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Fields, H. W., &amp; Sarver, D. M. (2000). The etiology of orthodontic problems. </w:t>
      </w:r>
      <w:r w:rsidRPr="000A40E6">
        <w:rPr>
          <w:rFonts w:cs="Times New Roman"/>
          <w:i/>
          <w:iCs/>
          <w:szCs w:val="24"/>
          <w:shd w:val="clear" w:color="auto" w:fill="FFFFFF"/>
        </w:rPr>
        <w:t>Contemporary Orthodontic. 3ed. St. Louis: Mosby</w:t>
      </w:r>
      <w:r w:rsidRPr="000A40E6">
        <w:rPr>
          <w:rFonts w:cs="Times New Roman"/>
          <w:szCs w:val="24"/>
          <w:shd w:val="clear" w:color="auto" w:fill="FFFFFF"/>
        </w:rPr>
        <w:t>, 13-144.</w:t>
      </w:r>
    </w:p>
    <w:p w14:paraId="624BFEC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Proffit. W. R</w:t>
      </w:r>
      <w:proofErr w:type="gramStart"/>
      <w:r w:rsidRPr="000A40E6">
        <w:rPr>
          <w:rFonts w:cs="Times New Roman"/>
          <w:szCs w:val="24"/>
        </w:rPr>
        <w:t>.,</w:t>
      </w:r>
      <w:proofErr w:type="gramEnd"/>
      <w:r w:rsidRPr="000A40E6">
        <w:rPr>
          <w:rFonts w:cs="Times New Roman"/>
          <w:szCs w:val="24"/>
        </w:rPr>
        <w:t xml:space="preserve"> Fields, H.W Jr.</w:t>
      </w:r>
      <w:r w:rsidRPr="000A40E6">
        <w:rPr>
          <w:rFonts w:cs="Times New Roman"/>
          <w:szCs w:val="24"/>
          <w:shd w:val="clear" w:color="auto" w:fill="FFFFFF"/>
        </w:rPr>
        <w:t xml:space="preserve"> Sarver, D. M</w:t>
      </w:r>
      <w:r w:rsidRPr="000A40E6">
        <w:rPr>
          <w:rFonts w:cs="Times New Roman"/>
          <w:szCs w:val="24"/>
        </w:rPr>
        <w:t xml:space="preserve"> (2007). Contemporary orthodontics, ed 4. St Louis: </w:t>
      </w:r>
      <w:r w:rsidRPr="000A40E6">
        <w:rPr>
          <w:rFonts w:cs="Times New Roman"/>
          <w:i/>
          <w:szCs w:val="24"/>
        </w:rPr>
        <w:t>Mosby</w:t>
      </w:r>
      <w:r w:rsidRPr="000A40E6">
        <w:rPr>
          <w:rFonts w:cs="Times New Roman"/>
          <w:szCs w:val="24"/>
        </w:rPr>
        <w:t>, 139-264.</w:t>
      </w:r>
    </w:p>
    <w:p w14:paraId="187A015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R Core Team (2022). R: A language and environment for statistical computing. </w:t>
      </w:r>
      <w:r w:rsidRPr="000A40E6">
        <w:rPr>
          <w:rFonts w:cs="Times New Roman"/>
          <w:i/>
          <w:szCs w:val="24"/>
        </w:rPr>
        <w:t>R Foundation for Statistical Computing</w:t>
      </w:r>
      <w:r w:rsidRPr="000A40E6">
        <w:rPr>
          <w:rFonts w:cs="Times New Roman"/>
          <w:szCs w:val="24"/>
        </w:rPr>
        <w:t>, Vienna, Austria. URL https://www.R-project.org/.</w:t>
      </w:r>
    </w:p>
    <w:p w14:paraId="1B9259C6"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Reinhardt, R.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Masada, M. P., Kaldahl, W. B., DuBois, L. M., Kornman, K. S., Choi, J. I.,Kalkwarf, K.L., &amp; Allison, A. C. (1993). Gingival fluid IL</w:t>
      </w:r>
      <w:r w:rsidRPr="000A40E6">
        <w:rPr>
          <w:rFonts w:ascii="Cambria Math" w:hAnsi="Cambria Math" w:cs="Cambria Math"/>
          <w:szCs w:val="24"/>
          <w:shd w:val="clear" w:color="auto" w:fill="FFFFFF"/>
        </w:rPr>
        <w:t>‐</w:t>
      </w:r>
      <w:r w:rsidRPr="000A40E6">
        <w:rPr>
          <w:rFonts w:cs="Times New Roman"/>
          <w:szCs w:val="24"/>
          <w:shd w:val="clear" w:color="auto" w:fill="FFFFFF"/>
        </w:rPr>
        <w:t>1 and IL</w:t>
      </w:r>
      <w:r w:rsidRPr="000A40E6">
        <w:rPr>
          <w:rFonts w:ascii="Cambria Math" w:hAnsi="Cambria Math" w:cs="Cambria Math"/>
          <w:szCs w:val="24"/>
          <w:shd w:val="clear" w:color="auto" w:fill="FFFFFF"/>
        </w:rPr>
        <w:t>‐</w:t>
      </w:r>
      <w:r w:rsidRPr="000A40E6">
        <w:rPr>
          <w:rFonts w:cs="Times New Roman"/>
          <w:szCs w:val="24"/>
          <w:shd w:val="clear" w:color="auto" w:fill="FFFFFF"/>
        </w:rPr>
        <w:t>6 levels in refractory periodontitis.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20</w:t>
      </w:r>
      <w:r w:rsidRPr="000A40E6">
        <w:rPr>
          <w:rFonts w:cs="Times New Roman"/>
          <w:szCs w:val="24"/>
          <w:shd w:val="clear" w:color="auto" w:fill="FFFFFF"/>
        </w:rPr>
        <w:t>(3), 225-231.</w:t>
      </w:r>
    </w:p>
    <w:p w14:paraId="588ABB5F"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Ren, Y</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Hazemeijer, H., de Haan, B., Qu, N., &amp; de Vos, P. (2007). Cytokine profiles in crevicular fluid during orthodontic tooth movement of short and long durations. </w:t>
      </w:r>
      <w:r w:rsidRPr="000A40E6">
        <w:rPr>
          <w:rFonts w:cs="Times New Roman"/>
          <w:i/>
          <w:iCs/>
          <w:szCs w:val="24"/>
          <w:shd w:val="clear" w:color="auto" w:fill="FFFFFF"/>
        </w:rPr>
        <w:t>Journal of Periodontology</w:t>
      </w:r>
      <w:r w:rsidRPr="000A40E6">
        <w:rPr>
          <w:rFonts w:cs="Times New Roman"/>
          <w:szCs w:val="24"/>
          <w:shd w:val="clear" w:color="auto" w:fill="FFFFFF"/>
        </w:rPr>
        <w:t>, </w:t>
      </w:r>
      <w:r w:rsidRPr="000A40E6">
        <w:rPr>
          <w:rFonts w:cs="Times New Roman"/>
          <w:i/>
          <w:iCs/>
          <w:szCs w:val="24"/>
          <w:shd w:val="clear" w:color="auto" w:fill="FFFFFF"/>
        </w:rPr>
        <w:t>78</w:t>
      </w:r>
      <w:r w:rsidRPr="000A40E6">
        <w:rPr>
          <w:rFonts w:cs="Times New Roman"/>
          <w:szCs w:val="24"/>
          <w:shd w:val="clear" w:color="auto" w:fill="FFFFFF"/>
        </w:rPr>
        <w:t>(3), 453-458.</w:t>
      </w:r>
    </w:p>
    <w:p w14:paraId="5D431F6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Ren, Y</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Maltha, J. C., Van′ t Hof, M. A., Von den Hoff, J. W., Kuijpers</w:t>
      </w:r>
      <w:r w:rsidRPr="000A40E6">
        <w:rPr>
          <w:rFonts w:ascii="Cambria Math" w:hAnsi="Cambria Math" w:cs="Cambria Math"/>
          <w:szCs w:val="24"/>
          <w:shd w:val="clear" w:color="auto" w:fill="FFFFFF"/>
        </w:rPr>
        <w:t>‐</w:t>
      </w:r>
      <w:r w:rsidRPr="000A40E6">
        <w:rPr>
          <w:rFonts w:cs="Times New Roman"/>
          <w:szCs w:val="24"/>
          <w:shd w:val="clear" w:color="auto" w:fill="FFFFFF"/>
        </w:rPr>
        <w:t>Jagtman, A. M., &amp; Zhang, D. (2002). Cytokine levels in crevicular fluid are less responsive to orthodontic force in adults than in juveniles.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29</w:t>
      </w:r>
      <w:r w:rsidRPr="000A40E6">
        <w:rPr>
          <w:rFonts w:cs="Times New Roman"/>
          <w:szCs w:val="24"/>
          <w:shd w:val="clear" w:color="auto" w:fill="FFFFFF"/>
        </w:rPr>
        <w:t>(8), 757-762.</w:t>
      </w:r>
    </w:p>
    <w:p w14:paraId="7319725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Ribagin, L.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Rashkova, M. R. (2012). Matrix metalloproteinase-8 and interleukin-1beta in gingival fluid of children in the first three months of orthodontic treatment with fixed appliances. </w:t>
      </w:r>
      <w:r w:rsidRPr="000A40E6">
        <w:rPr>
          <w:rFonts w:cs="Times New Roman"/>
          <w:i/>
          <w:iCs/>
          <w:szCs w:val="24"/>
          <w:shd w:val="clear" w:color="auto" w:fill="FFFFFF"/>
        </w:rPr>
        <w:t>Folia Med (Plovdiv)</w:t>
      </w:r>
      <w:r w:rsidRPr="000A40E6">
        <w:rPr>
          <w:rFonts w:cs="Times New Roman"/>
          <w:szCs w:val="24"/>
          <w:shd w:val="clear" w:color="auto" w:fill="FFFFFF"/>
        </w:rPr>
        <w:t>, </w:t>
      </w:r>
      <w:r w:rsidRPr="000A40E6">
        <w:rPr>
          <w:rFonts w:cs="Times New Roman"/>
          <w:i/>
          <w:iCs/>
          <w:szCs w:val="24"/>
          <w:shd w:val="clear" w:color="auto" w:fill="FFFFFF"/>
        </w:rPr>
        <w:t>54</w:t>
      </w:r>
      <w:r w:rsidRPr="000A40E6">
        <w:rPr>
          <w:rFonts w:cs="Times New Roman"/>
          <w:szCs w:val="24"/>
          <w:shd w:val="clear" w:color="auto" w:fill="FFFFFF"/>
        </w:rPr>
        <w:t>(3), 50-56.</w:t>
      </w:r>
    </w:p>
    <w:p w14:paraId="3245247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Rodan, G. A. (1992). Introduction to bone biology. </w:t>
      </w:r>
      <w:r w:rsidRPr="000A40E6">
        <w:rPr>
          <w:rFonts w:cs="Times New Roman"/>
          <w:i/>
          <w:iCs/>
          <w:szCs w:val="24"/>
          <w:shd w:val="clear" w:color="auto" w:fill="FFFFFF"/>
        </w:rPr>
        <w:t>Bone</w:t>
      </w:r>
      <w:r w:rsidRPr="000A40E6">
        <w:rPr>
          <w:rFonts w:cs="Times New Roman"/>
          <w:i/>
          <w:szCs w:val="24"/>
          <w:shd w:val="clear" w:color="auto" w:fill="FFFFFF"/>
        </w:rPr>
        <w:t>,</w:t>
      </w:r>
      <w:r w:rsidRPr="000A40E6">
        <w:rPr>
          <w:rFonts w:cs="Times New Roman"/>
          <w:szCs w:val="24"/>
          <w:shd w:val="clear" w:color="auto" w:fill="FFFFFF"/>
        </w:rPr>
        <w:t> </w:t>
      </w:r>
      <w:r w:rsidRPr="000A40E6">
        <w:rPr>
          <w:rFonts w:cs="Times New Roman"/>
          <w:i/>
          <w:iCs/>
          <w:szCs w:val="24"/>
          <w:shd w:val="clear" w:color="auto" w:fill="FFFFFF"/>
        </w:rPr>
        <w:t xml:space="preserve">13 </w:t>
      </w:r>
      <w:r w:rsidRPr="000A40E6">
        <w:rPr>
          <w:rFonts w:cs="Times New Roman"/>
          <w:szCs w:val="24"/>
        </w:rPr>
        <w:t>(Suppl 1)</w:t>
      </w:r>
      <w:r w:rsidRPr="000A40E6">
        <w:rPr>
          <w:rFonts w:cs="Times New Roman"/>
          <w:szCs w:val="24"/>
          <w:shd w:val="clear" w:color="auto" w:fill="FFFFFF"/>
        </w:rPr>
        <w:t>, 3-6.</w:t>
      </w:r>
    </w:p>
    <w:p w14:paraId="2195ACF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Rosa,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Cozzani, M. (1995). Espansione rapida del mascellare superiore nel rispetto del parodonto. </w:t>
      </w:r>
      <w:r w:rsidRPr="000A40E6">
        <w:rPr>
          <w:rFonts w:cs="Times New Roman"/>
          <w:i/>
          <w:iCs/>
          <w:szCs w:val="24"/>
          <w:shd w:val="clear" w:color="auto" w:fill="FFFFFF"/>
        </w:rPr>
        <w:t>Milano, Italy: Schede di aggiornamento SIDO</w:t>
      </w:r>
      <w:r w:rsidRPr="000A40E6">
        <w:rPr>
          <w:rFonts w:cs="Times New Roman"/>
          <w:szCs w:val="24"/>
          <w:shd w:val="clear" w:color="auto" w:fill="FFFFFF"/>
        </w:rPr>
        <w:t>.</w:t>
      </w:r>
    </w:p>
    <w:p w14:paraId="061A877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Rotzetter, P.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Le Liboux, A., Pichard, E., &amp; Cimasoni, G. (1994). Kinetics of spiramycin/metronidazole (Rodogyl®) in human gingival crevicular fluid, saliva and blood.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21</w:t>
      </w:r>
      <w:r w:rsidRPr="000A40E6">
        <w:rPr>
          <w:rFonts w:cs="Times New Roman"/>
          <w:szCs w:val="24"/>
          <w:shd w:val="clear" w:color="auto" w:fill="FFFFFF"/>
        </w:rPr>
        <w:t>(9), 595-600.</w:t>
      </w:r>
    </w:p>
    <w:p w14:paraId="42CB5EA8"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shd w:val="clear" w:color="auto" w:fill="FFFFFF"/>
        </w:rPr>
        <w:t>Rungcharassaeng, K</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Caruso, J. M., Kan, J. Y., Kim, J., &amp; Taylor, G. (2007). Factors affecting buccal bone changes of maxillary posterior teeth after rapid maxillary expansion.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132</w:t>
      </w:r>
      <w:r w:rsidRPr="000A40E6">
        <w:rPr>
          <w:rFonts w:cs="Times New Roman"/>
          <w:szCs w:val="24"/>
          <w:shd w:val="clear" w:color="auto" w:fill="FFFFFF"/>
        </w:rPr>
        <w:t>(4), 428-e1.</w:t>
      </w:r>
    </w:p>
    <w:p w14:paraId="0EFB33F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Rushton, H. G. (1989). Nocturnal enuresis: epidemiology, evaluation, and currently available treatment options. </w:t>
      </w:r>
      <w:r w:rsidRPr="000A40E6">
        <w:rPr>
          <w:rFonts w:cs="Times New Roman"/>
          <w:i/>
          <w:iCs/>
          <w:szCs w:val="24"/>
          <w:shd w:val="clear" w:color="auto" w:fill="FFFFFF"/>
        </w:rPr>
        <w:t>The Journal of Pediatrics</w:t>
      </w:r>
      <w:r w:rsidRPr="000A40E6">
        <w:rPr>
          <w:rFonts w:cs="Times New Roman"/>
          <w:szCs w:val="24"/>
          <w:shd w:val="clear" w:color="auto" w:fill="FFFFFF"/>
        </w:rPr>
        <w:t>, </w:t>
      </w:r>
      <w:r w:rsidRPr="000A40E6">
        <w:rPr>
          <w:rFonts w:cs="Times New Roman"/>
          <w:i/>
          <w:iCs/>
          <w:szCs w:val="24"/>
          <w:shd w:val="clear" w:color="auto" w:fill="FFFFFF"/>
        </w:rPr>
        <w:t>114</w:t>
      </w:r>
      <w:r w:rsidRPr="000A40E6">
        <w:rPr>
          <w:rFonts w:cs="Times New Roman"/>
          <w:szCs w:val="24"/>
          <w:shd w:val="clear" w:color="auto" w:fill="FFFFFF"/>
        </w:rPr>
        <w:t>(4), 691-696.</w:t>
      </w:r>
    </w:p>
    <w:p w14:paraId="56064C6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Sadowsky, C</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BeGole, E. A. (1981). Long-term effects of orthodontic treatment on periodontal health. </w:t>
      </w:r>
      <w:r w:rsidRPr="000A40E6">
        <w:rPr>
          <w:rFonts w:cs="Times New Roman"/>
          <w:i/>
          <w:iCs/>
          <w:szCs w:val="24"/>
          <w:shd w:val="clear" w:color="auto" w:fill="FFFFFF"/>
        </w:rPr>
        <w:t>American Journal of Orthodontics</w:t>
      </w:r>
      <w:r w:rsidRPr="000A40E6">
        <w:rPr>
          <w:rFonts w:cs="Times New Roman"/>
          <w:szCs w:val="24"/>
          <w:shd w:val="clear" w:color="auto" w:fill="FFFFFF"/>
        </w:rPr>
        <w:t>, </w:t>
      </w:r>
      <w:r w:rsidRPr="000A40E6">
        <w:rPr>
          <w:rFonts w:cs="Times New Roman"/>
          <w:i/>
          <w:iCs/>
          <w:szCs w:val="24"/>
          <w:shd w:val="clear" w:color="auto" w:fill="FFFFFF"/>
        </w:rPr>
        <w:t>80</w:t>
      </w:r>
      <w:r w:rsidRPr="000A40E6">
        <w:rPr>
          <w:rFonts w:cs="Times New Roman"/>
          <w:szCs w:val="24"/>
          <w:shd w:val="clear" w:color="auto" w:fill="FFFFFF"/>
        </w:rPr>
        <w:t>(2), 156-172.</w:t>
      </w:r>
    </w:p>
    <w:p w14:paraId="4AADB69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Saeed, M.Q</w:t>
      </w:r>
      <w:proofErr w:type="gramStart"/>
      <w:r w:rsidRPr="000A40E6">
        <w:rPr>
          <w:rFonts w:cs="Times New Roman"/>
          <w:szCs w:val="24"/>
        </w:rPr>
        <w:t>.,</w:t>
      </w:r>
      <w:proofErr w:type="gramEnd"/>
      <w:r w:rsidRPr="000A40E6">
        <w:rPr>
          <w:rFonts w:cs="Times New Roman"/>
          <w:szCs w:val="24"/>
        </w:rPr>
        <w:t xml:space="preserve"> Qazi, H., Ahmad, F., </w:t>
      </w:r>
      <w:r w:rsidRPr="000A40E6">
        <w:rPr>
          <w:rFonts w:cs="Times New Roman"/>
          <w:szCs w:val="24"/>
          <w:shd w:val="clear" w:color="auto" w:fill="FFFFFF"/>
        </w:rPr>
        <w:t xml:space="preserve">&amp; </w:t>
      </w:r>
      <w:r w:rsidRPr="000A40E6">
        <w:rPr>
          <w:rFonts w:cs="Times New Roman"/>
          <w:szCs w:val="24"/>
        </w:rPr>
        <w:t xml:space="preserve">Zaigham, A.M. (2009). Effects of anterior maxillary expansion: A postero-anterior cephalometric evaluation. </w:t>
      </w:r>
      <w:r w:rsidRPr="000A40E6">
        <w:rPr>
          <w:rFonts w:cs="Times New Roman"/>
          <w:i/>
          <w:iCs/>
          <w:szCs w:val="24"/>
          <w:shd w:val="clear" w:color="auto" w:fill="FFFFFF"/>
        </w:rPr>
        <w:t>Journal of the Pakistan Dental Association</w:t>
      </w:r>
      <w:r w:rsidRPr="000A40E6">
        <w:rPr>
          <w:rFonts w:cs="Times New Roman"/>
          <w:szCs w:val="24"/>
        </w:rPr>
        <w:t>, 18(3), 102-106.</w:t>
      </w:r>
    </w:p>
    <w:p w14:paraId="0542173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Sakellari, D</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Goodson, J. M., Socransky, S. S., Kolokotronis, A., &amp; Konstantinidis, A. (2000). Concentration of 3 tetracyclines in plasma, gingival crevice fluid and saliva.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27</w:t>
      </w:r>
      <w:r w:rsidRPr="000A40E6">
        <w:rPr>
          <w:rFonts w:cs="Times New Roman"/>
          <w:szCs w:val="24"/>
          <w:shd w:val="clear" w:color="auto" w:fill="FFFFFF"/>
        </w:rPr>
        <w:t>(1), 53-60.</w:t>
      </w:r>
    </w:p>
    <w:p w14:paraId="538195C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Sander, C</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Hüffmeier, S., Sander, F. M., &amp; Sander, F. G. (2006). Initial results regarding force exertion during rapid maxillary expansion in children. </w:t>
      </w:r>
      <w:r w:rsidRPr="000A40E6">
        <w:rPr>
          <w:rFonts w:cs="Times New Roman"/>
          <w:i/>
          <w:iCs/>
          <w:szCs w:val="24"/>
          <w:shd w:val="clear" w:color="auto" w:fill="FFFFFF"/>
        </w:rPr>
        <w:t>Journal of orofacial orthopedics= Fortschritte der Kieferorthopadie: Organ/official journal Deutsche Gesellschaft fur Kieferorthopadie</w:t>
      </w:r>
      <w:r w:rsidRPr="000A40E6">
        <w:rPr>
          <w:rFonts w:cs="Times New Roman"/>
          <w:szCs w:val="24"/>
          <w:shd w:val="clear" w:color="auto" w:fill="FFFFFF"/>
        </w:rPr>
        <w:t>, </w:t>
      </w:r>
      <w:r w:rsidRPr="000A40E6">
        <w:rPr>
          <w:rFonts w:cs="Times New Roman"/>
          <w:i/>
          <w:iCs/>
          <w:szCs w:val="24"/>
          <w:shd w:val="clear" w:color="auto" w:fill="FFFFFF"/>
        </w:rPr>
        <w:t>67</w:t>
      </w:r>
      <w:r w:rsidRPr="000A40E6">
        <w:rPr>
          <w:rFonts w:cs="Times New Roman"/>
          <w:szCs w:val="24"/>
          <w:shd w:val="clear" w:color="auto" w:fill="FFFFFF"/>
        </w:rPr>
        <w:t>(1), 19-26.</w:t>
      </w:r>
    </w:p>
    <w:p w14:paraId="2D5D179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Sandıkçıoğlu,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Hazar, S. (1997). Skeletal and dental changes after maxillary expansion in the mixed dentition.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111</w:t>
      </w:r>
      <w:r w:rsidRPr="000A40E6">
        <w:rPr>
          <w:rFonts w:cs="Times New Roman"/>
          <w:szCs w:val="24"/>
          <w:shd w:val="clear" w:color="auto" w:fill="FFFFFF"/>
        </w:rPr>
        <w:t>(3), 321-327.</w:t>
      </w:r>
    </w:p>
    <w:p w14:paraId="675DE8B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Sari, E</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Kadioglu, O., Ucar, C., &amp; Altug, H. A. (2010). Prostaglandin E2 levels in gingival crevicular fluid during tooth-and bone-borne expansion.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32</w:t>
      </w:r>
      <w:r w:rsidRPr="000A40E6">
        <w:rPr>
          <w:rFonts w:cs="Times New Roman"/>
          <w:szCs w:val="24"/>
          <w:shd w:val="clear" w:color="auto" w:fill="FFFFFF"/>
        </w:rPr>
        <w:t>(3), 336-341.</w:t>
      </w:r>
    </w:p>
    <w:p w14:paraId="18B4D86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Sari, Z</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Uysal, T., Usumez, S., &amp; Basciftci, F. A. (2003). Rapid maxillary expansion. Is it better in the mixed or in the permanent dentition</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73</w:t>
      </w:r>
      <w:r w:rsidRPr="000A40E6">
        <w:rPr>
          <w:rFonts w:cs="Times New Roman"/>
          <w:szCs w:val="24"/>
          <w:shd w:val="clear" w:color="auto" w:fill="FFFFFF"/>
        </w:rPr>
        <w:t>(6), 654-661.</w:t>
      </w:r>
    </w:p>
    <w:p w14:paraId="6CDE6B76" w14:textId="77777777" w:rsidR="00A3711B" w:rsidRPr="000A40E6" w:rsidRDefault="00A3711B" w:rsidP="00A3711B">
      <w:pPr>
        <w:suppressAutoHyphens/>
        <w:spacing w:after="120"/>
        <w:ind w:left="567" w:hanging="567"/>
        <w:rPr>
          <w:rFonts w:eastAsia="Times New Roman" w:cs="Times New Roman"/>
          <w:szCs w:val="24"/>
          <w:lang w:eastAsia="tr-TR"/>
        </w:rPr>
      </w:pPr>
      <w:r w:rsidRPr="000A40E6">
        <w:rPr>
          <w:rFonts w:cs="Times New Roman"/>
          <w:szCs w:val="24"/>
          <w:shd w:val="clear" w:color="auto" w:fill="FFFFFF"/>
        </w:rPr>
        <w:t>Sarver, D.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Johnston, M. W. (1989). Skeletal changes in vertical and anterior displacement of the maxilla with bonded rapid palatal expansion appliances.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95</w:t>
      </w:r>
      <w:r w:rsidRPr="000A40E6">
        <w:rPr>
          <w:rFonts w:cs="Times New Roman"/>
          <w:szCs w:val="24"/>
          <w:shd w:val="clear" w:color="auto" w:fill="FFFFFF"/>
        </w:rPr>
        <w:t>(6), 462-466.</w:t>
      </w:r>
    </w:p>
    <w:p w14:paraId="2BCD86BA"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Schuster,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Borel-Scherf, I., &amp; Schopf, P. M. (2005). Frequency of and complications in the use of RPE appliances--results of a survey in the Federal State of Hesse, Germany. </w:t>
      </w:r>
      <w:r w:rsidRPr="000A40E6">
        <w:rPr>
          <w:rFonts w:cs="Times New Roman"/>
          <w:i/>
          <w:iCs/>
          <w:szCs w:val="24"/>
          <w:shd w:val="clear" w:color="auto" w:fill="FFFFFF"/>
        </w:rPr>
        <w:t>Journal of Orofacial Orthopedics= Fortschritte der Kieferorthopadie: Organ/official Journal Deutsche Gesellschaft fur Kieferorthopadie</w:t>
      </w:r>
      <w:r w:rsidRPr="000A40E6">
        <w:rPr>
          <w:rFonts w:cs="Times New Roman"/>
          <w:szCs w:val="24"/>
          <w:shd w:val="clear" w:color="auto" w:fill="FFFFFF"/>
        </w:rPr>
        <w:t>, </w:t>
      </w:r>
      <w:r w:rsidRPr="000A40E6">
        <w:rPr>
          <w:rFonts w:cs="Times New Roman"/>
          <w:i/>
          <w:iCs/>
          <w:szCs w:val="24"/>
          <w:shd w:val="clear" w:color="auto" w:fill="FFFFFF"/>
        </w:rPr>
        <w:t>66</w:t>
      </w:r>
      <w:r w:rsidRPr="000A40E6">
        <w:rPr>
          <w:rFonts w:cs="Times New Roman"/>
          <w:szCs w:val="24"/>
          <w:shd w:val="clear" w:color="auto" w:fill="FFFFFF"/>
        </w:rPr>
        <w:t>(2), 148-161.</w:t>
      </w:r>
    </w:p>
    <w:p w14:paraId="06B666F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Schütz-Fransson, U</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Kurol, J. (2008). Rapid maxillary expansion effects on nocturnal enuresis in children: a follow-up study.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78</w:t>
      </w:r>
      <w:r w:rsidRPr="000A40E6">
        <w:rPr>
          <w:rFonts w:cs="Times New Roman"/>
          <w:szCs w:val="24"/>
          <w:shd w:val="clear" w:color="auto" w:fill="FFFFFF"/>
        </w:rPr>
        <w:t>(2), 201-208.</w:t>
      </w:r>
    </w:p>
    <w:p w14:paraId="1E98B99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Sekino,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Ramberg, P., &amp; Lindhe, J. (2005). The effect of systemic administration of ibuprofen in the experimental gingivitis model.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32</w:t>
      </w:r>
      <w:r w:rsidRPr="000A40E6">
        <w:rPr>
          <w:rFonts w:cs="Times New Roman"/>
          <w:szCs w:val="24"/>
          <w:shd w:val="clear" w:color="auto" w:fill="FFFFFF"/>
        </w:rPr>
        <w:t>(2), 182-187.</w:t>
      </w:r>
    </w:p>
    <w:p w14:paraId="6414C7F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Shamim, 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Waheed-ul-Hamid, B. D. S., Ilyas, M., &amp; Qadir, S. (2017). Effects on Alkaline Phosphatase Level in Crevicular Fluid Produced by Rapid Palatal Expansion with Hyrax Expander. </w:t>
      </w:r>
      <w:r w:rsidRPr="000A40E6">
        <w:rPr>
          <w:rFonts w:cs="Times New Roman"/>
          <w:i/>
          <w:iCs/>
          <w:szCs w:val="24"/>
          <w:shd w:val="clear" w:color="auto" w:fill="FFFFFF"/>
        </w:rPr>
        <w:t>Journal of The Pakistan Dental Association</w:t>
      </w:r>
      <w:r w:rsidRPr="000A40E6">
        <w:rPr>
          <w:rFonts w:cs="Times New Roman"/>
          <w:szCs w:val="24"/>
          <w:shd w:val="clear" w:color="auto" w:fill="FFFFFF"/>
        </w:rPr>
        <w:t>, </w:t>
      </w:r>
      <w:r w:rsidRPr="000A40E6">
        <w:rPr>
          <w:rFonts w:cs="Times New Roman"/>
          <w:i/>
          <w:iCs/>
          <w:szCs w:val="24"/>
          <w:shd w:val="clear" w:color="auto" w:fill="FFFFFF"/>
        </w:rPr>
        <w:t>26</w:t>
      </w:r>
      <w:r w:rsidRPr="000A40E6">
        <w:rPr>
          <w:rFonts w:cs="Times New Roman"/>
          <w:szCs w:val="24"/>
          <w:shd w:val="clear" w:color="auto" w:fill="FFFFFF"/>
        </w:rPr>
        <w:t>(02), 73.</w:t>
      </w:r>
    </w:p>
    <w:p w14:paraId="0C48677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Silness, J</w:t>
      </w:r>
      <w:proofErr w:type="gramStart"/>
      <w:r w:rsidRPr="000A40E6">
        <w:rPr>
          <w:rFonts w:cs="Times New Roman"/>
          <w:szCs w:val="24"/>
        </w:rPr>
        <w:t>.,</w:t>
      </w:r>
      <w:proofErr w:type="gramEnd"/>
      <w:r w:rsidRPr="000A40E6">
        <w:rPr>
          <w:rFonts w:cs="Times New Roman"/>
          <w:szCs w:val="24"/>
        </w:rPr>
        <w:t xml:space="preserve"> Löe, H. (1964). Periodontal disease in pregnancy. II. Correlation between oral hygiene and periodontal condition. </w:t>
      </w:r>
      <w:r w:rsidRPr="000A40E6">
        <w:rPr>
          <w:rFonts w:cs="Times New Roman"/>
          <w:i/>
          <w:szCs w:val="24"/>
        </w:rPr>
        <w:t>Acta Odontol Scand</w:t>
      </w:r>
      <w:r w:rsidRPr="000A40E6">
        <w:rPr>
          <w:rFonts w:cs="Times New Roman"/>
          <w:szCs w:val="24"/>
        </w:rPr>
        <w:t>, 22, 121–35.</w:t>
      </w:r>
    </w:p>
    <w:p w14:paraId="50B4EE35"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Spolyar, J. L. (1984). The design, fabrication, and use of a full-coverage bonded rapid maxillary expansion appliance. </w:t>
      </w:r>
      <w:r w:rsidRPr="000A40E6">
        <w:rPr>
          <w:rFonts w:cs="Times New Roman"/>
          <w:i/>
          <w:iCs/>
          <w:szCs w:val="24"/>
          <w:shd w:val="clear" w:color="auto" w:fill="FFFFFF"/>
        </w:rPr>
        <w:t>American Journal of Orthodontics</w:t>
      </w:r>
      <w:r w:rsidRPr="000A40E6">
        <w:rPr>
          <w:rFonts w:cs="Times New Roman"/>
          <w:szCs w:val="24"/>
          <w:shd w:val="clear" w:color="auto" w:fill="FFFFFF"/>
        </w:rPr>
        <w:t>, </w:t>
      </w:r>
      <w:r w:rsidRPr="000A40E6">
        <w:rPr>
          <w:rFonts w:cs="Times New Roman"/>
          <w:i/>
          <w:iCs/>
          <w:szCs w:val="24"/>
          <w:shd w:val="clear" w:color="auto" w:fill="FFFFFF"/>
        </w:rPr>
        <w:t>86</w:t>
      </w:r>
      <w:r w:rsidRPr="000A40E6">
        <w:rPr>
          <w:rFonts w:cs="Times New Roman"/>
          <w:szCs w:val="24"/>
          <w:shd w:val="clear" w:color="auto" w:fill="FFFFFF"/>
        </w:rPr>
        <w:t>(2), 136-145.</w:t>
      </w:r>
    </w:p>
    <w:p w14:paraId="48233BC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Starnbach, H</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Bayne, D., Cleall, J., &amp; Subtelny, J. D. (1966). Facioskeletal and dental changes resulting from rapid maxillary expansion.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36</w:t>
      </w:r>
      <w:r w:rsidRPr="000A40E6">
        <w:rPr>
          <w:rFonts w:cs="Times New Roman"/>
          <w:szCs w:val="24"/>
          <w:shd w:val="clear" w:color="auto" w:fill="FFFFFF"/>
        </w:rPr>
        <w:t>(2), 152-164.</w:t>
      </w:r>
    </w:p>
    <w:p w14:paraId="0AB8F09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Stockfisch, H. U. G. O. (1969). Rapid expansion of the maxilla--success and relapse. In </w:t>
      </w:r>
      <w:r w:rsidRPr="000A40E6">
        <w:rPr>
          <w:rFonts w:cs="Times New Roman"/>
          <w:i/>
          <w:iCs/>
          <w:szCs w:val="24"/>
          <w:shd w:val="clear" w:color="auto" w:fill="FFFFFF"/>
        </w:rPr>
        <w:t>Report of the congress. European Orthodontic Society</w:t>
      </w:r>
      <w:r w:rsidRPr="000A40E6">
        <w:rPr>
          <w:rFonts w:cs="Times New Roman"/>
          <w:szCs w:val="24"/>
          <w:shd w:val="clear" w:color="auto" w:fill="FFFFFF"/>
        </w:rPr>
        <w:t>, 469-481.</w:t>
      </w:r>
    </w:p>
    <w:p w14:paraId="73F2027A"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Stow, J. L</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Murray, R. Z. (2013). Intracellular trafficking and secretion of inflammatory cytokines. </w:t>
      </w:r>
      <w:r w:rsidRPr="000A40E6">
        <w:rPr>
          <w:rFonts w:cs="Times New Roman"/>
          <w:i/>
          <w:iCs/>
          <w:szCs w:val="24"/>
          <w:shd w:val="clear" w:color="auto" w:fill="FFFFFF"/>
        </w:rPr>
        <w:t>Cytokine and Growth Factor Reviews</w:t>
      </w:r>
      <w:r w:rsidRPr="000A40E6">
        <w:rPr>
          <w:rFonts w:cs="Times New Roman"/>
          <w:szCs w:val="24"/>
          <w:shd w:val="clear" w:color="auto" w:fill="FFFFFF"/>
        </w:rPr>
        <w:t>, </w:t>
      </w:r>
      <w:r w:rsidRPr="000A40E6">
        <w:rPr>
          <w:rFonts w:cs="Times New Roman"/>
          <w:i/>
          <w:iCs/>
          <w:szCs w:val="24"/>
          <w:shd w:val="clear" w:color="auto" w:fill="FFFFFF"/>
        </w:rPr>
        <w:t>24</w:t>
      </w:r>
      <w:r w:rsidRPr="000A40E6">
        <w:rPr>
          <w:rFonts w:cs="Times New Roman"/>
          <w:szCs w:val="24"/>
          <w:shd w:val="clear" w:color="auto" w:fill="FFFFFF"/>
        </w:rPr>
        <w:t>(3), 227-239.</w:t>
      </w:r>
    </w:p>
    <w:p w14:paraId="265602A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Stow, J. L</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Low, P. C., Offenhäuser, C., &amp; Sangermani, D. (2009). Cytokine secretion in macrophages and other cells: pathways and mediators. </w:t>
      </w:r>
      <w:r w:rsidRPr="000A40E6">
        <w:rPr>
          <w:rFonts w:cs="Times New Roman"/>
          <w:i/>
          <w:iCs/>
          <w:szCs w:val="24"/>
          <w:shd w:val="clear" w:color="auto" w:fill="FFFFFF"/>
        </w:rPr>
        <w:t>Immunobiology</w:t>
      </w:r>
      <w:r w:rsidRPr="000A40E6">
        <w:rPr>
          <w:rFonts w:cs="Times New Roman"/>
          <w:szCs w:val="24"/>
          <w:shd w:val="clear" w:color="auto" w:fill="FFFFFF"/>
        </w:rPr>
        <w:t>, </w:t>
      </w:r>
      <w:r w:rsidRPr="000A40E6">
        <w:rPr>
          <w:rFonts w:cs="Times New Roman"/>
          <w:i/>
          <w:iCs/>
          <w:szCs w:val="24"/>
          <w:shd w:val="clear" w:color="auto" w:fill="FFFFFF"/>
        </w:rPr>
        <w:t>214</w:t>
      </w:r>
      <w:r w:rsidRPr="000A40E6">
        <w:rPr>
          <w:rFonts w:cs="Times New Roman"/>
          <w:szCs w:val="24"/>
          <w:shd w:val="clear" w:color="auto" w:fill="FFFFFF"/>
        </w:rPr>
        <w:t>(7), 601-612.</w:t>
      </w:r>
    </w:p>
    <w:p w14:paraId="4CB1602B"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Subbarao, K. C</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Nattuthurai, G. S., Sundararajan, S. K., Sujith, I., Joseph, J., &amp; Syedshah, Y. P. (2019). Gingival crevicular fluid: an overview. </w:t>
      </w:r>
      <w:r w:rsidRPr="000A40E6">
        <w:rPr>
          <w:rFonts w:cs="Times New Roman"/>
          <w:i/>
          <w:iCs/>
          <w:szCs w:val="24"/>
          <w:shd w:val="clear" w:color="auto" w:fill="FFFFFF"/>
        </w:rPr>
        <w:t>Journal of Pharmacy and Bioallied Sciences</w:t>
      </w:r>
      <w:r w:rsidRPr="000A40E6">
        <w:rPr>
          <w:rFonts w:cs="Times New Roman"/>
          <w:szCs w:val="24"/>
          <w:shd w:val="clear" w:color="auto" w:fill="FFFFFF"/>
        </w:rPr>
        <w:t>, </w:t>
      </w:r>
      <w:r w:rsidRPr="000A40E6">
        <w:rPr>
          <w:rFonts w:cs="Times New Roman"/>
          <w:i/>
          <w:iCs/>
          <w:szCs w:val="24"/>
          <w:shd w:val="clear" w:color="auto" w:fill="FFFFFF"/>
        </w:rPr>
        <w:t>11</w:t>
      </w:r>
      <w:r w:rsidRPr="000A40E6">
        <w:rPr>
          <w:rFonts w:cs="Times New Roman"/>
          <w:szCs w:val="24"/>
          <w:shd w:val="clear" w:color="auto" w:fill="FFFFFF"/>
        </w:rPr>
        <w:t>(Suppl 2), 135-139.</w:t>
      </w:r>
    </w:p>
    <w:p w14:paraId="4BC329B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Suda, T</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Takahashi, N., Udagawa, N., Jimi, E., Gillespie, M. T., &amp; Martin, T. J. (1999). Modulation of osteoclast differentiation and function by the new members of the tumor necrosis factor receptor and ligand families. </w:t>
      </w:r>
      <w:r w:rsidRPr="000A40E6">
        <w:rPr>
          <w:rFonts w:cs="Times New Roman"/>
          <w:i/>
          <w:iCs/>
          <w:szCs w:val="24"/>
          <w:shd w:val="clear" w:color="auto" w:fill="FFFFFF"/>
        </w:rPr>
        <w:t>Endocrine Reviews</w:t>
      </w:r>
      <w:r w:rsidRPr="000A40E6">
        <w:rPr>
          <w:rFonts w:cs="Times New Roman"/>
          <w:szCs w:val="24"/>
          <w:shd w:val="clear" w:color="auto" w:fill="FFFFFF"/>
        </w:rPr>
        <w:t>, </w:t>
      </w:r>
      <w:r w:rsidRPr="000A40E6">
        <w:rPr>
          <w:rFonts w:cs="Times New Roman"/>
          <w:i/>
          <w:iCs/>
          <w:szCs w:val="24"/>
          <w:shd w:val="clear" w:color="auto" w:fill="FFFFFF"/>
        </w:rPr>
        <w:t>20</w:t>
      </w:r>
      <w:r w:rsidRPr="000A40E6">
        <w:rPr>
          <w:rFonts w:cs="Times New Roman"/>
          <w:szCs w:val="24"/>
          <w:shd w:val="clear" w:color="auto" w:fill="FFFFFF"/>
        </w:rPr>
        <w:t>(3), 345-357.</w:t>
      </w:r>
    </w:p>
    <w:p w14:paraId="1925028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Taba,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Kinney, J., Kim, A. S., &amp; Giannobile, W. V. (2005). Diagnostic biomarkers for oral and periodontal diseases. </w:t>
      </w:r>
      <w:r w:rsidRPr="000A40E6">
        <w:rPr>
          <w:rFonts w:cs="Times New Roman"/>
          <w:i/>
          <w:iCs/>
          <w:szCs w:val="24"/>
          <w:shd w:val="clear" w:color="auto" w:fill="FFFFFF"/>
        </w:rPr>
        <w:t>Dental Clinics</w:t>
      </w:r>
      <w:r w:rsidRPr="000A40E6">
        <w:rPr>
          <w:rFonts w:cs="Times New Roman"/>
          <w:szCs w:val="24"/>
          <w:shd w:val="clear" w:color="auto" w:fill="FFFFFF"/>
        </w:rPr>
        <w:t>, </w:t>
      </w:r>
      <w:r w:rsidRPr="000A40E6">
        <w:rPr>
          <w:rFonts w:cs="Times New Roman"/>
          <w:i/>
          <w:iCs/>
          <w:szCs w:val="24"/>
          <w:shd w:val="clear" w:color="auto" w:fill="FFFFFF"/>
        </w:rPr>
        <w:t>49</w:t>
      </w:r>
      <w:r w:rsidRPr="000A40E6">
        <w:rPr>
          <w:rFonts w:cs="Times New Roman"/>
          <w:szCs w:val="24"/>
          <w:shd w:val="clear" w:color="auto" w:fill="FFFFFF"/>
        </w:rPr>
        <w:t>(3), 551-571.</w:t>
      </w:r>
    </w:p>
    <w:p w14:paraId="3BDE470A"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Takahashi, I</w:t>
      </w:r>
      <w:proofErr w:type="gramStart"/>
      <w:r w:rsidRPr="000A40E6">
        <w:rPr>
          <w:rFonts w:cs="Times New Roman"/>
          <w:szCs w:val="24"/>
        </w:rPr>
        <w:t>.,</w:t>
      </w:r>
      <w:proofErr w:type="gramEnd"/>
      <w:r w:rsidRPr="000A40E6">
        <w:rPr>
          <w:rFonts w:cs="Times New Roman"/>
          <w:szCs w:val="24"/>
        </w:rPr>
        <w:t xml:space="preserve"> Onodera, K., Nishimura, M., Mitnai, H., Sasano, Y., &amp; Mitani, H. (2006). Expression of genes for gelatinases and tissue inhibitors of metalloproteinases in periodontal tissues during orthodontic tooth movement. </w:t>
      </w:r>
      <w:r w:rsidRPr="000A40E6">
        <w:rPr>
          <w:rFonts w:cs="Times New Roman"/>
          <w:i/>
          <w:szCs w:val="24"/>
        </w:rPr>
        <w:t>Journal of Molecular Histology</w:t>
      </w:r>
      <w:r w:rsidRPr="000A40E6">
        <w:rPr>
          <w:rFonts w:cs="Times New Roman"/>
          <w:szCs w:val="24"/>
        </w:rPr>
        <w:t>, 37(8–9), 333–342.</w:t>
      </w:r>
    </w:p>
    <w:p w14:paraId="5958103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Takamori, K. (1963). The growth stimulating factors for lactobacillus appeared in tissue fluid from gingival crevice. The </w:t>
      </w:r>
      <w:r w:rsidRPr="000A40E6">
        <w:rPr>
          <w:rFonts w:cs="Times New Roman"/>
          <w:i/>
          <w:iCs/>
          <w:szCs w:val="24"/>
        </w:rPr>
        <w:t xml:space="preserve">Bulletin </w:t>
      </w:r>
      <w:proofErr w:type="gramStart"/>
      <w:r w:rsidRPr="000A40E6">
        <w:rPr>
          <w:rFonts w:cs="Times New Roman"/>
          <w:i/>
          <w:iCs/>
          <w:szCs w:val="24"/>
        </w:rPr>
        <w:t>of  Tokyo</w:t>
      </w:r>
      <w:proofErr w:type="gramEnd"/>
      <w:r w:rsidRPr="000A40E6">
        <w:rPr>
          <w:rFonts w:cs="Times New Roman"/>
          <w:i/>
          <w:iCs/>
          <w:szCs w:val="24"/>
        </w:rPr>
        <w:t xml:space="preserve"> Medical and Dental University, </w:t>
      </w:r>
      <w:r w:rsidRPr="000A40E6">
        <w:rPr>
          <w:rFonts w:cs="Times New Roman"/>
          <w:szCs w:val="24"/>
        </w:rPr>
        <w:t>10(4), 533-541.</w:t>
      </w:r>
    </w:p>
    <w:p w14:paraId="2273EA8D"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Tan, S. D</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Kuijpers-Jagtman, A. M., Semeins, C. M., Bronckers, A. L. J. J., Maltha, J. C., Von den Hoff, J. W., </w:t>
      </w:r>
      <w:r w:rsidRPr="000A40E6">
        <w:rPr>
          <w:rFonts w:cs="Times New Roman"/>
          <w:szCs w:val="24"/>
        </w:rPr>
        <w:t xml:space="preserve">Everts, V., </w:t>
      </w:r>
      <w:r w:rsidRPr="000A40E6">
        <w:rPr>
          <w:rFonts w:cs="Times New Roman"/>
          <w:szCs w:val="24"/>
          <w:shd w:val="clear" w:color="auto" w:fill="FFFFFF"/>
        </w:rPr>
        <w:t>&amp; Klein-Nulend, J. (2006). Fluid shear stress inhibits TNFα-induced osteocyte apoptosis. </w:t>
      </w:r>
      <w:r w:rsidRPr="000A40E6">
        <w:rPr>
          <w:rFonts w:cs="Times New Roman"/>
          <w:i/>
          <w:iCs/>
          <w:szCs w:val="24"/>
          <w:shd w:val="clear" w:color="auto" w:fill="FFFFFF"/>
        </w:rPr>
        <w:t>Journal of Dental Research</w:t>
      </w:r>
      <w:r w:rsidRPr="000A40E6">
        <w:rPr>
          <w:rFonts w:cs="Times New Roman"/>
          <w:szCs w:val="24"/>
          <w:shd w:val="clear" w:color="auto" w:fill="FFFFFF"/>
        </w:rPr>
        <w:t>, </w:t>
      </w:r>
      <w:r w:rsidRPr="000A40E6">
        <w:rPr>
          <w:rFonts w:cs="Times New Roman"/>
          <w:i/>
          <w:iCs/>
          <w:szCs w:val="24"/>
          <w:shd w:val="clear" w:color="auto" w:fill="FFFFFF"/>
        </w:rPr>
        <w:t>85</w:t>
      </w:r>
      <w:r w:rsidRPr="000A40E6">
        <w:rPr>
          <w:rFonts w:cs="Times New Roman"/>
          <w:szCs w:val="24"/>
          <w:shd w:val="clear" w:color="auto" w:fill="FFFFFF"/>
        </w:rPr>
        <w:t>(10), 905-909.</w:t>
      </w:r>
    </w:p>
    <w:p w14:paraId="53F9D66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Tang, Z</w:t>
      </w:r>
      <w:proofErr w:type="gramStart"/>
      <w:r w:rsidRPr="000A40E6">
        <w:rPr>
          <w:rFonts w:cs="Times New Roman"/>
          <w:szCs w:val="24"/>
        </w:rPr>
        <w:t>.,</w:t>
      </w:r>
      <w:proofErr w:type="gramEnd"/>
      <w:r w:rsidRPr="000A40E6">
        <w:rPr>
          <w:rFonts w:cs="Times New Roman"/>
          <w:szCs w:val="24"/>
        </w:rPr>
        <w:t xml:space="preserve"> Mi, D., Wu, H., Fu, Y., Liu, L., Chen, X., Dong, Y., Zhang, W. (2021). Changes in Matrix Metalloproteinase-8, Interleukin-6 and Tumor Necrosis Factor-Α in Gingival Crevicular Fluid during Rapid Maxillary Expansion in Adolescent Patients. </w:t>
      </w:r>
      <w:r w:rsidRPr="000A40E6">
        <w:rPr>
          <w:rFonts w:cs="Times New Roman"/>
          <w:i/>
          <w:szCs w:val="24"/>
        </w:rPr>
        <w:t xml:space="preserve">Iranian Journal </w:t>
      </w:r>
      <w:proofErr w:type="gramStart"/>
      <w:r w:rsidRPr="000A40E6">
        <w:rPr>
          <w:rFonts w:cs="Times New Roman"/>
          <w:i/>
          <w:szCs w:val="24"/>
        </w:rPr>
        <w:t>of  Public</w:t>
      </w:r>
      <w:proofErr w:type="gramEnd"/>
      <w:r w:rsidRPr="000A40E6">
        <w:rPr>
          <w:rFonts w:cs="Times New Roman"/>
          <w:i/>
          <w:szCs w:val="24"/>
        </w:rPr>
        <w:t xml:space="preserve"> Health</w:t>
      </w:r>
      <w:r w:rsidRPr="000A40E6">
        <w:rPr>
          <w:rFonts w:cs="Times New Roman"/>
          <w:szCs w:val="24"/>
        </w:rPr>
        <w:t>, 50(10), 1944-1952.</w:t>
      </w:r>
    </w:p>
    <w:p w14:paraId="32A2E33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Tanner JM. (1962). Growth at Adolescence. 2nd ed. Oxford: </w:t>
      </w:r>
      <w:r w:rsidRPr="000A40E6">
        <w:rPr>
          <w:rFonts w:cs="Times New Roman"/>
          <w:i/>
          <w:szCs w:val="24"/>
        </w:rPr>
        <w:t>Blackwell Scientific Publications</w:t>
      </w:r>
      <w:r w:rsidRPr="000A40E6">
        <w:rPr>
          <w:rFonts w:cs="Times New Roman"/>
          <w:szCs w:val="24"/>
        </w:rPr>
        <w:t>, 1962.</w:t>
      </w:r>
    </w:p>
    <w:p w14:paraId="2DF39ED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Taranger, J</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Hägg, U. (1980). The timing and duration of adolescent growth. </w:t>
      </w:r>
      <w:r w:rsidRPr="000A40E6">
        <w:rPr>
          <w:rFonts w:cs="Times New Roman"/>
          <w:i/>
          <w:iCs/>
          <w:szCs w:val="24"/>
          <w:shd w:val="clear" w:color="auto" w:fill="FFFFFF"/>
        </w:rPr>
        <w:t>Acta Odontologica Scandinavica</w:t>
      </w:r>
      <w:r w:rsidRPr="000A40E6">
        <w:rPr>
          <w:rFonts w:cs="Times New Roman"/>
          <w:szCs w:val="24"/>
          <w:shd w:val="clear" w:color="auto" w:fill="FFFFFF"/>
        </w:rPr>
        <w:t>, </w:t>
      </w:r>
      <w:r w:rsidRPr="000A40E6">
        <w:rPr>
          <w:rFonts w:cs="Times New Roman"/>
          <w:i/>
          <w:iCs/>
          <w:szCs w:val="24"/>
          <w:shd w:val="clear" w:color="auto" w:fill="FFFFFF"/>
        </w:rPr>
        <w:t>38</w:t>
      </w:r>
      <w:r w:rsidRPr="000A40E6">
        <w:rPr>
          <w:rFonts w:cs="Times New Roman"/>
          <w:szCs w:val="24"/>
          <w:shd w:val="clear" w:color="auto" w:fill="FFFFFF"/>
        </w:rPr>
        <w:t>(1), 57-67.</w:t>
      </w:r>
    </w:p>
    <w:p w14:paraId="76220448"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Tausche, E</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Luck, O., &amp; Harzer, W. (2004). Prevalence of malocclusions in the early mixed dentition and orthodontic treatment need.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26</w:t>
      </w:r>
      <w:r w:rsidRPr="000A40E6">
        <w:rPr>
          <w:rFonts w:cs="Times New Roman"/>
          <w:szCs w:val="24"/>
          <w:shd w:val="clear" w:color="auto" w:fill="FFFFFF"/>
        </w:rPr>
        <w:t>(3), 237-244.</w:t>
      </w:r>
    </w:p>
    <w:p w14:paraId="120B3E5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Team, P. (2022). RStudio: Integrated Development Environment for R. Posit Software, PBC, Boston, MA. URL http://www.posit.co/.</w:t>
      </w:r>
    </w:p>
    <w:p w14:paraId="5464212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Tenenbaum, H</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Jehl, F., Gallion, C., &amp; Dahan, M. (1997). Amoxicillin and clavulanic acid concentrations in gingival crevicular fluid. </w:t>
      </w:r>
      <w:r w:rsidRPr="000A40E6">
        <w:rPr>
          <w:rFonts w:cs="Times New Roman"/>
          <w:i/>
          <w:iCs/>
          <w:szCs w:val="24"/>
          <w:shd w:val="clear" w:color="auto" w:fill="FFFFFF"/>
        </w:rPr>
        <w:t>Journal of Clinical Periodontology</w:t>
      </w:r>
      <w:r w:rsidRPr="000A40E6">
        <w:rPr>
          <w:rFonts w:cs="Times New Roman"/>
          <w:szCs w:val="24"/>
          <w:shd w:val="clear" w:color="auto" w:fill="FFFFFF"/>
        </w:rPr>
        <w:t>, </w:t>
      </w:r>
      <w:r w:rsidRPr="000A40E6">
        <w:rPr>
          <w:rFonts w:cs="Times New Roman"/>
          <w:i/>
          <w:iCs/>
          <w:szCs w:val="24"/>
          <w:shd w:val="clear" w:color="auto" w:fill="FFFFFF"/>
        </w:rPr>
        <w:t>24</w:t>
      </w:r>
      <w:r w:rsidRPr="000A40E6">
        <w:rPr>
          <w:rFonts w:cs="Times New Roman"/>
          <w:szCs w:val="24"/>
          <w:shd w:val="clear" w:color="auto" w:fill="FFFFFF"/>
        </w:rPr>
        <w:t>(11), 804-807.</w:t>
      </w:r>
    </w:p>
    <w:p w14:paraId="20594EFB"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shd w:val="clear" w:color="auto" w:fill="FFFFFF"/>
        </w:rPr>
        <w:t>Theoleyre,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Wittrant, Y., Tat, S. K., Fortun, Y., Redini, F., &amp; Heymann, D. (2004). The molecular triad OPG/RANK/RANKL: involvement in the orchestration of pathophysiological bone remodeling. </w:t>
      </w:r>
      <w:r w:rsidRPr="000A40E6">
        <w:rPr>
          <w:rFonts w:cs="Times New Roman"/>
          <w:i/>
          <w:iCs/>
          <w:szCs w:val="24"/>
          <w:shd w:val="clear" w:color="auto" w:fill="FFFFFF"/>
        </w:rPr>
        <w:t xml:space="preserve">Cytokine </w:t>
      </w:r>
      <w:proofErr w:type="gramStart"/>
      <w:r w:rsidRPr="000A40E6">
        <w:rPr>
          <w:rFonts w:cs="Times New Roman"/>
          <w:i/>
          <w:iCs/>
          <w:szCs w:val="24"/>
          <w:shd w:val="clear" w:color="auto" w:fill="FFFFFF"/>
        </w:rPr>
        <w:t>and  Growth</w:t>
      </w:r>
      <w:proofErr w:type="gramEnd"/>
      <w:r w:rsidRPr="000A40E6">
        <w:rPr>
          <w:rFonts w:cs="Times New Roman"/>
          <w:i/>
          <w:iCs/>
          <w:szCs w:val="24"/>
          <w:shd w:val="clear" w:color="auto" w:fill="FFFFFF"/>
        </w:rPr>
        <w:t xml:space="preserve"> Factor Reviews</w:t>
      </w:r>
      <w:r w:rsidRPr="000A40E6">
        <w:rPr>
          <w:rFonts w:cs="Times New Roman"/>
          <w:szCs w:val="24"/>
          <w:shd w:val="clear" w:color="auto" w:fill="FFFFFF"/>
        </w:rPr>
        <w:t>, </w:t>
      </w:r>
      <w:r w:rsidRPr="000A40E6">
        <w:rPr>
          <w:rFonts w:cs="Times New Roman"/>
          <w:i/>
          <w:iCs/>
          <w:szCs w:val="24"/>
          <w:shd w:val="clear" w:color="auto" w:fill="FFFFFF"/>
        </w:rPr>
        <w:t>15</w:t>
      </w:r>
      <w:r w:rsidRPr="000A40E6">
        <w:rPr>
          <w:rFonts w:cs="Times New Roman"/>
          <w:szCs w:val="24"/>
          <w:shd w:val="clear" w:color="auto" w:fill="FFFFFF"/>
        </w:rPr>
        <w:t>(6), 457-475.</w:t>
      </w:r>
    </w:p>
    <w:p w14:paraId="1D37BD4A"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Thilander, B</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Wahlund, S., &amp; Lennartsson, B. (1984). The effect of early interceptive treatment in children with posterior cross-bite.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6</w:t>
      </w:r>
      <w:r w:rsidRPr="000A40E6">
        <w:rPr>
          <w:rFonts w:cs="Times New Roman"/>
          <w:szCs w:val="24"/>
          <w:shd w:val="clear" w:color="auto" w:fill="FFFFFF"/>
        </w:rPr>
        <w:t>(1), 25-34.</w:t>
      </w:r>
    </w:p>
    <w:p w14:paraId="7E658C02"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Timms, D. J. (1974). Some medical aspects of rapid maxillary expansion. </w:t>
      </w:r>
      <w:r w:rsidRPr="000A40E6">
        <w:rPr>
          <w:rFonts w:cs="Times New Roman"/>
          <w:i/>
          <w:iCs/>
          <w:szCs w:val="24"/>
          <w:shd w:val="clear" w:color="auto" w:fill="FFFFFF"/>
        </w:rPr>
        <w:t>British Journal of Orthodontics</w:t>
      </w:r>
      <w:r w:rsidRPr="000A40E6">
        <w:rPr>
          <w:rFonts w:cs="Times New Roman"/>
          <w:szCs w:val="24"/>
          <w:shd w:val="clear" w:color="auto" w:fill="FFFFFF"/>
        </w:rPr>
        <w:t>, </w:t>
      </w:r>
      <w:r w:rsidRPr="000A40E6">
        <w:rPr>
          <w:rFonts w:cs="Times New Roman"/>
          <w:i/>
          <w:iCs/>
          <w:szCs w:val="24"/>
          <w:shd w:val="clear" w:color="auto" w:fill="FFFFFF"/>
        </w:rPr>
        <w:t>1</w:t>
      </w:r>
      <w:r w:rsidRPr="000A40E6">
        <w:rPr>
          <w:rFonts w:cs="Times New Roman"/>
          <w:szCs w:val="24"/>
          <w:shd w:val="clear" w:color="auto" w:fill="FFFFFF"/>
        </w:rPr>
        <w:t>(4), 127-132.</w:t>
      </w:r>
    </w:p>
    <w:p w14:paraId="18B9178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Timms, D. J. (1976). Long term follow-up of cases treated by rapid maxillary expansion. </w:t>
      </w:r>
      <w:r w:rsidRPr="000A40E6">
        <w:rPr>
          <w:rFonts w:cs="Times New Roman"/>
          <w:i/>
          <w:iCs/>
          <w:szCs w:val="24"/>
          <w:shd w:val="clear" w:color="auto" w:fill="FFFFFF"/>
        </w:rPr>
        <w:t>Trans Eur Orthod Soc</w:t>
      </w:r>
      <w:r w:rsidRPr="000A40E6">
        <w:rPr>
          <w:rFonts w:cs="Times New Roman"/>
          <w:szCs w:val="24"/>
          <w:shd w:val="clear" w:color="auto" w:fill="FFFFFF"/>
        </w:rPr>
        <w:t>, </w:t>
      </w:r>
      <w:r w:rsidRPr="000A40E6">
        <w:rPr>
          <w:rFonts w:cs="Times New Roman"/>
          <w:i/>
          <w:iCs/>
          <w:szCs w:val="24"/>
          <w:shd w:val="clear" w:color="auto" w:fill="FFFFFF"/>
        </w:rPr>
        <w:t>52</w:t>
      </w:r>
      <w:r w:rsidRPr="000A40E6">
        <w:rPr>
          <w:rFonts w:cs="Times New Roman"/>
          <w:szCs w:val="24"/>
          <w:shd w:val="clear" w:color="auto" w:fill="FFFFFF"/>
        </w:rPr>
        <w:t>, 211-215.</w:t>
      </w:r>
    </w:p>
    <w:p w14:paraId="0FC92237"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Timms, D. J. (1980). A study of basal movement with rapid maxillary expansion. </w:t>
      </w:r>
      <w:r w:rsidRPr="000A40E6">
        <w:rPr>
          <w:rFonts w:cs="Times New Roman"/>
          <w:i/>
          <w:iCs/>
          <w:szCs w:val="24"/>
          <w:shd w:val="clear" w:color="auto" w:fill="FFFFFF"/>
        </w:rPr>
        <w:t>American Journal of Orthodontics</w:t>
      </w:r>
      <w:r w:rsidRPr="000A40E6">
        <w:rPr>
          <w:rFonts w:cs="Times New Roman"/>
          <w:szCs w:val="24"/>
          <w:shd w:val="clear" w:color="auto" w:fill="FFFFFF"/>
        </w:rPr>
        <w:t>, </w:t>
      </w:r>
      <w:r w:rsidRPr="000A40E6">
        <w:rPr>
          <w:rFonts w:cs="Times New Roman"/>
          <w:i/>
          <w:iCs/>
          <w:szCs w:val="24"/>
          <w:shd w:val="clear" w:color="auto" w:fill="FFFFFF"/>
        </w:rPr>
        <w:t>77</w:t>
      </w:r>
      <w:r w:rsidRPr="000A40E6">
        <w:rPr>
          <w:rFonts w:cs="Times New Roman"/>
          <w:szCs w:val="24"/>
          <w:shd w:val="clear" w:color="auto" w:fill="FFFFFF"/>
        </w:rPr>
        <w:t>(5), 500-507.</w:t>
      </w:r>
    </w:p>
    <w:p w14:paraId="32324EF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Timms, D. J. (1990). Rapid maxillary expansion in the treatment of nocturnal enuresis.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60</w:t>
      </w:r>
      <w:r w:rsidRPr="000A40E6">
        <w:rPr>
          <w:rFonts w:cs="Times New Roman"/>
          <w:szCs w:val="24"/>
          <w:shd w:val="clear" w:color="auto" w:fill="FFFFFF"/>
        </w:rPr>
        <w:t>(3), 229-233.</w:t>
      </w:r>
    </w:p>
    <w:p w14:paraId="4F0CB319"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Timms, D. J. (1999). The dawn of rapid maxillary expansion.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69</w:t>
      </w:r>
      <w:r w:rsidRPr="000A40E6">
        <w:rPr>
          <w:rFonts w:cs="Times New Roman"/>
          <w:szCs w:val="24"/>
          <w:shd w:val="clear" w:color="auto" w:fill="FFFFFF"/>
        </w:rPr>
        <w:t>(3), 247-250.</w:t>
      </w:r>
    </w:p>
    <w:p w14:paraId="353F9D99"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Timms, D. J</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Moss, J. P. (1971). An histological investigation into the effects of rapid maxillary expansion on the teeth and their supporting tissues. </w:t>
      </w:r>
      <w:r w:rsidRPr="000A40E6">
        <w:rPr>
          <w:rFonts w:cs="Times New Roman"/>
          <w:i/>
          <w:iCs/>
          <w:szCs w:val="24"/>
          <w:shd w:val="clear" w:color="auto" w:fill="FFFFFF"/>
        </w:rPr>
        <w:t>Transactions. European Orthodontic Society</w:t>
      </w:r>
      <w:r w:rsidRPr="000A40E6">
        <w:rPr>
          <w:rFonts w:cs="Times New Roman"/>
          <w:szCs w:val="24"/>
          <w:shd w:val="clear" w:color="auto" w:fill="FFFFFF"/>
        </w:rPr>
        <w:t>, 263-271.</w:t>
      </w:r>
    </w:p>
    <w:p w14:paraId="648DD66A"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Timms, D. J</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Preston, C. B., &amp; Daly, P. F. (1982). A computed tomographic assessment of maxillary movement induced by rapid expansion–a pilot study.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4</w:t>
      </w:r>
      <w:r w:rsidRPr="000A40E6">
        <w:rPr>
          <w:rFonts w:cs="Times New Roman"/>
          <w:szCs w:val="24"/>
          <w:shd w:val="clear" w:color="auto" w:fill="FFFFFF"/>
        </w:rPr>
        <w:t>(2), 123-127.</w:t>
      </w:r>
    </w:p>
    <w:p w14:paraId="3067869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Timms, D.J. (1981). Rapid maxillary expansion. </w:t>
      </w:r>
      <w:r w:rsidRPr="000A40E6">
        <w:rPr>
          <w:rFonts w:cs="Times New Roman"/>
          <w:i/>
          <w:iCs/>
          <w:szCs w:val="24"/>
          <w:shd w:val="clear" w:color="auto" w:fill="FFFFFF"/>
        </w:rPr>
        <w:t>The Angle Orthodontist</w:t>
      </w:r>
      <w:r w:rsidRPr="000A40E6">
        <w:rPr>
          <w:rFonts w:cs="Times New Roman"/>
          <w:szCs w:val="24"/>
        </w:rPr>
        <w:t>, 60, 229.</w:t>
      </w:r>
    </w:p>
    <w:p w14:paraId="0EA204E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Topal, S. Ç</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Tuncer, B. B., Elgun, S., Erguder, I., &amp; Ozmeric, N. (2019). Levels of cytokines in gingival crevicular fluid during rapid maxillary expansion and the subsequent retention period. </w:t>
      </w:r>
      <w:r w:rsidRPr="000A40E6">
        <w:rPr>
          <w:rFonts w:cs="Times New Roman"/>
          <w:i/>
          <w:iCs/>
          <w:szCs w:val="24"/>
          <w:shd w:val="clear" w:color="auto" w:fill="FFFFFF"/>
        </w:rPr>
        <w:t>Journal of Clinical Pediatric Dentistry</w:t>
      </w:r>
      <w:r w:rsidRPr="000A40E6">
        <w:rPr>
          <w:rFonts w:cs="Times New Roman"/>
          <w:szCs w:val="24"/>
          <w:shd w:val="clear" w:color="auto" w:fill="FFFFFF"/>
        </w:rPr>
        <w:t>, </w:t>
      </w:r>
      <w:r w:rsidRPr="000A40E6">
        <w:rPr>
          <w:rFonts w:cs="Times New Roman"/>
          <w:i/>
          <w:iCs/>
          <w:szCs w:val="24"/>
          <w:shd w:val="clear" w:color="auto" w:fill="FFFFFF"/>
        </w:rPr>
        <w:t>43</w:t>
      </w:r>
      <w:r w:rsidRPr="000A40E6">
        <w:rPr>
          <w:rFonts w:cs="Times New Roman"/>
          <w:szCs w:val="24"/>
          <w:shd w:val="clear" w:color="auto" w:fill="FFFFFF"/>
        </w:rPr>
        <w:t>(2), 137-143.</w:t>
      </w:r>
    </w:p>
    <w:p w14:paraId="78A3BDE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Tsuchida, K</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Hara, K. (1981). Clinical significance of gingival fluid measurement by “Periotron”. </w:t>
      </w:r>
      <w:r w:rsidRPr="000A40E6">
        <w:rPr>
          <w:rFonts w:cs="Times New Roman"/>
          <w:i/>
          <w:iCs/>
          <w:szCs w:val="24"/>
          <w:shd w:val="clear" w:color="auto" w:fill="FFFFFF"/>
        </w:rPr>
        <w:t>Journal of Periodontology</w:t>
      </w:r>
      <w:r w:rsidRPr="000A40E6">
        <w:rPr>
          <w:rFonts w:cs="Times New Roman"/>
          <w:szCs w:val="24"/>
          <w:shd w:val="clear" w:color="auto" w:fill="FFFFFF"/>
        </w:rPr>
        <w:t>, </w:t>
      </w:r>
      <w:r w:rsidRPr="000A40E6">
        <w:rPr>
          <w:rFonts w:cs="Times New Roman"/>
          <w:i/>
          <w:iCs/>
          <w:szCs w:val="24"/>
          <w:shd w:val="clear" w:color="auto" w:fill="FFFFFF"/>
        </w:rPr>
        <w:t>52</w:t>
      </w:r>
      <w:r w:rsidRPr="000A40E6">
        <w:rPr>
          <w:rFonts w:cs="Times New Roman"/>
          <w:szCs w:val="24"/>
          <w:shd w:val="clear" w:color="auto" w:fill="FFFFFF"/>
        </w:rPr>
        <w:t>(11), 697-700.</w:t>
      </w:r>
    </w:p>
    <w:p w14:paraId="3CBA3864"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Tuncer, B. B</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Özmeriç, N., Tuncer, C., Teoman, İ., Çakılcı, B., Yücel, A., Alpar, R., &amp; Baloş, K. (2005). Levels of interleukin-8 during tooth movement.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75</w:t>
      </w:r>
      <w:r w:rsidRPr="000A40E6">
        <w:rPr>
          <w:rFonts w:cs="Times New Roman"/>
          <w:szCs w:val="24"/>
          <w:shd w:val="clear" w:color="auto" w:fill="FFFFFF"/>
        </w:rPr>
        <w:t>(4), 631-636.</w:t>
      </w:r>
    </w:p>
    <w:p w14:paraId="4F122194"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 xml:space="preserve">Türkkahraman H. (2001). Hızlı üst çene genişletmesinin kraniofasial yapılar üzerine etkilerinin sintigrafik ve radyolojik olarak değerlendirilmesi. </w:t>
      </w:r>
      <w:r w:rsidRPr="000A40E6">
        <w:rPr>
          <w:rFonts w:cs="Times New Roman"/>
          <w:i/>
          <w:szCs w:val="24"/>
        </w:rPr>
        <w:t xml:space="preserve">Doktora tezi. </w:t>
      </w:r>
      <w:proofErr w:type="gramStart"/>
      <w:r w:rsidRPr="000A40E6">
        <w:rPr>
          <w:rFonts w:cs="Times New Roman"/>
          <w:i/>
          <w:szCs w:val="24"/>
        </w:rPr>
        <w:t>Ankara Üniversitesi Sağlık Bilimleri Enstitüsü, Ankara</w:t>
      </w:r>
      <w:r w:rsidRPr="000A40E6">
        <w:rPr>
          <w:rFonts w:cs="Times New Roman"/>
          <w:szCs w:val="24"/>
        </w:rPr>
        <w:t>.</w:t>
      </w:r>
      <w:proofErr w:type="gramEnd"/>
    </w:p>
    <w:p w14:paraId="059F0F0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Tyrovola, J. B</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Perrea, D., Halazonetis, D. J., Dontas, I., Vlachos, I. S., &amp; Makou, M. (2010). Relation of soluble RANKL and osteoprotegerin levels in blood and gingival crevicular fluid to the degree of root resorption after orthodontic tooth movement. </w:t>
      </w:r>
      <w:r w:rsidRPr="000A40E6">
        <w:rPr>
          <w:rFonts w:cs="Times New Roman"/>
          <w:i/>
          <w:iCs/>
          <w:szCs w:val="24"/>
          <w:shd w:val="clear" w:color="auto" w:fill="FFFFFF"/>
        </w:rPr>
        <w:t>Journal of Oral Science</w:t>
      </w:r>
      <w:r w:rsidRPr="000A40E6">
        <w:rPr>
          <w:rFonts w:cs="Times New Roman"/>
          <w:szCs w:val="24"/>
          <w:shd w:val="clear" w:color="auto" w:fill="FFFFFF"/>
        </w:rPr>
        <w:t>, </w:t>
      </w:r>
      <w:r w:rsidRPr="000A40E6">
        <w:rPr>
          <w:rFonts w:cs="Times New Roman"/>
          <w:i/>
          <w:iCs/>
          <w:szCs w:val="24"/>
          <w:shd w:val="clear" w:color="auto" w:fill="FFFFFF"/>
        </w:rPr>
        <w:t>52</w:t>
      </w:r>
      <w:r w:rsidRPr="000A40E6">
        <w:rPr>
          <w:rFonts w:cs="Times New Roman"/>
          <w:szCs w:val="24"/>
          <w:shd w:val="clear" w:color="auto" w:fill="FFFFFF"/>
        </w:rPr>
        <w:t>(2), 299-311.</w:t>
      </w:r>
    </w:p>
    <w:p w14:paraId="42100E0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Tzannetou,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Efstratiadis, S., Nicolay, O., Grbic, J., &amp; Lamster, I. (1999). Interleukin-1β and β-glucuronidase in gingival crevicular fluid from molars during rapid palatal expansion.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115</w:t>
      </w:r>
      <w:r w:rsidRPr="000A40E6">
        <w:rPr>
          <w:rFonts w:cs="Times New Roman"/>
          <w:szCs w:val="24"/>
          <w:shd w:val="clear" w:color="auto" w:fill="FFFFFF"/>
        </w:rPr>
        <w:t>(6), 686-696.</w:t>
      </w:r>
    </w:p>
    <w:p w14:paraId="7CF6185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Tzannetou,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Efstratiadis, S., Nicolay, O., Grbic, J., &amp; Lamster, I. (2008). Comparison of levels of inflammatory mediators IL-1β and βG in gingival crevicular fluid from molars, premolars, and incisors during rapid palatal expansion.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133</w:t>
      </w:r>
      <w:r w:rsidRPr="000A40E6">
        <w:rPr>
          <w:rFonts w:cs="Times New Roman"/>
          <w:szCs w:val="24"/>
          <w:shd w:val="clear" w:color="auto" w:fill="FFFFFF"/>
        </w:rPr>
        <w:t>(5), 699-707.</w:t>
      </w:r>
    </w:p>
    <w:p w14:paraId="0811F6D1"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shd w:val="clear" w:color="auto" w:fill="FFFFFF"/>
        </w:rPr>
        <w:t>Uematsu,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Mogi, M., &amp; Deguchi, T. (1996). Interleukin (IL)-1β, IL-6, tumor necrosis factor-α, epidermal growth factor, and β2-microglobulin levels are elevated in gingival crevicular fluid during human orthodontic tooth movement. </w:t>
      </w:r>
      <w:r w:rsidRPr="000A40E6">
        <w:rPr>
          <w:rFonts w:cs="Times New Roman"/>
          <w:i/>
          <w:iCs/>
          <w:szCs w:val="24"/>
          <w:shd w:val="clear" w:color="auto" w:fill="FFFFFF"/>
        </w:rPr>
        <w:t>Journal of Dental Research</w:t>
      </w:r>
      <w:r w:rsidRPr="000A40E6">
        <w:rPr>
          <w:rFonts w:cs="Times New Roman"/>
          <w:szCs w:val="24"/>
          <w:shd w:val="clear" w:color="auto" w:fill="FFFFFF"/>
        </w:rPr>
        <w:t>, </w:t>
      </w:r>
      <w:r w:rsidRPr="000A40E6">
        <w:rPr>
          <w:rFonts w:cs="Times New Roman"/>
          <w:i/>
          <w:iCs/>
          <w:szCs w:val="24"/>
          <w:shd w:val="clear" w:color="auto" w:fill="FFFFFF"/>
        </w:rPr>
        <w:t>75</w:t>
      </w:r>
      <w:r w:rsidRPr="000A40E6">
        <w:rPr>
          <w:rFonts w:cs="Times New Roman"/>
          <w:szCs w:val="24"/>
          <w:shd w:val="clear" w:color="auto" w:fill="FFFFFF"/>
        </w:rPr>
        <w:t>(1), 562-567.</w:t>
      </w:r>
    </w:p>
    <w:p w14:paraId="34365E9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Uitto, V. J. (2003). Gingival crevice fluid–an introduction. </w:t>
      </w:r>
      <w:r w:rsidRPr="000A40E6">
        <w:rPr>
          <w:rFonts w:cs="Times New Roman"/>
          <w:i/>
          <w:iCs/>
          <w:szCs w:val="24"/>
          <w:shd w:val="clear" w:color="auto" w:fill="FFFFFF"/>
        </w:rPr>
        <w:t>Periodontology 2000</w:t>
      </w:r>
      <w:r w:rsidRPr="000A40E6">
        <w:rPr>
          <w:rFonts w:cs="Times New Roman"/>
          <w:szCs w:val="24"/>
          <w:shd w:val="clear" w:color="auto" w:fill="FFFFFF"/>
        </w:rPr>
        <w:t>, </w:t>
      </w:r>
      <w:r w:rsidRPr="000A40E6">
        <w:rPr>
          <w:rFonts w:cs="Times New Roman"/>
          <w:i/>
          <w:iCs/>
          <w:szCs w:val="24"/>
          <w:shd w:val="clear" w:color="auto" w:fill="FFFFFF"/>
        </w:rPr>
        <w:t>31</w:t>
      </w:r>
      <w:r w:rsidRPr="000A40E6">
        <w:rPr>
          <w:rFonts w:cs="Times New Roman"/>
          <w:szCs w:val="24"/>
          <w:shd w:val="clear" w:color="auto" w:fill="FFFFFF"/>
        </w:rPr>
        <w:t>(1), 9-11.</w:t>
      </w:r>
    </w:p>
    <w:p w14:paraId="24D8405E"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Usumez, S</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İşeri, H., Orhan, M., &amp; Basciftci, F. A. (2003). Effect of rapid maxillary expansion on nocturnal enuresis.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73</w:t>
      </w:r>
      <w:r w:rsidRPr="000A40E6">
        <w:rPr>
          <w:rFonts w:cs="Times New Roman"/>
          <w:szCs w:val="24"/>
          <w:shd w:val="clear" w:color="auto" w:fill="FFFFFF"/>
        </w:rPr>
        <w:t>(5), 532-538.</w:t>
      </w:r>
    </w:p>
    <w:p w14:paraId="172A2AB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van Gastel, J</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Quirynen, M., Teughels, W., Coucke, W., &amp; Carels, C. (2011). Longitudinal changes in microbiology and clinical periodontal parameters after removal of fixed orthodontic appliances. </w:t>
      </w:r>
      <w:r w:rsidRPr="000A40E6">
        <w:rPr>
          <w:rFonts w:cs="Times New Roman"/>
          <w:i/>
          <w:iCs/>
          <w:szCs w:val="24"/>
          <w:shd w:val="clear" w:color="auto" w:fill="FFFFFF"/>
        </w:rPr>
        <w:t>The European Journal of Orthodontics</w:t>
      </w:r>
      <w:r w:rsidRPr="000A40E6">
        <w:rPr>
          <w:rFonts w:cs="Times New Roman"/>
          <w:szCs w:val="24"/>
          <w:shd w:val="clear" w:color="auto" w:fill="FFFFFF"/>
        </w:rPr>
        <w:t>, </w:t>
      </w:r>
      <w:r w:rsidRPr="000A40E6">
        <w:rPr>
          <w:rFonts w:cs="Times New Roman"/>
          <w:i/>
          <w:iCs/>
          <w:szCs w:val="24"/>
          <w:shd w:val="clear" w:color="auto" w:fill="FFFFFF"/>
        </w:rPr>
        <w:t>33</w:t>
      </w:r>
      <w:r w:rsidRPr="000A40E6">
        <w:rPr>
          <w:rFonts w:cs="Times New Roman"/>
          <w:szCs w:val="24"/>
          <w:shd w:val="clear" w:color="auto" w:fill="FFFFFF"/>
        </w:rPr>
        <w:t>(1), 15-21.</w:t>
      </w:r>
    </w:p>
    <w:p w14:paraId="47B697A2"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Vardimon, A. D</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Brosh, T., Spiegler, A., Lieberman, M., &amp; Pitaru, S. (1998). Rapid palatal expansion: Part 1. Mineralizationpattern of the midpalatal suture in cats.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113</w:t>
      </w:r>
      <w:r w:rsidRPr="000A40E6">
        <w:rPr>
          <w:rFonts w:cs="Times New Roman"/>
          <w:szCs w:val="24"/>
          <w:shd w:val="clear" w:color="auto" w:fill="FFFFFF"/>
        </w:rPr>
        <w:t>(4), 371-378.</w:t>
      </w:r>
    </w:p>
    <w:p w14:paraId="42E40F2C"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Vardimon, A. D</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Graber, T. M., Voss, L. R., &amp; Lenke, J. (1991). Determinants controlling iatrogenic external root resorption and repair during and after palatal expansion.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61</w:t>
      </w:r>
      <w:r w:rsidRPr="000A40E6">
        <w:rPr>
          <w:rFonts w:cs="Times New Roman"/>
          <w:szCs w:val="24"/>
          <w:shd w:val="clear" w:color="auto" w:fill="FFFFFF"/>
        </w:rPr>
        <w:t>(2), 113-122.</w:t>
      </w:r>
    </w:p>
    <w:p w14:paraId="4226E559"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Velázquez, P</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Benito, E., &amp; Bravo, L. A. (1996). Rapid maxillary expansion. A study of the long-term effects.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109</w:t>
      </w:r>
      <w:r w:rsidRPr="000A40E6">
        <w:rPr>
          <w:rFonts w:cs="Times New Roman"/>
          <w:szCs w:val="24"/>
          <w:shd w:val="clear" w:color="auto" w:fill="FFFFFF"/>
        </w:rPr>
        <w:t>(4), 361-367.</w:t>
      </w:r>
    </w:p>
    <w:p w14:paraId="6939636B"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Vig, K. W. (1998). Nasal obstruction and facial growth: the strength of evidence for clinical assumptions.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113</w:t>
      </w:r>
      <w:r w:rsidRPr="000A40E6">
        <w:rPr>
          <w:rFonts w:cs="Times New Roman"/>
          <w:szCs w:val="24"/>
          <w:shd w:val="clear" w:color="auto" w:fill="FFFFFF"/>
        </w:rPr>
        <w:t>(6), 603-611.</w:t>
      </w:r>
    </w:p>
    <w:p w14:paraId="59A7E2C6"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Villela, B</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Cogen, R. B., Bartolucci, A. A., &amp; Birkedal</w:t>
      </w:r>
      <w:r w:rsidRPr="000A40E6">
        <w:rPr>
          <w:rFonts w:ascii="Cambria Math" w:hAnsi="Cambria Math" w:cs="Cambria Math"/>
          <w:szCs w:val="24"/>
          <w:shd w:val="clear" w:color="auto" w:fill="FFFFFF"/>
        </w:rPr>
        <w:t>‐</w:t>
      </w:r>
      <w:r w:rsidRPr="000A40E6">
        <w:rPr>
          <w:rFonts w:cs="Times New Roman"/>
          <w:szCs w:val="24"/>
          <w:shd w:val="clear" w:color="auto" w:fill="FFFFFF"/>
        </w:rPr>
        <w:t>Hansen, H. (1987). Crevicular fluid collagenase activity in healthy, gingivitis, chronic adult periodontitis and localized juvenile periodontitis patients. </w:t>
      </w:r>
      <w:r w:rsidRPr="000A40E6">
        <w:rPr>
          <w:rFonts w:cs="Times New Roman"/>
          <w:i/>
          <w:iCs/>
          <w:szCs w:val="24"/>
          <w:shd w:val="clear" w:color="auto" w:fill="FFFFFF"/>
        </w:rPr>
        <w:t>Journal of Periodontal Research</w:t>
      </w:r>
      <w:r w:rsidRPr="000A40E6">
        <w:rPr>
          <w:rFonts w:cs="Times New Roman"/>
          <w:szCs w:val="24"/>
          <w:shd w:val="clear" w:color="auto" w:fill="FFFFFF"/>
        </w:rPr>
        <w:t>, </w:t>
      </w:r>
      <w:r w:rsidRPr="000A40E6">
        <w:rPr>
          <w:rFonts w:cs="Times New Roman"/>
          <w:i/>
          <w:iCs/>
          <w:szCs w:val="24"/>
          <w:shd w:val="clear" w:color="auto" w:fill="FFFFFF"/>
        </w:rPr>
        <w:t>22</w:t>
      </w:r>
      <w:r w:rsidRPr="000A40E6">
        <w:rPr>
          <w:rFonts w:cs="Times New Roman"/>
          <w:szCs w:val="24"/>
          <w:shd w:val="clear" w:color="auto" w:fill="FFFFFF"/>
        </w:rPr>
        <w:t>(3), 209-211.</w:t>
      </w:r>
    </w:p>
    <w:p w14:paraId="18B3BD25"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Wehrbein, H</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Fuhrmann, R. A., &amp; Diedrich, P. R. (1995). Human histologic tissue response after long-term orthodontic tooth movement. </w:t>
      </w:r>
      <w:r w:rsidRPr="000A40E6">
        <w:rPr>
          <w:rFonts w:cs="Times New Roman"/>
          <w:i/>
          <w:iCs/>
          <w:szCs w:val="24"/>
          <w:shd w:val="clear" w:color="auto" w:fill="FFFFFF"/>
        </w:rPr>
        <w:t>American Journal of Orthodontics and Dentofacial Orthopedics</w:t>
      </w:r>
      <w:r w:rsidRPr="000A40E6">
        <w:rPr>
          <w:rFonts w:cs="Times New Roman"/>
          <w:szCs w:val="24"/>
          <w:shd w:val="clear" w:color="auto" w:fill="FFFFFF"/>
        </w:rPr>
        <w:t>, </w:t>
      </w:r>
      <w:r w:rsidRPr="000A40E6">
        <w:rPr>
          <w:rFonts w:cs="Times New Roman"/>
          <w:i/>
          <w:iCs/>
          <w:szCs w:val="24"/>
          <w:shd w:val="clear" w:color="auto" w:fill="FFFFFF"/>
        </w:rPr>
        <w:t>107</w:t>
      </w:r>
      <w:r w:rsidRPr="000A40E6">
        <w:rPr>
          <w:rFonts w:cs="Times New Roman"/>
          <w:szCs w:val="24"/>
          <w:shd w:val="clear" w:color="auto" w:fill="FFFFFF"/>
        </w:rPr>
        <w:t>(4), 360-371.</w:t>
      </w:r>
    </w:p>
    <w:p w14:paraId="426BE78B" w14:textId="77777777" w:rsidR="00A3711B" w:rsidRPr="000A40E6" w:rsidRDefault="00A3711B" w:rsidP="00A3711B">
      <w:pPr>
        <w:suppressAutoHyphens/>
        <w:spacing w:after="120"/>
        <w:ind w:left="567" w:hanging="567"/>
        <w:rPr>
          <w:rFonts w:cs="Times New Roman"/>
          <w:szCs w:val="24"/>
          <w:shd w:val="clear" w:color="auto" w:fill="FFFFFF"/>
        </w:rPr>
      </w:pPr>
      <w:r w:rsidRPr="000A40E6">
        <w:rPr>
          <w:rFonts w:cs="Times New Roman"/>
          <w:szCs w:val="24"/>
          <w:shd w:val="clear" w:color="auto" w:fill="FFFFFF"/>
        </w:rPr>
        <w:t>Wei, F. L</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Wang, C. L., Liu, D. X., Guo, J., Ke, H. F., &amp; Guo, X. X. (2007). Changes of aspartate aminotransferase and alkaline phosphatase activities in gingival crevicular fluid during rapid palatal expansion. </w:t>
      </w:r>
      <w:r w:rsidRPr="000A40E6">
        <w:rPr>
          <w:rFonts w:cs="Times New Roman"/>
          <w:i/>
          <w:iCs/>
          <w:szCs w:val="24"/>
          <w:shd w:val="clear" w:color="auto" w:fill="FFFFFF"/>
        </w:rPr>
        <w:t>Shanghai kou Qiang yi xue= Shanghai Journal of Stomatology</w:t>
      </w:r>
      <w:r w:rsidRPr="000A40E6">
        <w:rPr>
          <w:rFonts w:cs="Times New Roman"/>
          <w:szCs w:val="24"/>
          <w:shd w:val="clear" w:color="auto" w:fill="FFFFFF"/>
        </w:rPr>
        <w:t>, </w:t>
      </w:r>
      <w:r w:rsidRPr="000A40E6">
        <w:rPr>
          <w:rFonts w:cs="Times New Roman"/>
          <w:i/>
          <w:iCs/>
          <w:szCs w:val="24"/>
          <w:shd w:val="clear" w:color="auto" w:fill="FFFFFF"/>
        </w:rPr>
        <w:t>16</w:t>
      </w:r>
      <w:r w:rsidRPr="000A40E6">
        <w:rPr>
          <w:rFonts w:cs="Times New Roman"/>
          <w:szCs w:val="24"/>
          <w:shd w:val="clear" w:color="auto" w:fill="FFFFFF"/>
        </w:rPr>
        <w:t>(2), 168-171.</w:t>
      </w:r>
    </w:p>
    <w:p w14:paraId="409E94B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Wendling, L. K</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McNamara Jr, J. A., Franchi, L., &amp; Baccetti, T. (2005). A prospective study of the short-term treatment effects of the acrylic-splint rapid maxillary expander combined with the lower Schwarz appliance.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75</w:t>
      </w:r>
      <w:r w:rsidRPr="000A40E6">
        <w:rPr>
          <w:rFonts w:cs="Times New Roman"/>
          <w:szCs w:val="24"/>
          <w:shd w:val="clear" w:color="auto" w:fill="FFFFFF"/>
        </w:rPr>
        <w:t>(1), 7-14.</w:t>
      </w:r>
    </w:p>
    <w:p w14:paraId="1EBB11EF"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Wertz, R. A. (1968). Changes in nasal airflow incident to rapid maxillary expansion.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38</w:t>
      </w:r>
      <w:r w:rsidRPr="000A40E6">
        <w:rPr>
          <w:rFonts w:cs="Times New Roman"/>
          <w:szCs w:val="24"/>
          <w:shd w:val="clear" w:color="auto" w:fill="FFFFFF"/>
        </w:rPr>
        <w:t>(1), 1-11.</w:t>
      </w:r>
    </w:p>
    <w:p w14:paraId="09ABCA2E"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Wertz, R. A. (1970). Skeletal and dental changes accompanying rapid midpalatal suture opening. </w:t>
      </w:r>
      <w:r w:rsidRPr="000A40E6">
        <w:rPr>
          <w:rFonts w:cs="Times New Roman"/>
          <w:i/>
          <w:iCs/>
          <w:szCs w:val="24"/>
          <w:shd w:val="clear" w:color="auto" w:fill="FFFFFF"/>
        </w:rPr>
        <w:t>American Journal of Orthodontics</w:t>
      </w:r>
      <w:r w:rsidRPr="000A40E6">
        <w:rPr>
          <w:rFonts w:cs="Times New Roman"/>
          <w:szCs w:val="24"/>
          <w:shd w:val="clear" w:color="auto" w:fill="FFFFFF"/>
        </w:rPr>
        <w:t>, </w:t>
      </w:r>
      <w:r w:rsidRPr="000A40E6">
        <w:rPr>
          <w:rFonts w:cs="Times New Roman"/>
          <w:i/>
          <w:iCs/>
          <w:szCs w:val="24"/>
          <w:shd w:val="clear" w:color="auto" w:fill="FFFFFF"/>
        </w:rPr>
        <w:t>58</w:t>
      </w:r>
      <w:r w:rsidRPr="000A40E6">
        <w:rPr>
          <w:rFonts w:cs="Times New Roman"/>
          <w:szCs w:val="24"/>
          <w:shd w:val="clear" w:color="auto" w:fill="FFFFFF"/>
        </w:rPr>
        <w:t>(1), 41-66.</w:t>
      </w:r>
    </w:p>
    <w:p w14:paraId="1E77FDB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Wertz, R</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Dreskin, M. (1977). Midpalatal suture opening: a normative study. </w:t>
      </w:r>
      <w:r w:rsidRPr="000A40E6">
        <w:rPr>
          <w:rFonts w:cs="Times New Roman"/>
          <w:i/>
          <w:iCs/>
          <w:szCs w:val="24"/>
          <w:shd w:val="clear" w:color="auto" w:fill="FFFFFF"/>
        </w:rPr>
        <w:t>American Journal of Orthodontics</w:t>
      </w:r>
      <w:r w:rsidRPr="000A40E6">
        <w:rPr>
          <w:rFonts w:cs="Times New Roman"/>
          <w:szCs w:val="24"/>
          <w:shd w:val="clear" w:color="auto" w:fill="FFFFFF"/>
        </w:rPr>
        <w:t>, </w:t>
      </w:r>
      <w:r w:rsidRPr="000A40E6">
        <w:rPr>
          <w:rFonts w:cs="Times New Roman"/>
          <w:i/>
          <w:iCs/>
          <w:szCs w:val="24"/>
          <w:shd w:val="clear" w:color="auto" w:fill="FFFFFF"/>
        </w:rPr>
        <w:t>71</w:t>
      </w:r>
      <w:r w:rsidRPr="000A40E6">
        <w:rPr>
          <w:rFonts w:cs="Times New Roman"/>
          <w:szCs w:val="24"/>
          <w:shd w:val="clear" w:color="auto" w:fill="FFFFFF"/>
        </w:rPr>
        <w:t>(4), 367-381.</w:t>
      </w:r>
    </w:p>
    <w:p w14:paraId="7C4CEF07"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White, J. D. (1860). </w:t>
      </w:r>
      <w:r w:rsidRPr="000A40E6">
        <w:rPr>
          <w:rFonts w:cs="Times New Roman"/>
          <w:iCs/>
          <w:szCs w:val="24"/>
          <w:shd w:val="clear" w:color="auto" w:fill="FFFFFF"/>
        </w:rPr>
        <w:t>Expanding the jaw</w:t>
      </w:r>
      <w:r w:rsidRPr="000A40E6">
        <w:rPr>
          <w:rFonts w:cs="Times New Roman"/>
          <w:szCs w:val="24"/>
          <w:shd w:val="clear" w:color="auto" w:fill="FFFFFF"/>
        </w:rPr>
        <w:t>. Philadelphia</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SS White Dental Manufacturing Company.</w:t>
      </w:r>
    </w:p>
    <w:p w14:paraId="2E7ADD6D"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rPr>
        <w:t>Wites, M</w:t>
      </w:r>
      <w:proofErr w:type="gramStart"/>
      <w:r w:rsidRPr="000A40E6">
        <w:rPr>
          <w:rFonts w:cs="Times New Roman"/>
          <w:szCs w:val="24"/>
        </w:rPr>
        <w:t>.,</w:t>
      </w:r>
      <w:proofErr w:type="gramEnd"/>
      <w:r w:rsidRPr="000A40E6">
        <w:rPr>
          <w:rFonts w:cs="Times New Roman"/>
          <w:szCs w:val="24"/>
        </w:rPr>
        <w:t xml:space="preserve"> Panuszka, J., </w:t>
      </w:r>
      <w:r w:rsidRPr="000A40E6">
        <w:rPr>
          <w:rFonts w:cs="Times New Roman"/>
          <w:szCs w:val="24"/>
          <w:shd w:val="clear" w:color="auto" w:fill="FFFFFF"/>
        </w:rPr>
        <w:t>&amp;</w:t>
      </w:r>
      <w:r w:rsidRPr="000A40E6">
        <w:rPr>
          <w:rFonts w:cs="Times New Roman"/>
          <w:szCs w:val="24"/>
        </w:rPr>
        <w:t xml:space="preserve"> Dyras, M. (2003). Evaluation of oral and orthodontic appliance hygiene in orthodontically treated patients. </w:t>
      </w:r>
      <w:r w:rsidRPr="000A40E6">
        <w:rPr>
          <w:rFonts w:cs="Times New Roman"/>
          <w:i/>
          <w:szCs w:val="24"/>
        </w:rPr>
        <w:t xml:space="preserve">Przegl Lek </w:t>
      </w:r>
      <w:proofErr w:type="gramStart"/>
      <w:r w:rsidRPr="000A40E6">
        <w:rPr>
          <w:rFonts w:cs="Times New Roman"/>
          <w:i/>
          <w:szCs w:val="24"/>
        </w:rPr>
        <w:t>Journal</w:t>
      </w:r>
      <w:r w:rsidRPr="000A40E6">
        <w:rPr>
          <w:rFonts w:cs="Times New Roman"/>
          <w:szCs w:val="24"/>
        </w:rPr>
        <w:t xml:space="preserve"> , 60</w:t>
      </w:r>
      <w:proofErr w:type="gramEnd"/>
      <w:r w:rsidRPr="000A40E6">
        <w:rPr>
          <w:rFonts w:cs="Times New Roman"/>
          <w:szCs w:val="24"/>
        </w:rPr>
        <w:t>(6), 126- 128.</w:t>
      </w:r>
    </w:p>
    <w:p w14:paraId="3A8D581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Wright, H. L</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Makki, F. A., Moots, R. J., &amp; Edwards, S. W. (2017). Low-density granulocytes: functionally distinct, immature neutrophils in rheumatoid arthritis with altered properties and defective TNF signalling. </w:t>
      </w:r>
      <w:r w:rsidRPr="000A40E6">
        <w:rPr>
          <w:rFonts w:cs="Times New Roman"/>
          <w:i/>
          <w:iCs/>
          <w:szCs w:val="24"/>
          <w:shd w:val="clear" w:color="auto" w:fill="FFFFFF"/>
        </w:rPr>
        <w:t>Journal of Leucocyte Biology</w:t>
      </w:r>
      <w:r w:rsidRPr="000A40E6">
        <w:rPr>
          <w:rFonts w:cs="Times New Roman"/>
          <w:szCs w:val="24"/>
          <w:shd w:val="clear" w:color="auto" w:fill="FFFFFF"/>
        </w:rPr>
        <w:t>, </w:t>
      </w:r>
      <w:r w:rsidRPr="000A40E6">
        <w:rPr>
          <w:rFonts w:cs="Times New Roman"/>
          <w:i/>
          <w:iCs/>
          <w:szCs w:val="24"/>
          <w:shd w:val="clear" w:color="auto" w:fill="FFFFFF"/>
        </w:rPr>
        <w:t>101</w:t>
      </w:r>
      <w:r w:rsidRPr="000A40E6">
        <w:rPr>
          <w:rFonts w:cs="Times New Roman"/>
          <w:szCs w:val="24"/>
          <w:shd w:val="clear" w:color="auto" w:fill="FFFFFF"/>
        </w:rPr>
        <w:t>(2), 599-611.</w:t>
      </w:r>
    </w:p>
    <w:p w14:paraId="5B786A3A"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Wu, Y</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Zhang, C., Squarize, C. H., &amp; Zou, D. (2015). Oral rehabilitation of adult edentulous siblings severely lacking alveolar bone due to ectodermal dysplasia: a report of 2 clinical cases and a literature review. </w:t>
      </w:r>
      <w:r w:rsidRPr="000A40E6">
        <w:rPr>
          <w:rFonts w:cs="Times New Roman"/>
          <w:i/>
          <w:iCs/>
          <w:szCs w:val="24"/>
          <w:shd w:val="clear" w:color="auto" w:fill="FFFFFF"/>
        </w:rPr>
        <w:t>Journal of Oral and Maxillofacial Surgery</w:t>
      </w:r>
      <w:r w:rsidRPr="000A40E6">
        <w:rPr>
          <w:rFonts w:cs="Times New Roman"/>
          <w:szCs w:val="24"/>
          <w:shd w:val="clear" w:color="auto" w:fill="FFFFFF"/>
        </w:rPr>
        <w:t>, </w:t>
      </w:r>
      <w:r w:rsidRPr="000A40E6">
        <w:rPr>
          <w:rFonts w:cs="Times New Roman"/>
          <w:i/>
          <w:iCs/>
          <w:szCs w:val="24"/>
          <w:shd w:val="clear" w:color="auto" w:fill="FFFFFF"/>
        </w:rPr>
        <w:t>73</w:t>
      </w:r>
      <w:r w:rsidRPr="000A40E6">
        <w:rPr>
          <w:rFonts w:cs="Times New Roman"/>
          <w:szCs w:val="24"/>
          <w:shd w:val="clear" w:color="auto" w:fill="FFFFFF"/>
        </w:rPr>
        <w:t>(9), 1733-e1.</w:t>
      </w:r>
    </w:p>
    <w:p w14:paraId="35901C0C" w14:textId="77777777" w:rsidR="00A3711B" w:rsidRPr="000A40E6" w:rsidRDefault="00A3711B" w:rsidP="00A3711B">
      <w:pPr>
        <w:suppressAutoHyphens/>
        <w:spacing w:after="120"/>
        <w:ind w:left="567" w:hanging="567"/>
        <w:rPr>
          <w:rFonts w:eastAsia="Calibri" w:cs="Times New Roman"/>
          <w:kern w:val="2"/>
          <w:szCs w:val="24"/>
          <w14:ligatures w14:val="standardContextual"/>
        </w:rPr>
      </w:pPr>
      <w:r w:rsidRPr="000A40E6">
        <w:rPr>
          <w:rFonts w:cs="Times New Roman"/>
          <w:szCs w:val="24"/>
          <w:shd w:val="clear" w:color="auto" w:fill="FFFFFF"/>
        </w:rPr>
        <w:t>Yamaguchi, M</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Aihara, N., Kojima, T., &amp; Kasai, K. (2006). RANKL increase in compressed periodontal ligament cells from root resorption. </w:t>
      </w:r>
      <w:r w:rsidRPr="000A40E6">
        <w:rPr>
          <w:rFonts w:cs="Times New Roman"/>
          <w:i/>
          <w:iCs/>
          <w:szCs w:val="24"/>
          <w:shd w:val="clear" w:color="auto" w:fill="FFFFFF"/>
        </w:rPr>
        <w:t>Journal of Dental Research</w:t>
      </w:r>
      <w:r w:rsidRPr="000A40E6">
        <w:rPr>
          <w:rFonts w:cs="Times New Roman"/>
          <w:szCs w:val="24"/>
          <w:shd w:val="clear" w:color="auto" w:fill="FFFFFF"/>
        </w:rPr>
        <w:t>, </w:t>
      </w:r>
      <w:r w:rsidRPr="000A40E6">
        <w:rPr>
          <w:rFonts w:cs="Times New Roman"/>
          <w:i/>
          <w:iCs/>
          <w:szCs w:val="24"/>
          <w:shd w:val="clear" w:color="auto" w:fill="FFFFFF"/>
        </w:rPr>
        <w:t>85</w:t>
      </w:r>
      <w:r w:rsidRPr="000A40E6">
        <w:rPr>
          <w:rFonts w:cs="Times New Roman"/>
          <w:szCs w:val="24"/>
          <w:shd w:val="clear" w:color="auto" w:fill="FFFFFF"/>
        </w:rPr>
        <w:t>(8), 751-756.</w:t>
      </w:r>
    </w:p>
    <w:p w14:paraId="7490BE31"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Yan, X</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Chen, J., Hao, Y., Wang, Y., &amp; Zhu, L. (2009). Changes of caspase-1 after the application of orthodontic forces in the periodontal tissues of rats.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79</w:t>
      </w:r>
      <w:r w:rsidRPr="000A40E6">
        <w:rPr>
          <w:rFonts w:cs="Times New Roman"/>
          <w:szCs w:val="24"/>
          <w:shd w:val="clear" w:color="auto" w:fill="FFFFFF"/>
        </w:rPr>
        <w:t>(6), 1126-1132.</w:t>
      </w:r>
    </w:p>
    <w:p w14:paraId="6FDD42BA"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Yang, G</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Im, H. J., &amp; Wang, J. H. C. (2005). Repetitive mechanical stretching modulates IL-1β induced COX-2, MMP-1 expression, and PGE2 production in human patellar tendon fibroblasts. </w:t>
      </w:r>
      <w:r w:rsidRPr="000A40E6">
        <w:rPr>
          <w:rFonts w:cs="Times New Roman"/>
          <w:i/>
          <w:iCs/>
          <w:szCs w:val="24"/>
          <w:shd w:val="clear" w:color="auto" w:fill="FFFFFF"/>
        </w:rPr>
        <w:t>Gene</w:t>
      </w:r>
      <w:r w:rsidRPr="000A40E6">
        <w:rPr>
          <w:rFonts w:cs="Times New Roman"/>
          <w:szCs w:val="24"/>
          <w:shd w:val="clear" w:color="auto" w:fill="FFFFFF"/>
        </w:rPr>
        <w:t>, </w:t>
      </w:r>
      <w:r w:rsidRPr="000A40E6">
        <w:rPr>
          <w:rFonts w:cs="Times New Roman"/>
          <w:i/>
          <w:iCs/>
          <w:szCs w:val="24"/>
          <w:shd w:val="clear" w:color="auto" w:fill="FFFFFF"/>
        </w:rPr>
        <w:t>363</w:t>
      </w:r>
      <w:r w:rsidRPr="000A40E6">
        <w:rPr>
          <w:rFonts w:cs="Times New Roman"/>
          <w:szCs w:val="24"/>
          <w:shd w:val="clear" w:color="auto" w:fill="FFFFFF"/>
        </w:rPr>
        <w:t>, 166-172.</w:t>
      </w:r>
    </w:p>
    <w:p w14:paraId="1655CD30"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Zhang, Q</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Chen, B., Yan, F., Guo, J., Zhu, X., Ma, S., &amp; Yang, W. (2014). Interleukin-10 inhibits bone resorption: a potential therapeutic strategy in periodontitis and other bone loss diseases. </w:t>
      </w:r>
      <w:r w:rsidRPr="000A40E6">
        <w:rPr>
          <w:rFonts w:cs="Times New Roman"/>
          <w:i/>
          <w:iCs/>
          <w:szCs w:val="24"/>
          <w:shd w:val="clear" w:color="auto" w:fill="FFFFFF"/>
        </w:rPr>
        <w:t>BioMed Research İnternational</w:t>
      </w:r>
      <w:r w:rsidRPr="000A40E6">
        <w:rPr>
          <w:rFonts w:cs="Times New Roman"/>
          <w:szCs w:val="24"/>
          <w:shd w:val="clear" w:color="auto" w:fill="FFFFFF"/>
        </w:rPr>
        <w:t>, </w:t>
      </w:r>
      <w:r w:rsidRPr="000A40E6">
        <w:rPr>
          <w:rFonts w:cs="Times New Roman"/>
          <w:i/>
          <w:iCs/>
          <w:szCs w:val="24"/>
          <w:shd w:val="clear" w:color="auto" w:fill="FFFFFF"/>
        </w:rPr>
        <w:t>2014</w:t>
      </w:r>
      <w:r w:rsidRPr="000A40E6">
        <w:rPr>
          <w:rFonts w:cs="Times New Roman"/>
          <w:szCs w:val="24"/>
          <w:shd w:val="clear" w:color="auto" w:fill="FFFFFF"/>
        </w:rPr>
        <w:t>.</w:t>
      </w:r>
    </w:p>
    <w:p w14:paraId="74AD6866" w14:textId="77777777" w:rsidR="00A3711B" w:rsidRPr="000A40E6" w:rsidRDefault="00A3711B" w:rsidP="00A3711B">
      <w:pPr>
        <w:suppressAutoHyphens/>
        <w:spacing w:after="120"/>
        <w:ind w:left="567" w:hanging="567"/>
        <w:rPr>
          <w:rFonts w:cs="Times New Roman"/>
          <w:szCs w:val="24"/>
        </w:rPr>
      </w:pPr>
      <w:r w:rsidRPr="000A40E6">
        <w:rPr>
          <w:rFonts w:cs="Times New Roman"/>
          <w:szCs w:val="24"/>
          <w:shd w:val="clear" w:color="auto" w:fill="FFFFFF"/>
        </w:rPr>
        <w:t>Zimring, J. F</w:t>
      </w:r>
      <w:proofErr w:type="gramStart"/>
      <w:r w:rsidRPr="000A40E6">
        <w:rPr>
          <w:rFonts w:cs="Times New Roman"/>
          <w:szCs w:val="24"/>
          <w:shd w:val="clear" w:color="auto" w:fill="FFFFFF"/>
        </w:rPr>
        <w:t>.,</w:t>
      </w:r>
      <w:proofErr w:type="gramEnd"/>
      <w:r w:rsidRPr="000A40E6">
        <w:rPr>
          <w:rFonts w:cs="Times New Roman"/>
          <w:szCs w:val="24"/>
          <w:shd w:val="clear" w:color="auto" w:fill="FFFFFF"/>
        </w:rPr>
        <w:t xml:space="preserve"> &amp; Isaacson, R. J. (1965). Forces produced by rapid maxillary expansion: III. Forces present during retention. </w:t>
      </w:r>
      <w:r w:rsidRPr="000A40E6">
        <w:rPr>
          <w:rFonts w:cs="Times New Roman"/>
          <w:i/>
          <w:iCs/>
          <w:szCs w:val="24"/>
          <w:shd w:val="clear" w:color="auto" w:fill="FFFFFF"/>
        </w:rPr>
        <w:t>The Angle Orthodontist</w:t>
      </w:r>
      <w:r w:rsidRPr="000A40E6">
        <w:rPr>
          <w:rFonts w:cs="Times New Roman"/>
          <w:szCs w:val="24"/>
          <w:shd w:val="clear" w:color="auto" w:fill="FFFFFF"/>
        </w:rPr>
        <w:t>, </w:t>
      </w:r>
      <w:r w:rsidRPr="000A40E6">
        <w:rPr>
          <w:rFonts w:cs="Times New Roman"/>
          <w:i/>
          <w:iCs/>
          <w:szCs w:val="24"/>
          <w:shd w:val="clear" w:color="auto" w:fill="FFFFFF"/>
        </w:rPr>
        <w:t>35</w:t>
      </w:r>
      <w:r w:rsidRPr="000A40E6">
        <w:rPr>
          <w:rFonts w:cs="Times New Roman"/>
          <w:szCs w:val="24"/>
          <w:shd w:val="clear" w:color="auto" w:fill="FFFFFF"/>
        </w:rPr>
        <w:t>(3), 178-186.</w:t>
      </w:r>
    </w:p>
    <w:p w14:paraId="7B019236" w14:textId="77777777" w:rsidR="007761B3" w:rsidRPr="000A40E6" w:rsidRDefault="007761B3" w:rsidP="00F756C3">
      <w:pPr>
        <w:tabs>
          <w:tab w:val="left" w:pos="567"/>
        </w:tabs>
        <w:suppressAutoHyphens/>
        <w:spacing w:after="120"/>
        <w:rPr>
          <w:rFonts w:cs="Times New Roman"/>
          <w:szCs w:val="24"/>
        </w:rPr>
      </w:pPr>
    </w:p>
    <w:p w14:paraId="4976D9B7" w14:textId="465538A4" w:rsidR="00773274" w:rsidRPr="000A40E6" w:rsidRDefault="00773274" w:rsidP="00F756C3">
      <w:pPr>
        <w:suppressAutoHyphens/>
        <w:spacing w:after="120"/>
        <w:rPr>
          <w:rFonts w:cs="Times New Roman"/>
          <w:szCs w:val="24"/>
        </w:rPr>
      </w:pPr>
    </w:p>
    <w:p w14:paraId="4E6AD1C8" w14:textId="324D342A" w:rsidR="00773274" w:rsidRPr="000A40E6" w:rsidRDefault="00773274" w:rsidP="00F756C3">
      <w:pPr>
        <w:suppressAutoHyphens/>
        <w:spacing w:after="120"/>
        <w:rPr>
          <w:rFonts w:cs="Times New Roman"/>
          <w:szCs w:val="24"/>
        </w:rPr>
      </w:pPr>
    </w:p>
    <w:p w14:paraId="56D70CB1" w14:textId="46D4A069" w:rsidR="00773274" w:rsidRPr="000A40E6" w:rsidRDefault="00773274" w:rsidP="00F756C3">
      <w:pPr>
        <w:suppressAutoHyphens/>
        <w:spacing w:after="120"/>
        <w:rPr>
          <w:rFonts w:cs="Times New Roman"/>
          <w:szCs w:val="24"/>
        </w:rPr>
      </w:pPr>
    </w:p>
    <w:p w14:paraId="661AA5DF" w14:textId="405D67A0" w:rsidR="00773274" w:rsidRPr="000A40E6" w:rsidRDefault="00773274" w:rsidP="00F756C3">
      <w:pPr>
        <w:suppressAutoHyphens/>
        <w:spacing w:after="120"/>
        <w:rPr>
          <w:rFonts w:cs="Times New Roman"/>
          <w:szCs w:val="24"/>
        </w:rPr>
      </w:pPr>
    </w:p>
    <w:p w14:paraId="5A5D2A22" w14:textId="71A9B1BA" w:rsidR="00F301EB" w:rsidRPr="000A40E6" w:rsidRDefault="00F301EB" w:rsidP="00F756C3">
      <w:pPr>
        <w:suppressAutoHyphens/>
        <w:spacing w:after="200" w:line="276" w:lineRule="auto"/>
        <w:ind w:firstLine="0"/>
        <w:jc w:val="left"/>
        <w:rPr>
          <w:rFonts w:cs="Times New Roman"/>
          <w:szCs w:val="24"/>
        </w:rPr>
      </w:pPr>
      <w:r w:rsidRPr="000A40E6">
        <w:rPr>
          <w:rFonts w:cs="Times New Roman"/>
          <w:szCs w:val="24"/>
        </w:rPr>
        <w:br w:type="page"/>
      </w:r>
    </w:p>
    <w:p w14:paraId="6D35F0AC" w14:textId="313EBEB0" w:rsidR="0011760F" w:rsidRPr="000A40E6" w:rsidRDefault="0011760F" w:rsidP="00A3711B">
      <w:pPr>
        <w:suppressAutoHyphens/>
        <w:spacing w:after="120"/>
        <w:ind w:firstLine="0"/>
        <w:jc w:val="center"/>
        <w:rPr>
          <w:rFonts w:cs="Times New Roman"/>
          <w:b/>
          <w:sz w:val="28"/>
          <w:szCs w:val="24"/>
        </w:rPr>
      </w:pPr>
      <w:bookmarkStart w:id="153" w:name="_Toc136443436"/>
      <w:bookmarkStart w:id="154" w:name="_Toc488176679"/>
      <w:bookmarkStart w:id="155" w:name="_Toc488004533"/>
      <w:bookmarkStart w:id="156" w:name="_Toc473149739"/>
      <w:bookmarkStart w:id="157" w:name="_Toc459142291"/>
      <w:r w:rsidRPr="000A40E6">
        <w:rPr>
          <w:rFonts w:cs="Times New Roman"/>
          <w:b/>
          <w:sz w:val="28"/>
          <w:szCs w:val="24"/>
        </w:rPr>
        <w:t>EKLER</w:t>
      </w:r>
      <w:bookmarkEnd w:id="153"/>
    </w:p>
    <w:p w14:paraId="495EDE09" w14:textId="77777777" w:rsidR="0011760F" w:rsidRPr="000A40E6" w:rsidRDefault="0011760F" w:rsidP="00F756C3">
      <w:pPr>
        <w:suppressAutoHyphens/>
        <w:spacing w:after="120"/>
        <w:rPr>
          <w:rFonts w:cs="Times New Roman"/>
          <w:b/>
          <w:szCs w:val="24"/>
        </w:rPr>
      </w:pPr>
    </w:p>
    <w:p w14:paraId="5778DA4E" w14:textId="77777777" w:rsidR="0011760F" w:rsidRPr="000A40E6" w:rsidRDefault="0011760F" w:rsidP="00F756C3">
      <w:pPr>
        <w:suppressAutoHyphens/>
        <w:spacing w:after="120"/>
        <w:rPr>
          <w:rFonts w:cs="Times New Roman"/>
          <w:b/>
          <w:szCs w:val="24"/>
        </w:rPr>
      </w:pPr>
    </w:p>
    <w:p w14:paraId="525BD6C6" w14:textId="7ACE8FC0" w:rsidR="0011760F" w:rsidRPr="000A40E6" w:rsidRDefault="0011760F" w:rsidP="00A3711B">
      <w:pPr>
        <w:suppressAutoHyphens/>
        <w:spacing w:after="120"/>
        <w:ind w:firstLine="0"/>
        <w:rPr>
          <w:rFonts w:cs="Times New Roman"/>
          <w:szCs w:val="24"/>
        </w:rPr>
      </w:pPr>
      <w:r w:rsidRPr="000A40E6">
        <w:rPr>
          <w:rFonts w:cs="Times New Roman"/>
          <w:b/>
          <w:szCs w:val="24"/>
        </w:rPr>
        <w:t>Ek 1</w:t>
      </w:r>
      <w:r w:rsidR="00B5097F" w:rsidRPr="000A40E6">
        <w:rPr>
          <w:rFonts w:cs="Times New Roman"/>
          <w:b/>
          <w:szCs w:val="24"/>
        </w:rPr>
        <w:t xml:space="preserve">. </w:t>
      </w:r>
      <w:r w:rsidR="00B5097F" w:rsidRPr="000A40E6">
        <w:rPr>
          <w:rFonts w:cs="Times New Roman"/>
          <w:szCs w:val="24"/>
        </w:rPr>
        <w:t>Etik Kurul Onayı</w:t>
      </w:r>
    </w:p>
    <w:p w14:paraId="284B4E1C" w14:textId="462A39BB" w:rsidR="00CB7F3A" w:rsidRPr="000A40E6" w:rsidRDefault="00B5097F" w:rsidP="00F756C3">
      <w:pPr>
        <w:suppressAutoHyphens/>
        <w:spacing w:line="240" w:lineRule="atLeast"/>
        <w:ind w:firstLine="0"/>
        <w:jc w:val="center"/>
        <w:rPr>
          <w:rFonts w:cs="Times New Roman"/>
          <w:b/>
          <w:szCs w:val="24"/>
        </w:rPr>
      </w:pPr>
      <w:r w:rsidRPr="000A40E6">
        <w:rPr>
          <w:rFonts w:cs="Times New Roman"/>
          <w:b/>
          <w:noProof/>
          <w:szCs w:val="24"/>
          <w:lang w:eastAsia="tr-TR"/>
        </w:rPr>
        <w:drawing>
          <wp:inline distT="0" distB="0" distL="0" distR="0" wp14:anchorId="786E1155" wp14:editId="5E73FCE0">
            <wp:extent cx="5040000" cy="6465103"/>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000" cy="6465103"/>
                    </a:xfrm>
                    <a:prstGeom prst="rect">
                      <a:avLst/>
                    </a:prstGeom>
                    <a:noFill/>
                    <a:ln>
                      <a:noFill/>
                    </a:ln>
                  </pic:spPr>
                </pic:pic>
              </a:graphicData>
            </a:graphic>
          </wp:inline>
        </w:drawing>
      </w:r>
    </w:p>
    <w:p w14:paraId="01E60181" w14:textId="77777777" w:rsidR="00F301EB" w:rsidRPr="000A40E6" w:rsidRDefault="00F301EB" w:rsidP="00F756C3">
      <w:pPr>
        <w:suppressAutoHyphens/>
        <w:spacing w:after="200" w:line="276" w:lineRule="auto"/>
        <w:ind w:firstLine="0"/>
        <w:jc w:val="left"/>
        <w:rPr>
          <w:rFonts w:cs="Times New Roman"/>
          <w:b/>
          <w:szCs w:val="24"/>
        </w:rPr>
      </w:pPr>
      <w:r w:rsidRPr="000A40E6">
        <w:rPr>
          <w:rFonts w:cs="Times New Roman"/>
          <w:b/>
          <w:szCs w:val="24"/>
        </w:rPr>
        <w:br w:type="page"/>
      </w:r>
    </w:p>
    <w:p w14:paraId="54440440" w14:textId="6F7BF800" w:rsidR="00B5097F" w:rsidRPr="000A40E6" w:rsidRDefault="00B5097F" w:rsidP="00A3711B">
      <w:pPr>
        <w:suppressAutoHyphens/>
        <w:spacing w:after="120"/>
        <w:ind w:firstLine="0"/>
        <w:rPr>
          <w:rFonts w:cs="Times New Roman"/>
          <w:b/>
          <w:szCs w:val="24"/>
        </w:rPr>
      </w:pPr>
      <w:r w:rsidRPr="000A40E6">
        <w:rPr>
          <w:rFonts w:cs="Times New Roman"/>
          <w:b/>
          <w:szCs w:val="24"/>
        </w:rPr>
        <w:t xml:space="preserve">Ek 2. </w:t>
      </w:r>
      <w:r w:rsidRPr="000A40E6">
        <w:rPr>
          <w:rFonts w:cs="Times New Roman"/>
          <w:szCs w:val="24"/>
        </w:rPr>
        <w:t>Sağlık bakanlığı 2021-105 Onay</w:t>
      </w:r>
    </w:p>
    <w:p w14:paraId="6C005C64" w14:textId="205C1737" w:rsidR="00CB7F3A" w:rsidRPr="000A40E6" w:rsidRDefault="00B5097F" w:rsidP="00F756C3">
      <w:pPr>
        <w:suppressAutoHyphens/>
        <w:spacing w:line="240" w:lineRule="atLeast"/>
        <w:ind w:firstLine="0"/>
        <w:jc w:val="center"/>
        <w:rPr>
          <w:rFonts w:cs="Times New Roman"/>
          <w:b/>
          <w:szCs w:val="24"/>
        </w:rPr>
      </w:pPr>
      <w:r w:rsidRPr="000A40E6">
        <w:rPr>
          <w:rFonts w:cs="Times New Roman"/>
          <w:b/>
          <w:noProof/>
          <w:szCs w:val="24"/>
          <w:lang w:eastAsia="tr-TR"/>
        </w:rPr>
        <w:drawing>
          <wp:inline distT="0" distB="0" distL="0" distR="0" wp14:anchorId="38E5360B" wp14:editId="11485F47">
            <wp:extent cx="5400000" cy="7617600"/>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7617600"/>
                    </a:xfrm>
                    <a:prstGeom prst="rect">
                      <a:avLst/>
                    </a:prstGeom>
                    <a:noFill/>
                    <a:ln>
                      <a:noFill/>
                    </a:ln>
                  </pic:spPr>
                </pic:pic>
              </a:graphicData>
            </a:graphic>
          </wp:inline>
        </w:drawing>
      </w:r>
    </w:p>
    <w:p w14:paraId="64E54876" w14:textId="77777777" w:rsidR="00CB7F3A" w:rsidRPr="000A40E6" w:rsidRDefault="00CB7F3A" w:rsidP="00F756C3">
      <w:pPr>
        <w:suppressAutoHyphens/>
        <w:spacing w:after="120"/>
        <w:rPr>
          <w:rFonts w:cs="Times New Roman"/>
          <w:b/>
          <w:szCs w:val="24"/>
        </w:rPr>
      </w:pPr>
    </w:p>
    <w:p w14:paraId="4B19B281" w14:textId="5FDAA3F1" w:rsidR="00CB7F3A" w:rsidRPr="000A40E6" w:rsidRDefault="00B5097F" w:rsidP="00F756C3">
      <w:pPr>
        <w:suppressAutoHyphens/>
        <w:spacing w:line="240" w:lineRule="atLeast"/>
        <w:ind w:firstLine="0"/>
        <w:jc w:val="center"/>
        <w:rPr>
          <w:rFonts w:cs="Times New Roman"/>
          <w:b/>
          <w:szCs w:val="24"/>
        </w:rPr>
      </w:pPr>
      <w:r w:rsidRPr="000A40E6">
        <w:rPr>
          <w:rFonts w:cs="Times New Roman"/>
          <w:b/>
          <w:noProof/>
          <w:szCs w:val="24"/>
          <w:lang w:eastAsia="tr-TR"/>
        </w:rPr>
        <w:drawing>
          <wp:inline distT="0" distB="0" distL="0" distR="0" wp14:anchorId="0B8E2B54" wp14:editId="207BE25D">
            <wp:extent cx="5400000" cy="7617600"/>
            <wp:effectExtent l="0" t="0" r="0" b="25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00" cy="7617600"/>
                    </a:xfrm>
                    <a:prstGeom prst="rect">
                      <a:avLst/>
                    </a:prstGeom>
                    <a:noFill/>
                    <a:ln>
                      <a:noFill/>
                    </a:ln>
                  </pic:spPr>
                </pic:pic>
              </a:graphicData>
            </a:graphic>
          </wp:inline>
        </w:drawing>
      </w:r>
    </w:p>
    <w:p w14:paraId="33E1DE53" w14:textId="77777777" w:rsidR="00CB7F3A" w:rsidRPr="000A40E6" w:rsidRDefault="00CB7F3A" w:rsidP="00F756C3">
      <w:pPr>
        <w:suppressAutoHyphens/>
        <w:spacing w:after="120"/>
        <w:rPr>
          <w:rFonts w:cs="Times New Roman"/>
          <w:b/>
          <w:szCs w:val="24"/>
        </w:rPr>
      </w:pPr>
    </w:p>
    <w:p w14:paraId="7B1AD95C" w14:textId="77777777" w:rsidR="00CB7F3A" w:rsidRPr="000A40E6" w:rsidRDefault="00CB7F3A" w:rsidP="00F756C3">
      <w:pPr>
        <w:suppressAutoHyphens/>
        <w:spacing w:after="120"/>
        <w:rPr>
          <w:rFonts w:cs="Times New Roman"/>
          <w:b/>
          <w:szCs w:val="24"/>
        </w:rPr>
      </w:pPr>
    </w:p>
    <w:p w14:paraId="5100503A" w14:textId="77777777" w:rsidR="00F301EB" w:rsidRPr="000A40E6" w:rsidRDefault="00F301EB" w:rsidP="00F756C3">
      <w:pPr>
        <w:suppressAutoHyphens/>
        <w:spacing w:after="200" w:line="276" w:lineRule="auto"/>
        <w:ind w:firstLine="0"/>
        <w:jc w:val="left"/>
        <w:rPr>
          <w:rFonts w:cs="Times New Roman"/>
          <w:b/>
          <w:szCs w:val="24"/>
        </w:rPr>
      </w:pPr>
      <w:r w:rsidRPr="000A40E6">
        <w:rPr>
          <w:rFonts w:cs="Times New Roman"/>
          <w:b/>
          <w:szCs w:val="24"/>
        </w:rPr>
        <w:br w:type="page"/>
      </w:r>
    </w:p>
    <w:p w14:paraId="50119C00" w14:textId="1C5A5875" w:rsidR="00CB7F3A" w:rsidRPr="000A40E6" w:rsidRDefault="00B5097F" w:rsidP="00A3711B">
      <w:pPr>
        <w:suppressAutoHyphens/>
        <w:spacing w:after="120"/>
        <w:ind w:firstLine="0"/>
        <w:rPr>
          <w:rFonts w:cs="Times New Roman"/>
          <w:szCs w:val="24"/>
        </w:rPr>
      </w:pPr>
      <w:r w:rsidRPr="000A40E6">
        <w:rPr>
          <w:rFonts w:cs="Times New Roman"/>
          <w:b/>
          <w:szCs w:val="24"/>
        </w:rPr>
        <w:t xml:space="preserve">Ek 3. </w:t>
      </w:r>
      <w:r w:rsidR="005229B0" w:rsidRPr="000A40E6">
        <w:rPr>
          <w:rFonts w:cs="Times New Roman"/>
          <w:szCs w:val="24"/>
        </w:rPr>
        <w:t>Form 15 BGOF (ÇOCUK)</w:t>
      </w:r>
    </w:p>
    <w:p w14:paraId="4E9A9653" w14:textId="4DD63826" w:rsidR="00CB7F3A" w:rsidRPr="000A40E6" w:rsidRDefault="005229B0" w:rsidP="00F756C3">
      <w:pPr>
        <w:suppressAutoHyphens/>
        <w:spacing w:line="240" w:lineRule="atLeast"/>
        <w:ind w:firstLine="0"/>
        <w:jc w:val="center"/>
        <w:rPr>
          <w:rFonts w:cs="Times New Roman"/>
          <w:b/>
          <w:szCs w:val="24"/>
        </w:rPr>
      </w:pPr>
      <w:r w:rsidRPr="000A40E6">
        <w:rPr>
          <w:rFonts w:cs="Times New Roman"/>
          <w:noProof/>
          <w:szCs w:val="24"/>
          <w:lang w:eastAsia="tr-TR"/>
        </w:rPr>
        <w:drawing>
          <wp:inline distT="0" distB="0" distL="0" distR="0" wp14:anchorId="2E34DA6E" wp14:editId="7F678A3D">
            <wp:extent cx="5400000" cy="7617600"/>
            <wp:effectExtent l="0" t="0" r="0" b="254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00" cy="7617600"/>
                    </a:xfrm>
                    <a:prstGeom prst="rect">
                      <a:avLst/>
                    </a:prstGeom>
                  </pic:spPr>
                </pic:pic>
              </a:graphicData>
            </a:graphic>
          </wp:inline>
        </w:drawing>
      </w:r>
    </w:p>
    <w:p w14:paraId="1B85BE54" w14:textId="33E9DEF6" w:rsidR="00CB7F3A" w:rsidRPr="000A40E6" w:rsidRDefault="005229B0" w:rsidP="00F756C3">
      <w:pPr>
        <w:suppressAutoHyphens/>
        <w:spacing w:line="240" w:lineRule="atLeast"/>
        <w:ind w:firstLine="0"/>
        <w:jc w:val="center"/>
        <w:rPr>
          <w:rFonts w:cs="Times New Roman"/>
          <w:b/>
          <w:szCs w:val="24"/>
        </w:rPr>
      </w:pPr>
      <w:r w:rsidRPr="000A40E6">
        <w:rPr>
          <w:rFonts w:cs="Times New Roman"/>
          <w:b/>
          <w:noProof/>
          <w:szCs w:val="24"/>
          <w:lang w:eastAsia="tr-TR"/>
        </w:rPr>
        <w:drawing>
          <wp:inline distT="0" distB="0" distL="0" distR="0" wp14:anchorId="02472D87" wp14:editId="4BA7CCC5">
            <wp:extent cx="5400000" cy="7617600"/>
            <wp:effectExtent l="0" t="0" r="0"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7617600"/>
                    </a:xfrm>
                    <a:prstGeom prst="rect">
                      <a:avLst/>
                    </a:prstGeom>
                    <a:noFill/>
                    <a:ln>
                      <a:noFill/>
                    </a:ln>
                  </pic:spPr>
                </pic:pic>
              </a:graphicData>
            </a:graphic>
          </wp:inline>
        </w:drawing>
      </w:r>
    </w:p>
    <w:p w14:paraId="74E35DA0" w14:textId="77777777" w:rsidR="00CB7F3A" w:rsidRPr="000A40E6" w:rsidRDefault="00CB7F3A" w:rsidP="00F756C3">
      <w:pPr>
        <w:suppressAutoHyphens/>
        <w:spacing w:after="120"/>
        <w:rPr>
          <w:rFonts w:cs="Times New Roman"/>
          <w:b/>
          <w:szCs w:val="24"/>
        </w:rPr>
      </w:pPr>
    </w:p>
    <w:p w14:paraId="518BBD68" w14:textId="77777777" w:rsidR="00CB7F3A" w:rsidRPr="000A40E6" w:rsidRDefault="00CB7F3A" w:rsidP="00F756C3">
      <w:pPr>
        <w:suppressAutoHyphens/>
        <w:spacing w:after="120"/>
        <w:rPr>
          <w:rFonts w:cs="Times New Roman"/>
          <w:b/>
          <w:szCs w:val="24"/>
        </w:rPr>
      </w:pPr>
    </w:p>
    <w:p w14:paraId="78EE2967" w14:textId="1031B4CA" w:rsidR="00CB7F3A" w:rsidRPr="000A40E6" w:rsidRDefault="005229B0" w:rsidP="00F756C3">
      <w:pPr>
        <w:suppressAutoHyphens/>
        <w:spacing w:line="240" w:lineRule="atLeast"/>
        <w:ind w:firstLine="0"/>
        <w:jc w:val="center"/>
        <w:rPr>
          <w:rFonts w:cs="Times New Roman"/>
          <w:b/>
          <w:szCs w:val="24"/>
        </w:rPr>
      </w:pPr>
      <w:r w:rsidRPr="000A40E6">
        <w:rPr>
          <w:rFonts w:cs="Times New Roman"/>
          <w:noProof/>
          <w:szCs w:val="24"/>
          <w:lang w:eastAsia="tr-TR"/>
        </w:rPr>
        <w:drawing>
          <wp:inline distT="0" distB="0" distL="0" distR="0" wp14:anchorId="5DF16480" wp14:editId="422F3CD9">
            <wp:extent cx="5400000" cy="7617600"/>
            <wp:effectExtent l="0" t="0" r="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00" cy="7617600"/>
                    </a:xfrm>
                    <a:prstGeom prst="rect">
                      <a:avLst/>
                    </a:prstGeom>
                  </pic:spPr>
                </pic:pic>
              </a:graphicData>
            </a:graphic>
          </wp:inline>
        </w:drawing>
      </w:r>
    </w:p>
    <w:p w14:paraId="63B74076" w14:textId="77777777" w:rsidR="00CB7F3A" w:rsidRPr="000A40E6" w:rsidRDefault="00CB7F3A" w:rsidP="00F756C3">
      <w:pPr>
        <w:suppressAutoHyphens/>
        <w:spacing w:after="120"/>
        <w:rPr>
          <w:rFonts w:cs="Times New Roman"/>
          <w:b/>
          <w:szCs w:val="24"/>
        </w:rPr>
      </w:pPr>
    </w:p>
    <w:p w14:paraId="0830EC60" w14:textId="77777777" w:rsidR="00CB7F3A" w:rsidRPr="000A40E6" w:rsidRDefault="00CB7F3A" w:rsidP="00F756C3">
      <w:pPr>
        <w:suppressAutoHyphens/>
        <w:spacing w:after="120"/>
        <w:rPr>
          <w:rFonts w:cs="Times New Roman"/>
          <w:b/>
          <w:szCs w:val="24"/>
        </w:rPr>
      </w:pPr>
    </w:p>
    <w:p w14:paraId="57E8DBDE" w14:textId="4CA844EC" w:rsidR="00CB7F3A" w:rsidRPr="000A40E6" w:rsidRDefault="005229B0" w:rsidP="00F756C3">
      <w:pPr>
        <w:suppressAutoHyphens/>
        <w:spacing w:line="240" w:lineRule="atLeast"/>
        <w:ind w:firstLine="0"/>
        <w:jc w:val="center"/>
        <w:rPr>
          <w:rFonts w:cs="Times New Roman"/>
          <w:b/>
          <w:szCs w:val="24"/>
        </w:rPr>
      </w:pPr>
      <w:r w:rsidRPr="000A40E6">
        <w:rPr>
          <w:rFonts w:cs="Times New Roman"/>
          <w:noProof/>
          <w:szCs w:val="24"/>
          <w:lang w:eastAsia="tr-TR"/>
        </w:rPr>
        <w:drawing>
          <wp:inline distT="0" distB="0" distL="0" distR="0" wp14:anchorId="6E68E07B" wp14:editId="293E1FE2">
            <wp:extent cx="5400000" cy="7617600"/>
            <wp:effectExtent l="0" t="0" r="0" b="254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00000" cy="7617600"/>
                    </a:xfrm>
                    <a:prstGeom prst="rect">
                      <a:avLst/>
                    </a:prstGeom>
                  </pic:spPr>
                </pic:pic>
              </a:graphicData>
            </a:graphic>
          </wp:inline>
        </w:drawing>
      </w:r>
    </w:p>
    <w:p w14:paraId="52C3D3CA" w14:textId="3F40EDED" w:rsidR="005229B0" w:rsidRPr="000A40E6" w:rsidRDefault="005229B0" w:rsidP="00F756C3">
      <w:pPr>
        <w:suppressAutoHyphens/>
        <w:spacing w:after="120"/>
        <w:rPr>
          <w:rFonts w:cs="Times New Roman"/>
          <w:b/>
          <w:szCs w:val="24"/>
        </w:rPr>
      </w:pPr>
    </w:p>
    <w:p w14:paraId="2A549CBB" w14:textId="77777777" w:rsidR="00F301EB" w:rsidRPr="000A40E6" w:rsidRDefault="00F301EB" w:rsidP="00F756C3">
      <w:pPr>
        <w:suppressAutoHyphens/>
        <w:spacing w:after="200" w:line="276" w:lineRule="auto"/>
        <w:ind w:firstLine="0"/>
        <w:jc w:val="left"/>
        <w:rPr>
          <w:rFonts w:cs="Times New Roman"/>
          <w:b/>
          <w:szCs w:val="24"/>
        </w:rPr>
      </w:pPr>
      <w:r w:rsidRPr="000A40E6">
        <w:rPr>
          <w:rFonts w:cs="Times New Roman"/>
          <w:b/>
          <w:szCs w:val="24"/>
        </w:rPr>
        <w:br w:type="page"/>
      </w:r>
    </w:p>
    <w:p w14:paraId="38F4809A" w14:textId="1412A51A" w:rsidR="005229B0" w:rsidRPr="000A40E6" w:rsidRDefault="005229B0" w:rsidP="00A3711B">
      <w:pPr>
        <w:suppressAutoHyphens/>
        <w:spacing w:after="120"/>
        <w:ind w:firstLine="0"/>
        <w:rPr>
          <w:rFonts w:cs="Times New Roman"/>
          <w:b/>
          <w:szCs w:val="24"/>
        </w:rPr>
      </w:pPr>
      <w:r w:rsidRPr="000A40E6">
        <w:rPr>
          <w:rFonts w:cs="Times New Roman"/>
          <w:b/>
          <w:szCs w:val="24"/>
        </w:rPr>
        <w:t xml:space="preserve">Ek 4. </w:t>
      </w:r>
      <w:r w:rsidRPr="000A40E6">
        <w:rPr>
          <w:rFonts w:cs="Times New Roman"/>
          <w:szCs w:val="24"/>
        </w:rPr>
        <w:t>Form 15 BGOF (EBEVEYN)</w:t>
      </w:r>
    </w:p>
    <w:p w14:paraId="2D19711C" w14:textId="73EEE298" w:rsidR="00CB7F3A" w:rsidRPr="000A40E6" w:rsidRDefault="005229B0" w:rsidP="00F756C3">
      <w:pPr>
        <w:suppressAutoHyphens/>
        <w:spacing w:line="240" w:lineRule="atLeast"/>
        <w:ind w:firstLine="0"/>
        <w:jc w:val="center"/>
        <w:rPr>
          <w:rFonts w:cs="Times New Roman"/>
          <w:b/>
          <w:szCs w:val="24"/>
        </w:rPr>
      </w:pPr>
      <w:r w:rsidRPr="000A40E6">
        <w:rPr>
          <w:rFonts w:cs="Times New Roman"/>
          <w:noProof/>
          <w:szCs w:val="24"/>
          <w:lang w:eastAsia="tr-TR"/>
        </w:rPr>
        <w:drawing>
          <wp:inline distT="0" distB="0" distL="0" distR="0" wp14:anchorId="54CE9E32" wp14:editId="4F59ECC7">
            <wp:extent cx="5400000" cy="7617600"/>
            <wp:effectExtent l="0" t="0" r="0" b="254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00" cy="7617600"/>
                    </a:xfrm>
                    <a:prstGeom prst="rect">
                      <a:avLst/>
                    </a:prstGeom>
                  </pic:spPr>
                </pic:pic>
              </a:graphicData>
            </a:graphic>
          </wp:inline>
        </w:drawing>
      </w:r>
    </w:p>
    <w:p w14:paraId="2E77DCC7" w14:textId="781DE52B" w:rsidR="005229B0" w:rsidRPr="000A40E6" w:rsidRDefault="005229B0" w:rsidP="00F756C3">
      <w:pPr>
        <w:suppressAutoHyphens/>
        <w:spacing w:line="240" w:lineRule="atLeast"/>
        <w:ind w:firstLine="0"/>
        <w:jc w:val="center"/>
        <w:rPr>
          <w:rFonts w:cs="Times New Roman"/>
          <w:b/>
          <w:szCs w:val="24"/>
        </w:rPr>
      </w:pPr>
      <w:r w:rsidRPr="000A40E6">
        <w:rPr>
          <w:rFonts w:cs="Times New Roman"/>
          <w:b/>
          <w:noProof/>
          <w:szCs w:val="24"/>
          <w:lang w:eastAsia="tr-TR"/>
        </w:rPr>
        <w:drawing>
          <wp:inline distT="0" distB="0" distL="0" distR="0" wp14:anchorId="144160F5" wp14:editId="47DD79AA">
            <wp:extent cx="5400000" cy="7617600"/>
            <wp:effectExtent l="0" t="0" r="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0" cy="7617600"/>
                    </a:xfrm>
                    <a:prstGeom prst="rect">
                      <a:avLst/>
                    </a:prstGeom>
                    <a:noFill/>
                    <a:ln>
                      <a:noFill/>
                    </a:ln>
                  </pic:spPr>
                </pic:pic>
              </a:graphicData>
            </a:graphic>
          </wp:inline>
        </w:drawing>
      </w:r>
    </w:p>
    <w:p w14:paraId="2DED933D" w14:textId="6AAF9959" w:rsidR="005229B0" w:rsidRPr="000A40E6" w:rsidRDefault="005229B0" w:rsidP="00F756C3">
      <w:pPr>
        <w:suppressAutoHyphens/>
        <w:spacing w:after="120"/>
        <w:rPr>
          <w:rFonts w:cs="Times New Roman"/>
          <w:b/>
          <w:szCs w:val="24"/>
        </w:rPr>
      </w:pPr>
    </w:p>
    <w:p w14:paraId="6D9AE670" w14:textId="459AB2F1" w:rsidR="005229B0" w:rsidRPr="000A40E6" w:rsidRDefault="005229B0" w:rsidP="00F756C3">
      <w:pPr>
        <w:suppressAutoHyphens/>
        <w:spacing w:after="120"/>
        <w:rPr>
          <w:rFonts w:cs="Times New Roman"/>
          <w:b/>
          <w:szCs w:val="24"/>
        </w:rPr>
      </w:pPr>
    </w:p>
    <w:p w14:paraId="5ACFA090" w14:textId="2E2BBB71" w:rsidR="005229B0" w:rsidRPr="000A40E6" w:rsidRDefault="005229B0" w:rsidP="00F756C3">
      <w:pPr>
        <w:suppressAutoHyphens/>
        <w:spacing w:line="240" w:lineRule="atLeast"/>
        <w:ind w:firstLine="0"/>
        <w:jc w:val="center"/>
        <w:rPr>
          <w:rFonts w:cs="Times New Roman"/>
          <w:b/>
          <w:szCs w:val="24"/>
        </w:rPr>
      </w:pPr>
      <w:r w:rsidRPr="000A40E6">
        <w:rPr>
          <w:rFonts w:cs="Times New Roman"/>
          <w:noProof/>
          <w:szCs w:val="24"/>
          <w:lang w:eastAsia="tr-TR"/>
        </w:rPr>
        <w:drawing>
          <wp:inline distT="0" distB="0" distL="0" distR="0" wp14:anchorId="5EC2A48F" wp14:editId="604733FC">
            <wp:extent cx="5400000" cy="7617600"/>
            <wp:effectExtent l="0" t="0" r="0" b="254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00" cy="7617600"/>
                    </a:xfrm>
                    <a:prstGeom prst="rect">
                      <a:avLst/>
                    </a:prstGeom>
                  </pic:spPr>
                </pic:pic>
              </a:graphicData>
            </a:graphic>
          </wp:inline>
        </w:drawing>
      </w:r>
    </w:p>
    <w:p w14:paraId="44151809" w14:textId="77777777" w:rsidR="00CB7F3A" w:rsidRPr="000A40E6" w:rsidRDefault="00CB7F3A" w:rsidP="00F756C3">
      <w:pPr>
        <w:suppressAutoHyphens/>
        <w:spacing w:after="120"/>
        <w:rPr>
          <w:rFonts w:cs="Times New Roman"/>
          <w:b/>
          <w:szCs w:val="24"/>
        </w:rPr>
      </w:pPr>
    </w:p>
    <w:p w14:paraId="7847FB71" w14:textId="77777777" w:rsidR="00CB7F3A" w:rsidRPr="000A40E6" w:rsidRDefault="00CB7F3A" w:rsidP="00F756C3">
      <w:pPr>
        <w:suppressAutoHyphens/>
        <w:spacing w:after="120"/>
        <w:rPr>
          <w:rFonts w:cs="Times New Roman"/>
          <w:b/>
          <w:szCs w:val="24"/>
        </w:rPr>
      </w:pPr>
    </w:p>
    <w:p w14:paraId="7C8606A6" w14:textId="25A36E02" w:rsidR="00CB7F3A" w:rsidRPr="000A40E6" w:rsidRDefault="005229B0" w:rsidP="00F756C3">
      <w:pPr>
        <w:suppressAutoHyphens/>
        <w:spacing w:line="240" w:lineRule="atLeast"/>
        <w:ind w:firstLine="0"/>
        <w:jc w:val="center"/>
        <w:rPr>
          <w:rFonts w:cs="Times New Roman"/>
          <w:b/>
          <w:szCs w:val="24"/>
        </w:rPr>
      </w:pPr>
      <w:r w:rsidRPr="000A40E6">
        <w:rPr>
          <w:rFonts w:cs="Times New Roman"/>
          <w:noProof/>
          <w:szCs w:val="24"/>
          <w:lang w:eastAsia="tr-TR"/>
        </w:rPr>
        <w:drawing>
          <wp:inline distT="0" distB="0" distL="0" distR="0" wp14:anchorId="09C015AD" wp14:editId="169153C4">
            <wp:extent cx="5400000" cy="7617600"/>
            <wp:effectExtent l="0" t="0" r="0" b="254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00" cy="7617600"/>
                    </a:xfrm>
                    <a:prstGeom prst="rect">
                      <a:avLst/>
                    </a:prstGeom>
                  </pic:spPr>
                </pic:pic>
              </a:graphicData>
            </a:graphic>
          </wp:inline>
        </w:drawing>
      </w:r>
    </w:p>
    <w:p w14:paraId="3CB9FE06" w14:textId="2EEAF01B" w:rsidR="00F301EB" w:rsidRPr="000A40E6" w:rsidRDefault="00F301EB" w:rsidP="00F756C3">
      <w:pPr>
        <w:suppressAutoHyphens/>
        <w:spacing w:after="200" w:line="276" w:lineRule="auto"/>
        <w:ind w:firstLine="0"/>
        <w:jc w:val="left"/>
        <w:rPr>
          <w:rFonts w:eastAsia="Times New Roman" w:cs="Times New Roman"/>
          <w:b/>
          <w:szCs w:val="24"/>
          <w:lang w:eastAsia="tr-TR"/>
        </w:rPr>
      </w:pPr>
      <w:r w:rsidRPr="000A40E6">
        <w:rPr>
          <w:rFonts w:eastAsia="Times New Roman" w:cs="Times New Roman"/>
          <w:b/>
          <w:szCs w:val="24"/>
          <w:lang w:eastAsia="tr-TR"/>
        </w:rPr>
        <w:br w:type="page"/>
      </w:r>
    </w:p>
    <w:p w14:paraId="5208A7A9" w14:textId="77777777" w:rsidR="00154EB4" w:rsidRPr="000A40E6" w:rsidRDefault="00154EB4" w:rsidP="00154EB4">
      <w:pPr>
        <w:ind w:firstLine="0"/>
        <w:jc w:val="center"/>
        <w:rPr>
          <w:rFonts w:eastAsia="Times New Roman" w:cs="Times New Roman"/>
          <w:b/>
          <w:szCs w:val="24"/>
          <w:lang w:eastAsia="tr-TR"/>
        </w:rPr>
      </w:pPr>
      <w:r w:rsidRPr="000A40E6">
        <w:rPr>
          <w:rFonts w:eastAsia="Times New Roman" w:cs="Times New Roman"/>
          <w:b/>
          <w:szCs w:val="24"/>
          <w:lang w:eastAsia="tr-TR"/>
        </w:rPr>
        <w:t>T.C.</w:t>
      </w:r>
    </w:p>
    <w:p w14:paraId="3114E81F" w14:textId="77777777" w:rsidR="00154EB4" w:rsidRPr="000A40E6" w:rsidRDefault="00154EB4" w:rsidP="00154EB4">
      <w:pPr>
        <w:ind w:firstLine="0"/>
        <w:jc w:val="center"/>
        <w:rPr>
          <w:rFonts w:eastAsia="Times New Roman" w:cs="Times New Roman"/>
          <w:b/>
          <w:szCs w:val="24"/>
          <w:lang w:eastAsia="tr-TR"/>
        </w:rPr>
      </w:pPr>
      <w:r w:rsidRPr="000A40E6">
        <w:rPr>
          <w:rFonts w:eastAsia="Times New Roman" w:cs="Times New Roman"/>
          <w:b/>
          <w:szCs w:val="24"/>
          <w:lang w:eastAsia="tr-TR"/>
        </w:rPr>
        <w:t>AYDIN ADNAN MENDERES ÜNİVERSİTESİ</w:t>
      </w:r>
    </w:p>
    <w:p w14:paraId="0A19AC0E" w14:textId="77777777" w:rsidR="00154EB4" w:rsidRPr="000A40E6" w:rsidRDefault="00154EB4" w:rsidP="00154EB4">
      <w:pPr>
        <w:ind w:firstLine="0"/>
        <w:jc w:val="center"/>
        <w:rPr>
          <w:rFonts w:eastAsia="Times New Roman" w:cs="Times New Roman"/>
          <w:b/>
          <w:szCs w:val="24"/>
          <w:lang w:eastAsia="tr-TR"/>
        </w:rPr>
      </w:pPr>
      <w:r w:rsidRPr="000A40E6">
        <w:rPr>
          <w:rFonts w:eastAsia="Times New Roman" w:cs="Times New Roman"/>
          <w:b/>
          <w:szCs w:val="24"/>
          <w:lang w:eastAsia="tr-TR"/>
        </w:rPr>
        <w:t>SAĞLIK BİLİMLERİ ENSTİTÜSÜ</w:t>
      </w:r>
    </w:p>
    <w:p w14:paraId="15EA50CF" w14:textId="77777777" w:rsidR="00154EB4" w:rsidRPr="000A40E6" w:rsidRDefault="00154EB4" w:rsidP="00154EB4">
      <w:pPr>
        <w:spacing w:after="120"/>
        <w:ind w:firstLine="0"/>
        <w:jc w:val="center"/>
        <w:rPr>
          <w:rFonts w:eastAsia="Times New Roman" w:cs="Times New Roman"/>
          <w:b/>
          <w:szCs w:val="24"/>
          <w:lang w:eastAsia="tr-TR"/>
        </w:rPr>
      </w:pPr>
    </w:p>
    <w:p w14:paraId="592ABFC2" w14:textId="77777777" w:rsidR="00154EB4" w:rsidRPr="000A40E6" w:rsidRDefault="00154EB4" w:rsidP="00154EB4">
      <w:pPr>
        <w:spacing w:after="120"/>
        <w:ind w:firstLine="0"/>
        <w:jc w:val="center"/>
        <w:rPr>
          <w:rFonts w:eastAsia="Times New Roman" w:cs="Times New Roman"/>
          <w:b/>
          <w:sz w:val="28"/>
          <w:szCs w:val="24"/>
          <w:lang w:eastAsia="tr-TR"/>
        </w:rPr>
      </w:pPr>
      <w:r w:rsidRPr="000A40E6">
        <w:rPr>
          <w:rFonts w:eastAsia="Times New Roman" w:cs="Times New Roman"/>
          <w:b/>
          <w:sz w:val="28"/>
          <w:szCs w:val="24"/>
          <w:lang w:eastAsia="tr-TR"/>
        </w:rPr>
        <w:t>BİLİMSEL ETİK BEYANI</w:t>
      </w:r>
    </w:p>
    <w:p w14:paraId="580B55E8" w14:textId="77777777" w:rsidR="00154EB4" w:rsidRPr="000A40E6" w:rsidRDefault="00154EB4" w:rsidP="00154EB4">
      <w:pPr>
        <w:spacing w:after="120"/>
        <w:ind w:firstLine="0"/>
        <w:jc w:val="center"/>
        <w:rPr>
          <w:rFonts w:eastAsia="Times New Roman" w:cs="Times New Roman"/>
          <w:b/>
          <w:szCs w:val="24"/>
          <w:lang w:eastAsia="tr-TR"/>
        </w:rPr>
      </w:pPr>
    </w:p>
    <w:p w14:paraId="45EB9CB8" w14:textId="77777777" w:rsidR="00154EB4" w:rsidRPr="000A40E6" w:rsidRDefault="00154EB4" w:rsidP="00154EB4">
      <w:pPr>
        <w:spacing w:after="120"/>
        <w:ind w:firstLine="0"/>
        <w:jc w:val="center"/>
        <w:rPr>
          <w:rFonts w:eastAsia="Times New Roman" w:cs="Times New Roman"/>
          <w:b/>
          <w:szCs w:val="24"/>
          <w:lang w:eastAsia="tr-TR"/>
        </w:rPr>
      </w:pPr>
    </w:p>
    <w:p w14:paraId="46589CF4" w14:textId="325BA207" w:rsidR="00446598" w:rsidRPr="000A40E6" w:rsidRDefault="00446598" w:rsidP="00154EB4">
      <w:pPr>
        <w:suppressAutoHyphens/>
        <w:spacing w:after="120"/>
        <w:ind w:firstLine="0"/>
        <w:rPr>
          <w:rFonts w:eastAsia="Times New Roman" w:cs="Times New Roman"/>
          <w:szCs w:val="24"/>
          <w:lang w:eastAsia="tr-TR"/>
        </w:rPr>
      </w:pPr>
      <w:proofErr w:type="gramStart"/>
      <w:r w:rsidRPr="000A40E6">
        <w:rPr>
          <w:rFonts w:eastAsia="Times New Roman" w:cs="Times New Roman"/>
          <w:szCs w:val="24"/>
          <w:lang w:eastAsia="tr-TR"/>
        </w:rPr>
        <w:t>“</w:t>
      </w:r>
      <w:r w:rsidR="00BD426A" w:rsidRPr="000A40E6">
        <w:rPr>
          <w:rFonts w:eastAsia="Times New Roman" w:cs="Times New Roman"/>
          <w:szCs w:val="24"/>
          <w:lang w:eastAsia="tr-TR"/>
        </w:rPr>
        <w:t>Pubertal Dönem</w:t>
      </w:r>
      <w:r w:rsidR="002C33EF" w:rsidRPr="000A40E6">
        <w:rPr>
          <w:rFonts w:eastAsia="Times New Roman" w:cs="Times New Roman"/>
          <w:szCs w:val="24"/>
          <w:lang w:eastAsia="tr-TR"/>
        </w:rPr>
        <w:t>de Rapid Maksiller Ekspansiyon i</w:t>
      </w:r>
      <w:r w:rsidR="00BD426A" w:rsidRPr="000A40E6">
        <w:rPr>
          <w:rFonts w:eastAsia="Times New Roman" w:cs="Times New Roman"/>
          <w:szCs w:val="24"/>
          <w:lang w:eastAsia="tr-TR"/>
        </w:rPr>
        <w:t xml:space="preserve">le Tedavi Edilen Hastalarda Kemik Remodelinginin Diş Eti Oluğu Sıvısında İncelenmesi” başlıklı </w:t>
      </w:r>
      <w:r w:rsidRPr="000A40E6">
        <w:rPr>
          <w:rFonts w:eastAsia="Times New Roman" w:cs="Times New Roman"/>
          <w:szCs w:val="24"/>
          <w:lang w:eastAsia="tr-TR"/>
        </w:rPr>
        <w:t xml:space="preserve">Doktora tezimdeki bütün bilgileri etik davranış ve akademik kurallar çerçevesinde elde ettiğimi, tez yazım kurallarına uygun olarak hazırlanan bu çalışmada, bana ait olmayan her türlü ifade ve bilginin kaynağına eksiz atıf yaptığımı bildiririm. </w:t>
      </w:r>
      <w:proofErr w:type="gramEnd"/>
      <w:r w:rsidRPr="000A40E6">
        <w:rPr>
          <w:rFonts w:eastAsia="Times New Roman" w:cs="Times New Roman"/>
          <w:szCs w:val="24"/>
          <w:lang w:eastAsia="tr-TR"/>
        </w:rPr>
        <w:t>İfade ettiklerimin aksi ortaya çıktığında ise her türlü yasal sonucu kabul ettiğimi beyan ederim.</w:t>
      </w:r>
    </w:p>
    <w:p w14:paraId="508A0A44" w14:textId="77777777" w:rsidR="00446598" w:rsidRPr="000A40E6" w:rsidRDefault="00446598" w:rsidP="00154EB4">
      <w:pPr>
        <w:suppressAutoHyphens/>
        <w:spacing w:after="120"/>
        <w:ind w:firstLine="5670"/>
        <w:jc w:val="center"/>
        <w:rPr>
          <w:rFonts w:eastAsia="Times New Roman" w:cs="Times New Roman"/>
          <w:szCs w:val="24"/>
          <w:lang w:eastAsia="tr-TR"/>
        </w:rPr>
      </w:pPr>
    </w:p>
    <w:p w14:paraId="32D98BD6" w14:textId="482B1F77" w:rsidR="002A55FA" w:rsidRPr="000A40E6" w:rsidRDefault="002A55FA" w:rsidP="00154EB4">
      <w:pPr>
        <w:suppressAutoHyphens/>
        <w:spacing w:after="120"/>
        <w:ind w:firstLine="5670"/>
        <w:jc w:val="center"/>
        <w:rPr>
          <w:rFonts w:eastAsia="Times New Roman" w:cs="Times New Roman"/>
          <w:szCs w:val="24"/>
          <w:lang w:eastAsia="tr-TR"/>
        </w:rPr>
      </w:pPr>
      <w:r w:rsidRPr="000A40E6">
        <w:rPr>
          <w:rFonts w:eastAsia="Times New Roman" w:cs="Times New Roman"/>
          <w:szCs w:val="24"/>
          <w:lang w:eastAsia="tr-TR"/>
        </w:rPr>
        <w:t>Çimen GÜRAN</w:t>
      </w:r>
    </w:p>
    <w:p w14:paraId="0063AF4D" w14:textId="77777777" w:rsidR="00154EB4" w:rsidRPr="000A40E6" w:rsidRDefault="00154EB4" w:rsidP="00154EB4">
      <w:pPr>
        <w:suppressAutoHyphens/>
        <w:spacing w:after="120"/>
        <w:ind w:firstLine="5670"/>
        <w:jc w:val="center"/>
        <w:rPr>
          <w:rFonts w:eastAsia="Times New Roman" w:cs="Times New Roman"/>
          <w:szCs w:val="24"/>
          <w:lang w:eastAsia="tr-TR"/>
        </w:rPr>
      </w:pPr>
    </w:p>
    <w:p w14:paraId="3F355F12" w14:textId="21992F23" w:rsidR="00446598" w:rsidRPr="000A40E6" w:rsidRDefault="002A55FA" w:rsidP="00154EB4">
      <w:pPr>
        <w:suppressAutoHyphens/>
        <w:spacing w:after="120"/>
        <w:ind w:firstLine="5670"/>
        <w:jc w:val="center"/>
        <w:rPr>
          <w:rFonts w:eastAsia="Times New Roman" w:cs="Times New Roman"/>
          <w:szCs w:val="24"/>
          <w:lang w:eastAsia="tr-TR"/>
        </w:rPr>
      </w:pPr>
      <w:r w:rsidRPr="000A40E6">
        <w:rPr>
          <w:rFonts w:eastAsia="Times New Roman" w:cs="Times New Roman"/>
          <w:szCs w:val="24"/>
          <w:lang w:eastAsia="tr-TR"/>
        </w:rPr>
        <w:t>… / … /23</w:t>
      </w:r>
    </w:p>
    <w:p w14:paraId="7D8D1AD7" w14:textId="77777777" w:rsidR="00446598" w:rsidRPr="000A40E6" w:rsidRDefault="00446598" w:rsidP="00F756C3">
      <w:pPr>
        <w:suppressAutoHyphens/>
        <w:spacing w:after="120"/>
        <w:rPr>
          <w:rFonts w:cs="Times New Roman"/>
          <w:b/>
          <w:szCs w:val="24"/>
        </w:rPr>
      </w:pPr>
    </w:p>
    <w:p w14:paraId="294B9A20" w14:textId="77777777" w:rsidR="00446598" w:rsidRPr="000A40E6" w:rsidRDefault="00446598" w:rsidP="00F756C3">
      <w:pPr>
        <w:suppressAutoHyphens/>
        <w:spacing w:after="120"/>
        <w:rPr>
          <w:rFonts w:cs="Times New Roman"/>
          <w:b/>
          <w:szCs w:val="24"/>
        </w:rPr>
      </w:pPr>
    </w:p>
    <w:p w14:paraId="54648661" w14:textId="77777777" w:rsidR="00446598" w:rsidRPr="000A40E6" w:rsidRDefault="00446598" w:rsidP="00F756C3">
      <w:pPr>
        <w:suppressAutoHyphens/>
        <w:spacing w:after="120"/>
        <w:rPr>
          <w:rFonts w:cs="Times New Roman"/>
          <w:b/>
          <w:szCs w:val="24"/>
        </w:rPr>
      </w:pPr>
    </w:p>
    <w:p w14:paraId="2F841F64" w14:textId="77777777" w:rsidR="00446598" w:rsidRPr="000A40E6" w:rsidRDefault="00446598" w:rsidP="00F756C3">
      <w:pPr>
        <w:suppressAutoHyphens/>
        <w:spacing w:after="120"/>
        <w:rPr>
          <w:rFonts w:cs="Times New Roman"/>
          <w:b/>
          <w:szCs w:val="24"/>
        </w:rPr>
      </w:pPr>
    </w:p>
    <w:p w14:paraId="7AB5053C" w14:textId="49948E01" w:rsidR="00F301EB" w:rsidRPr="000A40E6" w:rsidRDefault="00F301EB" w:rsidP="00F756C3">
      <w:pPr>
        <w:suppressAutoHyphens/>
        <w:spacing w:after="200" w:line="276" w:lineRule="auto"/>
        <w:ind w:firstLine="0"/>
        <w:jc w:val="left"/>
        <w:rPr>
          <w:rFonts w:cs="Times New Roman"/>
          <w:b/>
          <w:szCs w:val="24"/>
        </w:rPr>
      </w:pPr>
      <w:r w:rsidRPr="000A40E6">
        <w:rPr>
          <w:rFonts w:cs="Times New Roman"/>
          <w:b/>
          <w:szCs w:val="24"/>
        </w:rPr>
        <w:br w:type="page"/>
      </w:r>
    </w:p>
    <w:p w14:paraId="0C85FB82" w14:textId="77777777" w:rsidR="0035197B" w:rsidRPr="000A40E6" w:rsidRDefault="0035197B" w:rsidP="00154EB4">
      <w:pPr>
        <w:suppressAutoHyphens/>
        <w:spacing w:after="120"/>
        <w:ind w:firstLine="0"/>
        <w:jc w:val="center"/>
        <w:rPr>
          <w:rFonts w:cs="Times New Roman"/>
          <w:b/>
          <w:sz w:val="28"/>
          <w:szCs w:val="24"/>
        </w:rPr>
      </w:pPr>
      <w:bookmarkStart w:id="158" w:name="_Toc136443438"/>
      <w:r w:rsidRPr="000A40E6">
        <w:rPr>
          <w:rFonts w:cs="Times New Roman"/>
          <w:b/>
          <w:sz w:val="28"/>
          <w:szCs w:val="24"/>
        </w:rPr>
        <w:t>ÖZ</w:t>
      </w:r>
      <w:r w:rsidR="00792BB3" w:rsidRPr="000A40E6">
        <w:rPr>
          <w:rFonts w:cs="Times New Roman"/>
          <w:b/>
          <w:sz w:val="28"/>
          <w:szCs w:val="24"/>
        </w:rPr>
        <w:t xml:space="preserve"> </w:t>
      </w:r>
      <w:r w:rsidRPr="000A40E6">
        <w:rPr>
          <w:rFonts w:cs="Times New Roman"/>
          <w:b/>
          <w:sz w:val="28"/>
          <w:szCs w:val="24"/>
        </w:rPr>
        <w:t>GEÇMİŞ</w:t>
      </w:r>
      <w:bookmarkEnd w:id="158"/>
    </w:p>
    <w:p w14:paraId="0B0E5FA7" w14:textId="77777777" w:rsidR="008A0776" w:rsidRPr="000A40E6" w:rsidRDefault="008A0776" w:rsidP="00F756C3">
      <w:pPr>
        <w:suppressAutoHyphens/>
        <w:spacing w:after="120"/>
        <w:rPr>
          <w:rFonts w:cs="Times New Roman"/>
          <w:szCs w:val="24"/>
        </w:rPr>
      </w:pPr>
    </w:p>
    <w:p w14:paraId="417850B3" w14:textId="77777777" w:rsidR="0035197B" w:rsidRPr="000A40E6" w:rsidRDefault="0035197B" w:rsidP="00F756C3">
      <w:pPr>
        <w:suppressAutoHyphens/>
        <w:spacing w:after="120"/>
        <w:rPr>
          <w:rFonts w:cs="Times New Roman"/>
          <w:szCs w:val="24"/>
        </w:rPr>
      </w:pPr>
    </w:p>
    <w:tbl>
      <w:tblPr>
        <w:tblW w:w="0" w:type="auto"/>
        <w:tblLook w:val="04A0" w:firstRow="1" w:lastRow="0" w:firstColumn="1" w:lastColumn="0" w:noHBand="0" w:noVBand="1"/>
      </w:tblPr>
      <w:tblGrid>
        <w:gridCol w:w="3227"/>
        <w:gridCol w:w="4252"/>
      </w:tblGrid>
      <w:tr w:rsidR="008A0776" w:rsidRPr="000A40E6" w14:paraId="0B981A40" w14:textId="77777777" w:rsidTr="00FD3E92">
        <w:trPr>
          <w:trHeight w:val="206"/>
        </w:trPr>
        <w:tc>
          <w:tcPr>
            <w:tcW w:w="3227" w:type="dxa"/>
            <w:hideMark/>
          </w:tcPr>
          <w:p w14:paraId="3FBCC45C" w14:textId="77777777" w:rsidR="008A0776" w:rsidRPr="000A40E6" w:rsidRDefault="008A0776" w:rsidP="00154EB4">
            <w:pPr>
              <w:suppressAutoHyphens/>
              <w:ind w:firstLine="0"/>
              <w:rPr>
                <w:rFonts w:cs="Times New Roman"/>
                <w:szCs w:val="24"/>
              </w:rPr>
            </w:pPr>
            <w:r w:rsidRPr="000A40E6">
              <w:rPr>
                <w:rFonts w:cs="Times New Roman"/>
                <w:b/>
                <w:szCs w:val="24"/>
                <w:lang w:val="en-US"/>
              </w:rPr>
              <w:t>Soyadı, Adı</w:t>
            </w:r>
          </w:p>
        </w:tc>
        <w:tc>
          <w:tcPr>
            <w:tcW w:w="4252" w:type="dxa"/>
            <w:hideMark/>
          </w:tcPr>
          <w:p w14:paraId="47C5D563" w14:textId="108909BE" w:rsidR="008A0776" w:rsidRPr="000A40E6" w:rsidRDefault="008A0776" w:rsidP="00154EB4">
            <w:pPr>
              <w:suppressAutoHyphens/>
              <w:ind w:firstLine="0"/>
              <w:rPr>
                <w:rFonts w:cs="Times New Roman"/>
                <w:szCs w:val="24"/>
              </w:rPr>
            </w:pPr>
            <w:r w:rsidRPr="000A40E6">
              <w:rPr>
                <w:rFonts w:cs="Times New Roman"/>
                <w:szCs w:val="24"/>
                <w:lang w:val="en-US"/>
              </w:rPr>
              <w:t xml:space="preserve">: </w:t>
            </w:r>
            <w:r w:rsidR="002106BE" w:rsidRPr="000A40E6">
              <w:rPr>
                <w:rFonts w:cs="Times New Roman"/>
                <w:szCs w:val="24"/>
                <w:lang w:val="en-US"/>
              </w:rPr>
              <w:t>G</w:t>
            </w:r>
            <w:r w:rsidR="00F33554" w:rsidRPr="000A40E6">
              <w:rPr>
                <w:rFonts w:cs="Times New Roman"/>
                <w:szCs w:val="24"/>
                <w:lang w:val="en-US"/>
              </w:rPr>
              <w:t>ÜRAN Çimen</w:t>
            </w:r>
          </w:p>
        </w:tc>
      </w:tr>
      <w:tr w:rsidR="008A0776" w:rsidRPr="000A40E6" w14:paraId="7E9FF92B" w14:textId="77777777" w:rsidTr="00FD3E92">
        <w:tc>
          <w:tcPr>
            <w:tcW w:w="3227" w:type="dxa"/>
            <w:hideMark/>
          </w:tcPr>
          <w:p w14:paraId="6533B036" w14:textId="77777777" w:rsidR="008A0776" w:rsidRPr="000A40E6" w:rsidRDefault="008A0776" w:rsidP="00154EB4">
            <w:pPr>
              <w:tabs>
                <w:tab w:val="left" w:pos="3261"/>
              </w:tabs>
              <w:suppressAutoHyphens/>
              <w:ind w:firstLine="0"/>
              <w:rPr>
                <w:rFonts w:cs="Times New Roman"/>
                <w:szCs w:val="24"/>
                <w:lang w:val="en-US"/>
              </w:rPr>
            </w:pPr>
            <w:r w:rsidRPr="000A40E6">
              <w:rPr>
                <w:rFonts w:cs="Times New Roman"/>
                <w:b/>
                <w:szCs w:val="24"/>
                <w:lang w:val="en-US"/>
              </w:rPr>
              <w:t>Uyruk</w:t>
            </w:r>
            <w:r w:rsidRPr="000A40E6">
              <w:rPr>
                <w:rFonts w:cs="Times New Roman"/>
                <w:szCs w:val="24"/>
                <w:lang w:val="en-US"/>
              </w:rPr>
              <w:tab/>
              <w:t xml:space="preserve">  .</w:t>
            </w:r>
          </w:p>
        </w:tc>
        <w:tc>
          <w:tcPr>
            <w:tcW w:w="4252" w:type="dxa"/>
            <w:hideMark/>
          </w:tcPr>
          <w:p w14:paraId="0AFBF2D8" w14:textId="77777777" w:rsidR="008A0776" w:rsidRPr="000A40E6" w:rsidRDefault="008A0776" w:rsidP="00154EB4">
            <w:pPr>
              <w:suppressAutoHyphens/>
              <w:ind w:firstLine="0"/>
              <w:rPr>
                <w:rFonts w:cs="Times New Roman"/>
                <w:szCs w:val="24"/>
              </w:rPr>
            </w:pPr>
            <w:r w:rsidRPr="000A40E6">
              <w:rPr>
                <w:rFonts w:cs="Times New Roman"/>
                <w:szCs w:val="24"/>
                <w:lang w:val="en-US"/>
              </w:rPr>
              <w:t>: T.C.</w:t>
            </w:r>
          </w:p>
        </w:tc>
      </w:tr>
      <w:tr w:rsidR="008A0776" w:rsidRPr="000A40E6" w14:paraId="52937FB2" w14:textId="77777777" w:rsidTr="00FD3E92">
        <w:tc>
          <w:tcPr>
            <w:tcW w:w="3227" w:type="dxa"/>
            <w:hideMark/>
          </w:tcPr>
          <w:p w14:paraId="5A26E95F" w14:textId="77777777" w:rsidR="008A0776" w:rsidRPr="000A40E6" w:rsidRDefault="008A0776" w:rsidP="00154EB4">
            <w:pPr>
              <w:tabs>
                <w:tab w:val="left" w:pos="3402"/>
              </w:tabs>
              <w:suppressAutoHyphens/>
              <w:ind w:firstLine="0"/>
              <w:rPr>
                <w:rFonts w:cs="Times New Roman"/>
                <w:szCs w:val="24"/>
                <w:lang w:val="en-US"/>
              </w:rPr>
            </w:pPr>
            <w:r w:rsidRPr="000A40E6">
              <w:rPr>
                <w:rFonts w:cs="Times New Roman"/>
                <w:b/>
                <w:szCs w:val="24"/>
                <w:lang w:val="en-US"/>
              </w:rPr>
              <w:t>Doğum yeri ve tarihi</w:t>
            </w:r>
          </w:p>
        </w:tc>
        <w:tc>
          <w:tcPr>
            <w:tcW w:w="4252" w:type="dxa"/>
            <w:hideMark/>
          </w:tcPr>
          <w:p w14:paraId="21D3BA01" w14:textId="1DCAF151" w:rsidR="008A0776" w:rsidRPr="000A40E6" w:rsidRDefault="00792BB3" w:rsidP="00154EB4">
            <w:pPr>
              <w:suppressAutoHyphens/>
              <w:ind w:firstLine="0"/>
              <w:rPr>
                <w:rFonts w:cs="Times New Roman"/>
                <w:szCs w:val="24"/>
              </w:rPr>
            </w:pPr>
            <w:r w:rsidRPr="000A40E6">
              <w:rPr>
                <w:rFonts w:cs="Times New Roman"/>
                <w:szCs w:val="24"/>
                <w:lang w:val="en-US"/>
              </w:rPr>
              <w:t xml:space="preserve">: </w:t>
            </w:r>
            <w:r w:rsidR="000D25CD" w:rsidRPr="000A40E6">
              <w:rPr>
                <w:rFonts w:cs="Times New Roman"/>
                <w:szCs w:val="24"/>
                <w:lang w:val="en-US"/>
              </w:rPr>
              <w:t>Marmaris/ 08.05.1992</w:t>
            </w:r>
          </w:p>
        </w:tc>
      </w:tr>
      <w:tr w:rsidR="00792BB3" w:rsidRPr="000A40E6" w14:paraId="7F8254AE" w14:textId="77777777" w:rsidTr="00FD3E92">
        <w:tc>
          <w:tcPr>
            <w:tcW w:w="3227" w:type="dxa"/>
          </w:tcPr>
          <w:p w14:paraId="7F96A681" w14:textId="0CB22484" w:rsidR="00792BB3" w:rsidRPr="000A40E6" w:rsidRDefault="001D5E11" w:rsidP="00154EB4">
            <w:pPr>
              <w:tabs>
                <w:tab w:val="left" w:pos="3402"/>
              </w:tabs>
              <w:suppressAutoHyphens/>
              <w:ind w:firstLine="0"/>
              <w:rPr>
                <w:rFonts w:cs="Times New Roman"/>
                <w:b/>
                <w:szCs w:val="24"/>
                <w:lang w:val="en-US"/>
              </w:rPr>
            </w:pPr>
            <w:r w:rsidRPr="000A40E6">
              <w:rPr>
                <w:rFonts w:cs="Times New Roman"/>
                <w:b/>
                <w:szCs w:val="24"/>
                <w:lang w:val="en-US"/>
              </w:rPr>
              <w:t>E-posta</w:t>
            </w:r>
          </w:p>
        </w:tc>
        <w:tc>
          <w:tcPr>
            <w:tcW w:w="4252" w:type="dxa"/>
          </w:tcPr>
          <w:p w14:paraId="517E90B5" w14:textId="6F9B97D6" w:rsidR="00792BB3" w:rsidRPr="000A40E6" w:rsidRDefault="001D5E11" w:rsidP="00154EB4">
            <w:pPr>
              <w:suppressAutoHyphens/>
              <w:ind w:firstLine="0"/>
              <w:rPr>
                <w:rFonts w:cs="Times New Roman"/>
                <w:szCs w:val="24"/>
                <w:lang w:val="en-US"/>
              </w:rPr>
            </w:pPr>
            <w:r w:rsidRPr="000A40E6">
              <w:rPr>
                <w:rFonts w:cs="Times New Roman"/>
                <w:szCs w:val="24"/>
                <w:lang w:val="en-US"/>
              </w:rPr>
              <w:t>: dtcimen@windowslive.com</w:t>
            </w:r>
          </w:p>
        </w:tc>
      </w:tr>
      <w:tr w:rsidR="008A0776" w:rsidRPr="000A40E6" w14:paraId="4DA38952" w14:textId="77777777" w:rsidTr="00FD3E92">
        <w:tc>
          <w:tcPr>
            <w:tcW w:w="3227" w:type="dxa"/>
            <w:hideMark/>
          </w:tcPr>
          <w:p w14:paraId="45F78AC0" w14:textId="292F846B" w:rsidR="008A0776" w:rsidRPr="000A40E6" w:rsidRDefault="001D5E11" w:rsidP="00154EB4">
            <w:pPr>
              <w:tabs>
                <w:tab w:val="left" w:pos="3261"/>
                <w:tab w:val="left" w:pos="3402"/>
              </w:tabs>
              <w:suppressAutoHyphens/>
              <w:ind w:firstLine="0"/>
              <w:rPr>
                <w:rFonts w:cs="Times New Roman"/>
                <w:szCs w:val="24"/>
                <w:lang w:val="en-US"/>
              </w:rPr>
            </w:pPr>
            <w:r w:rsidRPr="000A40E6">
              <w:rPr>
                <w:rFonts w:cs="Times New Roman"/>
                <w:b/>
                <w:szCs w:val="24"/>
                <w:lang w:val="en-US"/>
              </w:rPr>
              <w:t>Yabancı dil</w:t>
            </w:r>
          </w:p>
        </w:tc>
        <w:tc>
          <w:tcPr>
            <w:tcW w:w="4252" w:type="dxa"/>
            <w:hideMark/>
          </w:tcPr>
          <w:p w14:paraId="4492C530" w14:textId="23CBB5BD" w:rsidR="008A0776" w:rsidRPr="000A40E6" w:rsidRDefault="008A0776" w:rsidP="00154EB4">
            <w:pPr>
              <w:suppressAutoHyphens/>
              <w:ind w:firstLine="0"/>
              <w:rPr>
                <w:rFonts w:cs="Times New Roman"/>
                <w:szCs w:val="24"/>
              </w:rPr>
            </w:pPr>
            <w:r w:rsidRPr="000A40E6">
              <w:rPr>
                <w:rFonts w:cs="Times New Roman"/>
                <w:szCs w:val="24"/>
                <w:lang w:val="en-US"/>
              </w:rPr>
              <w:t xml:space="preserve">: </w:t>
            </w:r>
            <w:r w:rsidR="001D5E11" w:rsidRPr="000A40E6">
              <w:rPr>
                <w:rFonts w:cs="Times New Roman"/>
                <w:szCs w:val="24"/>
                <w:lang w:val="en-US"/>
              </w:rPr>
              <w:t>İngilizce</w:t>
            </w:r>
          </w:p>
        </w:tc>
      </w:tr>
    </w:tbl>
    <w:p w14:paraId="1E329D4F" w14:textId="77777777" w:rsidR="008A0776" w:rsidRPr="000A40E6" w:rsidRDefault="008A0776" w:rsidP="00154EB4">
      <w:pPr>
        <w:tabs>
          <w:tab w:val="left" w:pos="3261"/>
        </w:tabs>
        <w:suppressAutoHyphens/>
        <w:spacing w:after="120"/>
        <w:ind w:firstLine="0"/>
        <w:rPr>
          <w:rFonts w:cs="Times New Roman"/>
          <w:szCs w:val="24"/>
          <w:lang w:val="en-US"/>
        </w:rPr>
      </w:pPr>
    </w:p>
    <w:p w14:paraId="16C9A769" w14:textId="77777777" w:rsidR="00B4769A" w:rsidRPr="000A40E6" w:rsidRDefault="00B4769A" w:rsidP="00154EB4">
      <w:pPr>
        <w:tabs>
          <w:tab w:val="left" w:pos="3360"/>
        </w:tabs>
        <w:suppressAutoHyphens/>
        <w:spacing w:after="120"/>
        <w:ind w:firstLine="0"/>
        <w:rPr>
          <w:rFonts w:eastAsia="Times New Roman" w:cs="Times New Roman"/>
          <w:szCs w:val="24"/>
        </w:rPr>
      </w:pPr>
      <w:r w:rsidRPr="000A40E6">
        <w:rPr>
          <w:rFonts w:eastAsia="Times New Roman" w:cs="Times New Roman"/>
          <w:b/>
          <w:szCs w:val="24"/>
        </w:rPr>
        <w:t>EĞİTİM</w:t>
      </w:r>
    </w:p>
    <w:p w14:paraId="5128141A" w14:textId="77777777" w:rsidR="00B4769A" w:rsidRPr="000A40E6" w:rsidRDefault="00B4769A" w:rsidP="00154EB4">
      <w:pPr>
        <w:tabs>
          <w:tab w:val="left" w:pos="3360"/>
        </w:tabs>
        <w:suppressAutoHyphens/>
        <w:spacing w:after="120"/>
        <w:ind w:firstLine="0"/>
        <w:rPr>
          <w:rFonts w:eastAsia="Times New Roman" w:cs="Times New Roman"/>
          <w:szCs w:val="24"/>
        </w:rPr>
      </w:pPr>
    </w:p>
    <w:tbl>
      <w:tblPr>
        <w:tblW w:w="5000" w:type="pct"/>
        <w:tblLook w:val="04A0" w:firstRow="1" w:lastRow="0" w:firstColumn="1" w:lastColumn="0" w:noHBand="0" w:noVBand="1"/>
      </w:tblPr>
      <w:tblGrid>
        <w:gridCol w:w="1242"/>
        <w:gridCol w:w="5955"/>
        <w:gridCol w:w="2090"/>
      </w:tblGrid>
      <w:tr w:rsidR="002863ED" w:rsidRPr="000A40E6" w14:paraId="4F7ED267" w14:textId="77777777" w:rsidTr="00726891">
        <w:trPr>
          <w:trHeight w:val="20"/>
        </w:trPr>
        <w:tc>
          <w:tcPr>
            <w:tcW w:w="1242" w:type="dxa"/>
            <w:tcBorders>
              <w:top w:val="single" w:sz="4" w:space="0" w:color="auto"/>
              <w:bottom w:val="single" w:sz="4" w:space="0" w:color="auto"/>
            </w:tcBorders>
          </w:tcPr>
          <w:p w14:paraId="099802B0" w14:textId="77777777" w:rsidR="002863ED" w:rsidRPr="000A40E6" w:rsidRDefault="002863ED" w:rsidP="00154EB4">
            <w:pPr>
              <w:tabs>
                <w:tab w:val="left" w:pos="3360"/>
              </w:tabs>
              <w:suppressAutoHyphens/>
              <w:ind w:firstLine="0"/>
              <w:rPr>
                <w:rFonts w:eastAsia="Times New Roman" w:cs="Times New Roman"/>
                <w:b/>
                <w:szCs w:val="24"/>
              </w:rPr>
            </w:pPr>
            <w:r w:rsidRPr="000A40E6">
              <w:rPr>
                <w:rFonts w:eastAsia="Times New Roman" w:cs="Times New Roman"/>
                <w:b/>
                <w:szCs w:val="24"/>
              </w:rPr>
              <w:t>Derece</w:t>
            </w:r>
          </w:p>
        </w:tc>
        <w:tc>
          <w:tcPr>
            <w:tcW w:w="5955" w:type="dxa"/>
            <w:tcBorders>
              <w:top w:val="single" w:sz="4" w:space="0" w:color="auto"/>
              <w:bottom w:val="single" w:sz="4" w:space="0" w:color="auto"/>
            </w:tcBorders>
          </w:tcPr>
          <w:p w14:paraId="27ABDA3A" w14:textId="77777777" w:rsidR="002863ED" w:rsidRPr="000A40E6" w:rsidRDefault="002863ED" w:rsidP="00154EB4">
            <w:pPr>
              <w:tabs>
                <w:tab w:val="left" w:pos="3360"/>
              </w:tabs>
              <w:suppressAutoHyphens/>
              <w:ind w:firstLine="0"/>
              <w:rPr>
                <w:rFonts w:eastAsia="Times New Roman" w:cs="Times New Roman"/>
                <w:b/>
                <w:szCs w:val="24"/>
              </w:rPr>
            </w:pPr>
            <w:r w:rsidRPr="000A40E6">
              <w:rPr>
                <w:rFonts w:eastAsia="Times New Roman" w:cs="Times New Roman"/>
                <w:b/>
                <w:szCs w:val="24"/>
              </w:rPr>
              <w:t>Kurum</w:t>
            </w:r>
          </w:p>
        </w:tc>
        <w:tc>
          <w:tcPr>
            <w:tcW w:w="2090" w:type="dxa"/>
            <w:tcBorders>
              <w:top w:val="single" w:sz="4" w:space="0" w:color="auto"/>
              <w:bottom w:val="single" w:sz="4" w:space="0" w:color="auto"/>
            </w:tcBorders>
          </w:tcPr>
          <w:p w14:paraId="06DFB712" w14:textId="77777777" w:rsidR="002863ED" w:rsidRPr="000A40E6" w:rsidRDefault="002863ED" w:rsidP="00154EB4">
            <w:pPr>
              <w:tabs>
                <w:tab w:val="left" w:pos="3360"/>
              </w:tabs>
              <w:suppressAutoHyphens/>
              <w:ind w:firstLine="0"/>
              <w:rPr>
                <w:rFonts w:eastAsia="Times New Roman" w:cs="Times New Roman"/>
                <w:b/>
                <w:szCs w:val="24"/>
              </w:rPr>
            </w:pPr>
            <w:r w:rsidRPr="000A40E6">
              <w:rPr>
                <w:rFonts w:eastAsia="Times New Roman" w:cs="Times New Roman"/>
                <w:b/>
                <w:szCs w:val="24"/>
              </w:rPr>
              <w:t>Mezuniyet tarihi</w:t>
            </w:r>
          </w:p>
        </w:tc>
      </w:tr>
      <w:tr w:rsidR="002863ED" w:rsidRPr="000A40E6" w14:paraId="096E9203" w14:textId="77777777" w:rsidTr="00726891">
        <w:trPr>
          <w:trHeight w:val="20"/>
        </w:trPr>
        <w:tc>
          <w:tcPr>
            <w:tcW w:w="1242" w:type="dxa"/>
            <w:tcBorders>
              <w:top w:val="single" w:sz="4" w:space="0" w:color="auto"/>
            </w:tcBorders>
          </w:tcPr>
          <w:p w14:paraId="4F5AA158" w14:textId="77777777" w:rsidR="002863ED" w:rsidRPr="000A40E6" w:rsidRDefault="002863ED" w:rsidP="00726891">
            <w:pPr>
              <w:tabs>
                <w:tab w:val="left" w:pos="3360"/>
              </w:tabs>
              <w:suppressAutoHyphens/>
              <w:ind w:firstLine="0"/>
              <w:jc w:val="left"/>
              <w:rPr>
                <w:rFonts w:eastAsia="Times New Roman" w:cs="Times New Roman"/>
                <w:szCs w:val="24"/>
              </w:rPr>
            </w:pPr>
            <w:r w:rsidRPr="000A40E6">
              <w:rPr>
                <w:rFonts w:eastAsia="Times New Roman" w:cs="Times New Roman"/>
                <w:szCs w:val="24"/>
              </w:rPr>
              <w:t>Doktora</w:t>
            </w:r>
          </w:p>
        </w:tc>
        <w:tc>
          <w:tcPr>
            <w:tcW w:w="5955" w:type="dxa"/>
            <w:tcBorders>
              <w:top w:val="single" w:sz="4" w:space="0" w:color="auto"/>
            </w:tcBorders>
            <w:vAlign w:val="center"/>
          </w:tcPr>
          <w:p w14:paraId="62EC8455" w14:textId="6B555D21" w:rsidR="002863ED" w:rsidRPr="000A40E6" w:rsidRDefault="004F2E76" w:rsidP="00154EB4">
            <w:pPr>
              <w:tabs>
                <w:tab w:val="left" w:pos="3360"/>
              </w:tabs>
              <w:suppressAutoHyphens/>
              <w:ind w:firstLine="0"/>
              <w:rPr>
                <w:rFonts w:eastAsia="Times New Roman" w:cs="Times New Roman"/>
                <w:szCs w:val="24"/>
              </w:rPr>
            </w:pPr>
            <w:r w:rsidRPr="000A40E6">
              <w:rPr>
                <w:rFonts w:cs="Times New Roman"/>
                <w:szCs w:val="24"/>
              </w:rPr>
              <w:t xml:space="preserve">Aydın </w:t>
            </w:r>
            <w:r w:rsidR="0090334E" w:rsidRPr="000A40E6">
              <w:rPr>
                <w:rFonts w:cs="Times New Roman"/>
                <w:szCs w:val="24"/>
              </w:rPr>
              <w:t>Adnan Menderes Üniversitesi Diş Hekimliği Fakültesi Ortodonti Anabilim Dal</w:t>
            </w:r>
            <w:r w:rsidR="0090334E" w:rsidRPr="000A40E6">
              <w:rPr>
                <w:rFonts w:eastAsia="Times New Roman" w:cs="Times New Roman"/>
                <w:szCs w:val="24"/>
              </w:rPr>
              <w:t>ı</w:t>
            </w:r>
          </w:p>
        </w:tc>
        <w:tc>
          <w:tcPr>
            <w:tcW w:w="2090" w:type="dxa"/>
            <w:tcBorders>
              <w:top w:val="single" w:sz="4" w:space="0" w:color="auto"/>
            </w:tcBorders>
          </w:tcPr>
          <w:p w14:paraId="269DA924" w14:textId="1EF7B3A5" w:rsidR="002863ED" w:rsidRPr="000A40E6" w:rsidRDefault="0090334E" w:rsidP="00726891">
            <w:pPr>
              <w:tabs>
                <w:tab w:val="left" w:pos="3360"/>
              </w:tabs>
              <w:suppressAutoHyphens/>
              <w:ind w:firstLine="0"/>
              <w:jc w:val="left"/>
              <w:rPr>
                <w:rFonts w:eastAsia="Times New Roman" w:cs="Times New Roman"/>
                <w:szCs w:val="24"/>
              </w:rPr>
            </w:pPr>
            <w:r w:rsidRPr="000A40E6">
              <w:rPr>
                <w:rFonts w:eastAsia="Times New Roman" w:cs="Times New Roman"/>
                <w:szCs w:val="24"/>
              </w:rPr>
              <w:t>2023</w:t>
            </w:r>
          </w:p>
        </w:tc>
      </w:tr>
      <w:tr w:rsidR="002863ED" w:rsidRPr="000A40E6" w14:paraId="22585D1B" w14:textId="77777777" w:rsidTr="00726891">
        <w:trPr>
          <w:trHeight w:val="20"/>
        </w:trPr>
        <w:tc>
          <w:tcPr>
            <w:tcW w:w="1242" w:type="dxa"/>
          </w:tcPr>
          <w:p w14:paraId="71E43EF3" w14:textId="77777777" w:rsidR="002863ED" w:rsidRPr="000A40E6" w:rsidRDefault="002863ED" w:rsidP="00726891">
            <w:pPr>
              <w:tabs>
                <w:tab w:val="left" w:pos="3360"/>
              </w:tabs>
              <w:suppressAutoHyphens/>
              <w:ind w:firstLine="0"/>
              <w:jc w:val="left"/>
              <w:rPr>
                <w:rFonts w:eastAsia="Times New Roman" w:cs="Times New Roman"/>
                <w:szCs w:val="24"/>
              </w:rPr>
            </w:pPr>
            <w:r w:rsidRPr="000A40E6">
              <w:rPr>
                <w:rFonts w:eastAsia="Times New Roman" w:cs="Times New Roman"/>
                <w:szCs w:val="24"/>
              </w:rPr>
              <w:t>Y. Lisans</w:t>
            </w:r>
          </w:p>
        </w:tc>
        <w:tc>
          <w:tcPr>
            <w:tcW w:w="5955" w:type="dxa"/>
            <w:vAlign w:val="center"/>
          </w:tcPr>
          <w:p w14:paraId="5C4FE384" w14:textId="280FFEC5" w:rsidR="002863ED" w:rsidRPr="000A40E6" w:rsidRDefault="00BA1097" w:rsidP="00726891">
            <w:pPr>
              <w:tabs>
                <w:tab w:val="left" w:pos="3360"/>
              </w:tabs>
              <w:suppressAutoHyphens/>
              <w:ind w:firstLine="0"/>
              <w:rPr>
                <w:rFonts w:eastAsia="Times New Roman" w:cs="Times New Roman"/>
                <w:szCs w:val="24"/>
              </w:rPr>
            </w:pPr>
            <w:r w:rsidRPr="000A40E6">
              <w:rPr>
                <w:rFonts w:eastAsia="Times New Roman" w:cs="Times New Roman"/>
                <w:szCs w:val="24"/>
              </w:rPr>
              <w:t>Başkent Üniversitesi Diş Hekimliği Fakültesi</w:t>
            </w:r>
          </w:p>
        </w:tc>
        <w:tc>
          <w:tcPr>
            <w:tcW w:w="2090" w:type="dxa"/>
          </w:tcPr>
          <w:p w14:paraId="7FD826E0" w14:textId="1FB39251" w:rsidR="002863ED" w:rsidRPr="000A40E6" w:rsidRDefault="00BA1097" w:rsidP="00726891">
            <w:pPr>
              <w:tabs>
                <w:tab w:val="left" w:pos="3360"/>
              </w:tabs>
              <w:suppressAutoHyphens/>
              <w:ind w:firstLine="0"/>
              <w:jc w:val="left"/>
              <w:rPr>
                <w:rFonts w:eastAsia="Times New Roman" w:cs="Times New Roman"/>
                <w:szCs w:val="24"/>
              </w:rPr>
            </w:pPr>
            <w:r w:rsidRPr="000A40E6">
              <w:rPr>
                <w:rFonts w:eastAsia="Times New Roman" w:cs="Times New Roman"/>
                <w:szCs w:val="24"/>
              </w:rPr>
              <w:t>2015</w:t>
            </w:r>
          </w:p>
        </w:tc>
      </w:tr>
      <w:tr w:rsidR="002863ED" w:rsidRPr="000A40E6" w14:paraId="014BBFC2" w14:textId="77777777" w:rsidTr="00726891">
        <w:trPr>
          <w:trHeight w:val="20"/>
        </w:trPr>
        <w:tc>
          <w:tcPr>
            <w:tcW w:w="1242" w:type="dxa"/>
            <w:tcBorders>
              <w:bottom w:val="single" w:sz="4" w:space="0" w:color="auto"/>
            </w:tcBorders>
          </w:tcPr>
          <w:p w14:paraId="32F8A6DB" w14:textId="77777777" w:rsidR="002863ED" w:rsidRPr="000A40E6" w:rsidRDefault="002863ED" w:rsidP="00726891">
            <w:pPr>
              <w:tabs>
                <w:tab w:val="left" w:pos="3360"/>
              </w:tabs>
              <w:suppressAutoHyphens/>
              <w:ind w:firstLine="0"/>
              <w:jc w:val="left"/>
              <w:rPr>
                <w:rFonts w:eastAsia="Times New Roman" w:cs="Times New Roman"/>
                <w:szCs w:val="24"/>
              </w:rPr>
            </w:pPr>
            <w:r w:rsidRPr="000A40E6">
              <w:rPr>
                <w:rFonts w:eastAsia="Times New Roman" w:cs="Times New Roman"/>
                <w:szCs w:val="24"/>
              </w:rPr>
              <w:t>Lisans</w:t>
            </w:r>
          </w:p>
        </w:tc>
        <w:tc>
          <w:tcPr>
            <w:tcW w:w="5955" w:type="dxa"/>
            <w:tcBorders>
              <w:bottom w:val="single" w:sz="4" w:space="0" w:color="auto"/>
            </w:tcBorders>
            <w:vAlign w:val="center"/>
          </w:tcPr>
          <w:p w14:paraId="0825F56E" w14:textId="550E1B8F" w:rsidR="002863ED" w:rsidRPr="000A40E6" w:rsidRDefault="00BA1097" w:rsidP="00154EB4">
            <w:pPr>
              <w:tabs>
                <w:tab w:val="left" w:pos="3360"/>
              </w:tabs>
              <w:suppressAutoHyphens/>
              <w:ind w:firstLine="0"/>
              <w:rPr>
                <w:rFonts w:eastAsia="Times New Roman" w:cs="Times New Roman"/>
                <w:szCs w:val="24"/>
              </w:rPr>
            </w:pPr>
            <w:r w:rsidRPr="000A40E6">
              <w:rPr>
                <w:rFonts w:eastAsia="Times New Roman" w:cs="Times New Roman"/>
                <w:szCs w:val="24"/>
              </w:rPr>
              <w:t>Başkent Üniversitesi Diş Hekimliği Fakültesi</w:t>
            </w:r>
          </w:p>
        </w:tc>
        <w:tc>
          <w:tcPr>
            <w:tcW w:w="2090" w:type="dxa"/>
            <w:tcBorders>
              <w:bottom w:val="single" w:sz="4" w:space="0" w:color="auto"/>
            </w:tcBorders>
          </w:tcPr>
          <w:p w14:paraId="33453695" w14:textId="4700EAF1" w:rsidR="002863ED" w:rsidRPr="000A40E6" w:rsidRDefault="00BA1097" w:rsidP="00726891">
            <w:pPr>
              <w:tabs>
                <w:tab w:val="left" w:pos="3360"/>
              </w:tabs>
              <w:suppressAutoHyphens/>
              <w:ind w:firstLine="0"/>
              <w:jc w:val="left"/>
              <w:rPr>
                <w:rFonts w:eastAsia="Times New Roman" w:cs="Times New Roman"/>
                <w:szCs w:val="24"/>
              </w:rPr>
            </w:pPr>
            <w:r w:rsidRPr="000A40E6">
              <w:rPr>
                <w:rFonts w:eastAsia="Times New Roman" w:cs="Times New Roman"/>
                <w:szCs w:val="24"/>
              </w:rPr>
              <w:t>2015</w:t>
            </w:r>
          </w:p>
        </w:tc>
      </w:tr>
      <w:bookmarkEnd w:id="154"/>
      <w:bookmarkEnd w:id="155"/>
      <w:bookmarkEnd w:id="156"/>
      <w:bookmarkEnd w:id="157"/>
    </w:tbl>
    <w:p w14:paraId="0847FC20" w14:textId="77777777" w:rsidR="00154EB4" w:rsidRPr="000A40E6" w:rsidRDefault="00154EB4" w:rsidP="00154EB4">
      <w:pPr>
        <w:tabs>
          <w:tab w:val="left" w:pos="3360"/>
        </w:tabs>
        <w:spacing w:after="120"/>
        <w:rPr>
          <w:rFonts w:eastAsia="Times New Roman" w:cs="Times New Roman"/>
          <w:szCs w:val="24"/>
        </w:rPr>
      </w:pPr>
    </w:p>
    <w:p w14:paraId="4C9FFF69" w14:textId="77777777" w:rsidR="00154EB4" w:rsidRPr="000A40E6" w:rsidRDefault="00154EB4" w:rsidP="00154EB4">
      <w:pPr>
        <w:tabs>
          <w:tab w:val="left" w:pos="3360"/>
        </w:tabs>
        <w:spacing w:after="120"/>
        <w:ind w:firstLine="0"/>
        <w:rPr>
          <w:rFonts w:eastAsia="Times New Roman" w:cs="Times New Roman"/>
          <w:b/>
          <w:szCs w:val="24"/>
        </w:rPr>
      </w:pPr>
      <w:r w:rsidRPr="000A40E6">
        <w:rPr>
          <w:rFonts w:eastAsia="Times New Roman" w:cs="Times New Roman"/>
          <w:b/>
          <w:szCs w:val="24"/>
        </w:rPr>
        <w:t>BURSLAR ve ÖDÜLLER</w:t>
      </w:r>
    </w:p>
    <w:p w14:paraId="31164A4B" w14:textId="77777777" w:rsidR="00154EB4" w:rsidRPr="000A40E6" w:rsidRDefault="00154EB4" w:rsidP="00154EB4">
      <w:pPr>
        <w:widowControl w:val="0"/>
        <w:spacing w:after="120"/>
        <w:ind w:firstLine="0"/>
        <w:rPr>
          <w:rFonts w:eastAsia="Times New Roman" w:cs="Times New Roman"/>
          <w:b/>
          <w:bCs/>
          <w:szCs w:val="24"/>
        </w:rPr>
      </w:pPr>
    </w:p>
    <w:p w14:paraId="3F2CEF58" w14:textId="77777777" w:rsidR="00154EB4" w:rsidRPr="000A40E6" w:rsidRDefault="00154EB4" w:rsidP="00154EB4">
      <w:pPr>
        <w:tabs>
          <w:tab w:val="left" w:pos="3360"/>
        </w:tabs>
        <w:spacing w:after="120"/>
        <w:ind w:firstLine="0"/>
        <w:rPr>
          <w:rFonts w:eastAsia="Times New Roman" w:cs="Times New Roman"/>
          <w:b/>
          <w:szCs w:val="24"/>
        </w:rPr>
      </w:pPr>
      <w:r w:rsidRPr="000A40E6">
        <w:rPr>
          <w:rFonts w:eastAsia="Times New Roman" w:cs="Times New Roman"/>
          <w:b/>
          <w:szCs w:val="24"/>
        </w:rPr>
        <w:t>İŞ DENEYİMİ</w:t>
      </w:r>
    </w:p>
    <w:tbl>
      <w:tblPr>
        <w:tblW w:w="8679" w:type="dxa"/>
        <w:jc w:val="center"/>
        <w:tblLook w:val="04A0" w:firstRow="1" w:lastRow="0" w:firstColumn="1" w:lastColumn="0" w:noHBand="0" w:noVBand="1"/>
      </w:tblPr>
      <w:tblGrid>
        <w:gridCol w:w="1307"/>
        <w:gridCol w:w="4678"/>
        <w:gridCol w:w="2694"/>
      </w:tblGrid>
      <w:tr w:rsidR="00154EB4" w:rsidRPr="000A40E6" w14:paraId="2C5625B1" w14:textId="77777777" w:rsidTr="00154EB4">
        <w:trPr>
          <w:trHeight w:val="431"/>
          <w:jc w:val="center"/>
        </w:trPr>
        <w:tc>
          <w:tcPr>
            <w:tcW w:w="1307" w:type="dxa"/>
            <w:tcBorders>
              <w:top w:val="single" w:sz="4" w:space="0" w:color="auto"/>
              <w:left w:val="nil"/>
              <w:bottom w:val="single" w:sz="4" w:space="0" w:color="auto"/>
              <w:right w:val="nil"/>
            </w:tcBorders>
            <w:hideMark/>
          </w:tcPr>
          <w:p w14:paraId="39E6E37A" w14:textId="77777777" w:rsidR="00154EB4" w:rsidRPr="000A40E6" w:rsidRDefault="00154EB4" w:rsidP="00154EB4">
            <w:pPr>
              <w:tabs>
                <w:tab w:val="left" w:pos="3360"/>
              </w:tabs>
              <w:ind w:firstLine="0"/>
              <w:rPr>
                <w:rFonts w:eastAsia="Times New Roman" w:cs="Times New Roman"/>
                <w:b/>
                <w:szCs w:val="24"/>
              </w:rPr>
            </w:pPr>
            <w:r w:rsidRPr="000A40E6">
              <w:rPr>
                <w:rFonts w:eastAsia="Times New Roman" w:cs="Times New Roman"/>
                <w:b/>
                <w:szCs w:val="24"/>
              </w:rPr>
              <w:t>Yıl</w:t>
            </w:r>
          </w:p>
        </w:tc>
        <w:tc>
          <w:tcPr>
            <w:tcW w:w="4678" w:type="dxa"/>
            <w:tcBorders>
              <w:top w:val="single" w:sz="4" w:space="0" w:color="auto"/>
              <w:left w:val="nil"/>
              <w:bottom w:val="single" w:sz="4" w:space="0" w:color="auto"/>
              <w:right w:val="nil"/>
            </w:tcBorders>
            <w:hideMark/>
          </w:tcPr>
          <w:p w14:paraId="69B1975C" w14:textId="77777777" w:rsidR="00154EB4" w:rsidRPr="000A40E6" w:rsidRDefault="00154EB4" w:rsidP="00154EB4">
            <w:pPr>
              <w:tabs>
                <w:tab w:val="left" w:pos="3360"/>
              </w:tabs>
              <w:ind w:firstLine="0"/>
              <w:rPr>
                <w:rFonts w:eastAsia="Times New Roman" w:cs="Times New Roman"/>
                <w:b/>
                <w:szCs w:val="24"/>
              </w:rPr>
            </w:pPr>
            <w:r w:rsidRPr="000A40E6">
              <w:rPr>
                <w:rFonts w:eastAsia="Times New Roman" w:cs="Times New Roman"/>
                <w:b/>
                <w:szCs w:val="24"/>
              </w:rPr>
              <w:t>Yer/Kurum</w:t>
            </w:r>
          </w:p>
        </w:tc>
        <w:tc>
          <w:tcPr>
            <w:tcW w:w="2694" w:type="dxa"/>
            <w:tcBorders>
              <w:top w:val="single" w:sz="4" w:space="0" w:color="auto"/>
              <w:left w:val="nil"/>
              <w:bottom w:val="single" w:sz="4" w:space="0" w:color="auto"/>
              <w:right w:val="nil"/>
            </w:tcBorders>
            <w:hideMark/>
          </w:tcPr>
          <w:p w14:paraId="5D088EAB" w14:textId="77777777" w:rsidR="00154EB4" w:rsidRPr="000A40E6" w:rsidRDefault="00154EB4" w:rsidP="00154EB4">
            <w:pPr>
              <w:tabs>
                <w:tab w:val="left" w:pos="3360"/>
              </w:tabs>
              <w:ind w:firstLine="0"/>
              <w:rPr>
                <w:rFonts w:eastAsia="Times New Roman" w:cs="Times New Roman"/>
                <w:b/>
                <w:szCs w:val="24"/>
              </w:rPr>
            </w:pPr>
            <w:r w:rsidRPr="000A40E6">
              <w:rPr>
                <w:rFonts w:eastAsia="Times New Roman" w:cs="Times New Roman"/>
                <w:b/>
                <w:szCs w:val="24"/>
              </w:rPr>
              <w:t>Ünvan</w:t>
            </w:r>
          </w:p>
        </w:tc>
      </w:tr>
      <w:tr w:rsidR="00154EB4" w:rsidRPr="000A40E6" w14:paraId="7EFA2969" w14:textId="77777777" w:rsidTr="00154EB4">
        <w:trPr>
          <w:trHeight w:val="405"/>
          <w:jc w:val="center"/>
        </w:trPr>
        <w:tc>
          <w:tcPr>
            <w:tcW w:w="1307" w:type="dxa"/>
            <w:tcBorders>
              <w:top w:val="single" w:sz="4" w:space="0" w:color="auto"/>
              <w:left w:val="nil"/>
              <w:bottom w:val="single" w:sz="4" w:space="0" w:color="auto"/>
              <w:right w:val="nil"/>
            </w:tcBorders>
          </w:tcPr>
          <w:p w14:paraId="7FF0BC88" w14:textId="1B3A07EF" w:rsidR="00154EB4" w:rsidRPr="000A40E6" w:rsidRDefault="00154EB4" w:rsidP="00154EB4">
            <w:pPr>
              <w:tabs>
                <w:tab w:val="left" w:pos="3360"/>
              </w:tabs>
              <w:ind w:firstLine="0"/>
              <w:rPr>
                <w:rFonts w:eastAsia="Times New Roman" w:cs="Times New Roman"/>
                <w:szCs w:val="24"/>
              </w:rPr>
            </w:pPr>
          </w:p>
        </w:tc>
        <w:tc>
          <w:tcPr>
            <w:tcW w:w="4678" w:type="dxa"/>
            <w:tcBorders>
              <w:top w:val="single" w:sz="4" w:space="0" w:color="auto"/>
              <w:left w:val="nil"/>
              <w:bottom w:val="single" w:sz="4" w:space="0" w:color="auto"/>
              <w:right w:val="nil"/>
            </w:tcBorders>
          </w:tcPr>
          <w:p w14:paraId="517DA750" w14:textId="681F7E38" w:rsidR="00154EB4" w:rsidRPr="000A40E6" w:rsidRDefault="00154EB4" w:rsidP="00154EB4">
            <w:pPr>
              <w:ind w:firstLine="0"/>
              <w:rPr>
                <w:rFonts w:eastAsia="Times New Roman" w:cs="Times New Roman"/>
                <w:szCs w:val="24"/>
              </w:rPr>
            </w:pPr>
          </w:p>
        </w:tc>
        <w:tc>
          <w:tcPr>
            <w:tcW w:w="2694" w:type="dxa"/>
            <w:tcBorders>
              <w:top w:val="single" w:sz="4" w:space="0" w:color="auto"/>
              <w:left w:val="nil"/>
              <w:bottom w:val="single" w:sz="4" w:space="0" w:color="auto"/>
              <w:right w:val="nil"/>
            </w:tcBorders>
          </w:tcPr>
          <w:p w14:paraId="5C889648" w14:textId="7AE2C153" w:rsidR="00154EB4" w:rsidRPr="000A40E6" w:rsidRDefault="00154EB4" w:rsidP="00154EB4">
            <w:pPr>
              <w:tabs>
                <w:tab w:val="left" w:pos="3360"/>
              </w:tabs>
              <w:ind w:firstLine="0"/>
              <w:rPr>
                <w:rFonts w:eastAsia="Times New Roman" w:cs="Times New Roman"/>
                <w:szCs w:val="24"/>
              </w:rPr>
            </w:pPr>
          </w:p>
        </w:tc>
      </w:tr>
    </w:tbl>
    <w:p w14:paraId="5E139881" w14:textId="77777777" w:rsidR="00154EB4" w:rsidRPr="000A40E6" w:rsidRDefault="00154EB4" w:rsidP="00154EB4">
      <w:pPr>
        <w:tabs>
          <w:tab w:val="left" w:pos="2620"/>
          <w:tab w:val="left" w:pos="3540"/>
        </w:tabs>
        <w:spacing w:after="120"/>
        <w:ind w:firstLine="0"/>
        <w:rPr>
          <w:rFonts w:eastAsia="Times New Roman" w:cs="Times New Roman"/>
          <w:b/>
          <w:szCs w:val="24"/>
        </w:rPr>
      </w:pPr>
    </w:p>
    <w:p w14:paraId="30CE7457" w14:textId="77777777" w:rsidR="00154EB4" w:rsidRPr="000A40E6" w:rsidRDefault="00154EB4" w:rsidP="00154EB4">
      <w:pPr>
        <w:tabs>
          <w:tab w:val="left" w:pos="2620"/>
          <w:tab w:val="left" w:pos="3540"/>
        </w:tabs>
        <w:spacing w:after="120"/>
        <w:ind w:firstLine="0"/>
        <w:rPr>
          <w:rFonts w:eastAsia="Times New Roman" w:cs="Times New Roman"/>
          <w:b/>
          <w:szCs w:val="24"/>
        </w:rPr>
      </w:pPr>
      <w:r w:rsidRPr="000A40E6">
        <w:rPr>
          <w:rFonts w:eastAsia="Times New Roman" w:cs="Times New Roman"/>
          <w:b/>
          <w:szCs w:val="24"/>
        </w:rPr>
        <w:t>AKADEMİK YAYINLAR</w:t>
      </w:r>
    </w:p>
    <w:p w14:paraId="7B520186" w14:textId="77777777" w:rsidR="00154EB4" w:rsidRPr="000A40E6" w:rsidRDefault="00154EB4" w:rsidP="00154EB4">
      <w:pPr>
        <w:tabs>
          <w:tab w:val="left" w:pos="2620"/>
          <w:tab w:val="left" w:pos="3540"/>
        </w:tabs>
        <w:spacing w:after="120"/>
        <w:ind w:firstLine="0"/>
        <w:rPr>
          <w:rFonts w:eastAsia="Times New Roman" w:cs="Times New Roman"/>
          <w:szCs w:val="24"/>
          <w:lang w:eastAsia="tr-TR"/>
        </w:rPr>
      </w:pPr>
      <w:r w:rsidRPr="000A40E6">
        <w:rPr>
          <w:rFonts w:eastAsia="Times New Roman" w:cs="Times New Roman"/>
          <w:b/>
          <w:szCs w:val="24"/>
          <w:lang w:eastAsia="tr-TR"/>
        </w:rPr>
        <w:t>1.</w:t>
      </w:r>
      <w:r w:rsidRPr="000A40E6">
        <w:rPr>
          <w:rFonts w:eastAsia="Times New Roman" w:cs="Times New Roman"/>
          <w:szCs w:val="24"/>
          <w:lang w:eastAsia="tr-TR"/>
        </w:rPr>
        <w:t xml:space="preserve"> </w:t>
      </w:r>
      <w:r w:rsidRPr="000A40E6">
        <w:rPr>
          <w:rFonts w:eastAsia="Times New Roman" w:cs="Times New Roman"/>
          <w:b/>
          <w:szCs w:val="24"/>
          <w:lang w:eastAsia="tr-TR"/>
        </w:rPr>
        <w:t>MAKALELER</w:t>
      </w:r>
    </w:p>
    <w:p w14:paraId="14115C4E" w14:textId="77777777" w:rsidR="00154EB4" w:rsidRPr="000A40E6" w:rsidRDefault="00154EB4" w:rsidP="00154EB4">
      <w:pPr>
        <w:tabs>
          <w:tab w:val="left" w:pos="2620"/>
          <w:tab w:val="left" w:pos="3540"/>
        </w:tabs>
        <w:spacing w:after="120"/>
        <w:ind w:firstLine="0"/>
        <w:rPr>
          <w:rFonts w:eastAsia="Times New Roman" w:cs="Times New Roman"/>
          <w:b/>
          <w:szCs w:val="24"/>
        </w:rPr>
      </w:pPr>
      <w:r w:rsidRPr="000A40E6">
        <w:rPr>
          <w:rFonts w:eastAsia="Times New Roman" w:cs="Times New Roman"/>
          <w:b/>
          <w:szCs w:val="24"/>
        </w:rPr>
        <w:t>2. PROJELER</w:t>
      </w:r>
    </w:p>
    <w:p w14:paraId="790EE217" w14:textId="77777777" w:rsidR="00154EB4" w:rsidRPr="000A40E6" w:rsidRDefault="00154EB4" w:rsidP="00154EB4">
      <w:pPr>
        <w:autoSpaceDE w:val="0"/>
        <w:autoSpaceDN w:val="0"/>
        <w:adjustRightInd w:val="0"/>
        <w:spacing w:after="120"/>
        <w:ind w:firstLine="0"/>
        <w:rPr>
          <w:rFonts w:eastAsia="Times New Roman" w:cs="Times New Roman"/>
          <w:b/>
          <w:bCs/>
          <w:color w:val="000000"/>
          <w:szCs w:val="24"/>
          <w:lang w:val="en-GB" w:eastAsia="en-GB"/>
        </w:rPr>
      </w:pPr>
      <w:r w:rsidRPr="000A40E6">
        <w:rPr>
          <w:rFonts w:eastAsia="Times New Roman" w:cs="Times New Roman"/>
          <w:b/>
          <w:color w:val="000000"/>
          <w:szCs w:val="24"/>
          <w:lang w:val="en-GB" w:eastAsia="en-GB"/>
        </w:rPr>
        <w:t>3. BİLDİRİLER</w:t>
      </w:r>
    </w:p>
    <w:p w14:paraId="4B0490AE" w14:textId="77777777" w:rsidR="00154EB4" w:rsidRPr="000A40E6" w:rsidRDefault="00154EB4" w:rsidP="00154EB4">
      <w:pPr>
        <w:tabs>
          <w:tab w:val="left" w:pos="2620"/>
          <w:tab w:val="left" w:pos="3540"/>
        </w:tabs>
        <w:spacing w:after="120"/>
        <w:ind w:left="284" w:firstLine="0"/>
        <w:rPr>
          <w:rFonts w:eastAsia="Times New Roman" w:cs="Times New Roman"/>
          <w:b/>
          <w:szCs w:val="24"/>
        </w:rPr>
      </w:pPr>
      <w:r w:rsidRPr="000A40E6">
        <w:rPr>
          <w:rFonts w:eastAsia="Times New Roman" w:cs="Times New Roman"/>
          <w:b/>
          <w:szCs w:val="24"/>
        </w:rPr>
        <w:t>A) Uluslarası Kongrelerde Sunulan Bildiriler</w:t>
      </w:r>
    </w:p>
    <w:p w14:paraId="7034500A" w14:textId="1F4A3750" w:rsidR="00BD747C" w:rsidRPr="000D3022" w:rsidRDefault="00154EB4" w:rsidP="00154EB4">
      <w:pPr>
        <w:tabs>
          <w:tab w:val="left" w:pos="2620"/>
          <w:tab w:val="left" w:pos="3540"/>
        </w:tabs>
        <w:spacing w:after="120"/>
        <w:ind w:left="284" w:firstLine="0"/>
        <w:rPr>
          <w:rFonts w:eastAsia="Times New Roman" w:cs="Times New Roman"/>
          <w:b/>
          <w:bCs/>
          <w:iCs/>
          <w:szCs w:val="24"/>
        </w:rPr>
      </w:pPr>
      <w:r w:rsidRPr="000A40E6">
        <w:rPr>
          <w:rFonts w:eastAsia="Times New Roman" w:cs="Times New Roman"/>
          <w:b/>
          <w:szCs w:val="24"/>
        </w:rPr>
        <w:t>B) Ulusal Kongrelerde Sunulan Bildiriler</w:t>
      </w:r>
    </w:p>
    <w:sectPr w:rsidR="00BD747C" w:rsidRPr="000D3022" w:rsidSect="0075746F">
      <w:pgSz w:w="11906" w:h="16838"/>
      <w:pgMar w:top="1418" w:right="1134"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AD745" w14:textId="77777777" w:rsidR="002513DF" w:rsidRDefault="002513DF" w:rsidP="00AC5D07">
      <w:pPr>
        <w:spacing w:line="240" w:lineRule="auto"/>
      </w:pPr>
      <w:r>
        <w:separator/>
      </w:r>
    </w:p>
  </w:endnote>
  <w:endnote w:type="continuationSeparator" w:id="0">
    <w:p w14:paraId="75AAC975" w14:textId="77777777" w:rsidR="002513DF" w:rsidRDefault="002513DF"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NewRomanPSMT">
    <w:altName w:val="Yu Gothic UI"/>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D531F" w14:textId="77777777" w:rsidR="00353FBE" w:rsidRDefault="00353FBE">
    <w:pPr>
      <w:pStyle w:val="Altbilgi"/>
      <w:jc w:val="right"/>
    </w:pPr>
  </w:p>
  <w:p w14:paraId="49DAA9FF" w14:textId="77777777" w:rsidR="00353FBE" w:rsidRDefault="00353FB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973731"/>
      <w:docPartObj>
        <w:docPartGallery w:val="Page Numbers (Bottom of Page)"/>
        <w:docPartUnique/>
      </w:docPartObj>
    </w:sdtPr>
    <w:sdtEndPr/>
    <w:sdtContent>
      <w:p w14:paraId="14D5AB9B" w14:textId="74EA6C75" w:rsidR="00353FBE" w:rsidRDefault="00353FBE">
        <w:pPr>
          <w:pStyle w:val="Altbilgi"/>
          <w:jc w:val="right"/>
        </w:pPr>
        <w:r>
          <w:fldChar w:fldCharType="begin"/>
        </w:r>
        <w:r>
          <w:instrText>PAGE   \* MERGEFORMAT</w:instrText>
        </w:r>
        <w:r>
          <w:fldChar w:fldCharType="separate"/>
        </w:r>
        <w:r w:rsidR="00F56DE4">
          <w:rPr>
            <w:noProof/>
          </w:rPr>
          <w:t>37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BE5BD" w14:textId="77777777" w:rsidR="002513DF" w:rsidRDefault="002513DF" w:rsidP="00AC5D07">
      <w:pPr>
        <w:spacing w:line="240" w:lineRule="auto"/>
      </w:pPr>
      <w:r>
        <w:separator/>
      </w:r>
    </w:p>
  </w:footnote>
  <w:footnote w:type="continuationSeparator" w:id="0">
    <w:p w14:paraId="3FC10559" w14:textId="77777777" w:rsidR="002513DF" w:rsidRDefault="002513DF" w:rsidP="00AC5D0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08E18B7"/>
    <w:multiLevelType w:val="hybridMultilevel"/>
    <w:tmpl w:val="C1CE9E2C"/>
    <w:lvl w:ilvl="0" w:tplc="0409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FE34601"/>
    <w:multiLevelType w:val="hybridMultilevel"/>
    <w:tmpl w:val="A1AA7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4A42E5"/>
    <w:multiLevelType w:val="hybridMultilevel"/>
    <w:tmpl w:val="1AA6CDE8"/>
    <w:lvl w:ilvl="0" w:tplc="0409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6E587F"/>
    <w:multiLevelType w:val="hybridMultilevel"/>
    <w:tmpl w:val="DAFEE27E"/>
    <w:lvl w:ilvl="0" w:tplc="04090001">
      <w:start w:val="1"/>
      <w:numFmt w:val="bullet"/>
      <w:lvlText w:val=""/>
      <w:lvlJc w:val="left"/>
      <w:pPr>
        <w:ind w:left="786" w:hanging="360"/>
      </w:pPr>
      <w:rPr>
        <w:rFonts w:ascii="Symbol" w:hAnsi="Symbol" w:hint="default"/>
      </w:rPr>
    </w:lvl>
    <w:lvl w:ilvl="1" w:tplc="8D160152">
      <w:numFmt w:val="bullet"/>
      <w:lvlText w:val="-"/>
      <w:lvlJc w:val="left"/>
      <w:pPr>
        <w:ind w:left="1440" w:hanging="360"/>
      </w:pPr>
      <w:rPr>
        <w:rFonts w:ascii="Calibri" w:eastAsia="Times New Roman" w:hAnsi="Calibri" w:cs="Calibri"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3">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37E0BE8"/>
    <w:multiLevelType w:val="hybridMultilevel"/>
    <w:tmpl w:val="CF9E818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7FB3324"/>
    <w:multiLevelType w:val="multilevel"/>
    <w:tmpl w:val="B7C215C8"/>
    <w:lvl w:ilvl="0">
      <w:numFmt w:val="bullet"/>
      <w:suff w:val="space"/>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A3F177F"/>
    <w:multiLevelType w:val="hybridMultilevel"/>
    <w:tmpl w:val="AD646F30"/>
    <w:lvl w:ilvl="0" w:tplc="1CC2B224">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4"/>
  </w:num>
  <w:num w:numId="5">
    <w:abstractNumId w:val="9"/>
  </w:num>
  <w:num w:numId="6">
    <w:abstractNumId w:val="12"/>
  </w:num>
  <w:num w:numId="7">
    <w:abstractNumId w:val="17"/>
  </w:num>
  <w:num w:numId="8">
    <w:abstractNumId w:val="5"/>
  </w:num>
  <w:num w:numId="9">
    <w:abstractNumId w:val="2"/>
  </w:num>
  <w:num w:numId="10">
    <w:abstractNumId w:val="15"/>
  </w:num>
  <w:num w:numId="11">
    <w:abstractNumId w:val="17"/>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8"/>
  </w:num>
  <w:num w:numId="14">
    <w:abstractNumId w:val="0"/>
  </w:num>
  <w:num w:numId="15">
    <w:abstractNumId w:val="18"/>
  </w:num>
  <w:num w:numId="16">
    <w:abstractNumId w:val="3"/>
  </w:num>
  <w:num w:numId="17">
    <w:abstractNumId w:val="10"/>
  </w:num>
  <w:num w:numId="18">
    <w:abstractNumId w:val="7"/>
  </w:num>
  <w:num w:numId="19">
    <w:abstractNumId w:val="16"/>
  </w:num>
  <w:num w:numId="20">
    <w:abstractNumId w:val="19"/>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hideSpellingErrors/>
  <w:hideGrammaticalErrors/>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0AD"/>
    <w:rsid w:val="0000045D"/>
    <w:rsid w:val="00001259"/>
    <w:rsid w:val="0000192B"/>
    <w:rsid w:val="000019C3"/>
    <w:rsid w:val="00001E35"/>
    <w:rsid w:val="00001E6E"/>
    <w:rsid w:val="00002000"/>
    <w:rsid w:val="0000200D"/>
    <w:rsid w:val="000020CF"/>
    <w:rsid w:val="0000277A"/>
    <w:rsid w:val="000028FE"/>
    <w:rsid w:val="00002B1D"/>
    <w:rsid w:val="00002B8C"/>
    <w:rsid w:val="00002CF6"/>
    <w:rsid w:val="00002DCD"/>
    <w:rsid w:val="000030BE"/>
    <w:rsid w:val="00003347"/>
    <w:rsid w:val="000036B9"/>
    <w:rsid w:val="00003A81"/>
    <w:rsid w:val="00004C20"/>
    <w:rsid w:val="00004CAF"/>
    <w:rsid w:val="00004DF8"/>
    <w:rsid w:val="00005394"/>
    <w:rsid w:val="000058B2"/>
    <w:rsid w:val="00005D7E"/>
    <w:rsid w:val="0000600C"/>
    <w:rsid w:val="000064FD"/>
    <w:rsid w:val="000066E4"/>
    <w:rsid w:val="000069F4"/>
    <w:rsid w:val="00006CB9"/>
    <w:rsid w:val="00006CDE"/>
    <w:rsid w:val="00006D09"/>
    <w:rsid w:val="000079B7"/>
    <w:rsid w:val="00007AD1"/>
    <w:rsid w:val="00007D96"/>
    <w:rsid w:val="00010BE8"/>
    <w:rsid w:val="00010F04"/>
    <w:rsid w:val="0001104A"/>
    <w:rsid w:val="00011080"/>
    <w:rsid w:val="00011090"/>
    <w:rsid w:val="000110F3"/>
    <w:rsid w:val="0001122C"/>
    <w:rsid w:val="0001146A"/>
    <w:rsid w:val="0001184D"/>
    <w:rsid w:val="00011976"/>
    <w:rsid w:val="00011CA1"/>
    <w:rsid w:val="00012DAB"/>
    <w:rsid w:val="00012F85"/>
    <w:rsid w:val="00013D63"/>
    <w:rsid w:val="00013E9F"/>
    <w:rsid w:val="000146DE"/>
    <w:rsid w:val="00014A0A"/>
    <w:rsid w:val="00014C31"/>
    <w:rsid w:val="0001529B"/>
    <w:rsid w:val="0001588C"/>
    <w:rsid w:val="00015B9E"/>
    <w:rsid w:val="00015E5F"/>
    <w:rsid w:val="00015E9B"/>
    <w:rsid w:val="00016141"/>
    <w:rsid w:val="0001661A"/>
    <w:rsid w:val="00016639"/>
    <w:rsid w:val="00016F5E"/>
    <w:rsid w:val="000174D9"/>
    <w:rsid w:val="00017B20"/>
    <w:rsid w:val="00020057"/>
    <w:rsid w:val="0002021F"/>
    <w:rsid w:val="00020870"/>
    <w:rsid w:val="00020E38"/>
    <w:rsid w:val="00021B07"/>
    <w:rsid w:val="00022016"/>
    <w:rsid w:val="00022C55"/>
    <w:rsid w:val="00022D8E"/>
    <w:rsid w:val="00023375"/>
    <w:rsid w:val="00023D02"/>
    <w:rsid w:val="00024490"/>
    <w:rsid w:val="00024959"/>
    <w:rsid w:val="00024E79"/>
    <w:rsid w:val="00025A78"/>
    <w:rsid w:val="00025B71"/>
    <w:rsid w:val="00026856"/>
    <w:rsid w:val="000274F0"/>
    <w:rsid w:val="0002753D"/>
    <w:rsid w:val="000275A9"/>
    <w:rsid w:val="0002760D"/>
    <w:rsid w:val="000276CD"/>
    <w:rsid w:val="00027704"/>
    <w:rsid w:val="00027981"/>
    <w:rsid w:val="000305F3"/>
    <w:rsid w:val="000309FF"/>
    <w:rsid w:val="00030D08"/>
    <w:rsid w:val="0003179A"/>
    <w:rsid w:val="00031F18"/>
    <w:rsid w:val="00031F4A"/>
    <w:rsid w:val="00032212"/>
    <w:rsid w:val="00032286"/>
    <w:rsid w:val="00032424"/>
    <w:rsid w:val="00032692"/>
    <w:rsid w:val="00032C07"/>
    <w:rsid w:val="0003400C"/>
    <w:rsid w:val="0003411F"/>
    <w:rsid w:val="000346F3"/>
    <w:rsid w:val="00034C2D"/>
    <w:rsid w:val="00034DA6"/>
    <w:rsid w:val="00034FAA"/>
    <w:rsid w:val="00035299"/>
    <w:rsid w:val="000353AD"/>
    <w:rsid w:val="0003620D"/>
    <w:rsid w:val="00036607"/>
    <w:rsid w:val="00036D99"/>
    <w:rsid w:val="000375F3"/>
    <w:rsid w:val="00037C07"/>
    <w:rsid w:val="0004030F"/>
    <w:rsid w:val="00040A2E"/>
    <w:rsid w:val="00040BA4"/>
    <w:rsid w:val="00040C3D"/>
    <w:rsid w:val="00040C4B"/>
    <w:rsid w:val="000416F1"/>
    <w:rsid w:val="000417DA"/>
    <w:rsid w:val="0004199B"/>
    <w:rsid w:val="00041A0D"/>
    <w:rsid w:val="00041C52"/>
    <w:rsid w:val="0004225A"/>
    <w:rsid w:val="00042A58"/>
    <w:rsid w:val="00042AD2"/>
    <w:rsid w:val="00043407"/>
    <w:rsid w:val="0004354C"/>
    <w:rsid w:val="000435D5"/>
    <w:rsid w:val="00043682"/>
    <w:rsid w:val="00043FE3"/>
    <w:rsid w:val="000446ED"/>
    <w:rsid w:val="00044F19"/>
    <w:rsid w:val="000452B1"/>
    <w:rsid w:val="0004534E"/>
    <w:rsid w:val="00045BDC"/>
    <w:rsid w:val="00046125"/>
    <w:rsid w:val="00046359"/>
    <w:rsid w:val="00046755"/>
    <w:rsid w:val="000469D0"/>
    <w:rsid w:val="000469F8"/>
    <w:rsid w:val="000472FA"/>
    <w:rsid w:val="00047796"/>
    <w:rsid w:val="000479DC"/>
    <w:rsid w:val="00047B31"/>
    <w:rsid w:val="00047C01"/>
    <w:rsid w:val="00047C1D"/>
    <w:rsid w:val="0005052E"/>
    <w:rsid w:val="000507D9"/>
    <w:rsid w:val="000509CE"/>
    <w:rsid w:val="00050A73"/>
    <w:rsid w:val="00050BE2"/>
    <w:rsid w:val="000524BF"/>
    <w:rsid w:val="000528AE"/>
    <w:rsid w:val="00052E10"/>
    <w:rsid w:val="00052F3E"/>
    <w:rsid w:val="000532AC"/>
    <w:rsid w:val="0005423E"/>
    <w:rsid w:val="00054829"/>
    <w:rsid w:val="00054AF2"/>
    <w:rsid w:val="00054D8E"/>
    <w:rsid w:val="00054DAF"/>
    <w:rsid w:val="00054DFB"/>
    <w:rsid w:val="0005558E"/>
    <w:rsid w:val="000557D1"/>
    <w:rsid w:val="0005589D"/>
    <w:rsid w:val="00055A39"/>
    <w:rsid w:val="00055E79"/>
    <w:rsid w:val="00055E96"/>
    <w:rsid w:val="000560F1"/>
    <w:rsid w:val="00056AFF"/>
    <w:rsid w:val="00056B9A"/>
    <w:rsid w:val="00057386"/>
    <w:rsid w:val="000579EB"/>
    <w:rsid w:val="00057CE2"/>
    <w:rsid w:val="000600FA"/>
    <w:rsid w:val="000608AE"/>
    <w:rsid w:val="00060DA2"/>
    <w:rsid w:val="000614F4"/>
    <w:rsid w:val="000619A9"/>
    <w:rsid w:val="00061AB2"/>
    <w:rsid w:val="00061E00"/>
    <w:rsid w:val="00062059"/>
    <w:rsid w:val="0006209A"/>
    <w:rsid w:val="00062138"/>
    <w:rsid w:val="000624AF"/>
    <w:rsid w:val="000624C5"/>
    <w:rsid w:val="000629AA"/>
    <w:rsid w:val="00062BB4"/>
    <w:rsid w:val="000633FE"/>
    <w:rsid w:val="00063510"/>
    <w:rsid w:val="000635CA"/>
    <w:rsid w:val="00063CB4"/>
    <w:rsid w:val="00063E96"/>
    <w:rsid w:val="000646A9"/>
    <w:rsid w:val="0006477B"/>
    <w:rsid w:val="00064924"/>
    <w:rsid w:val="00064C83"/>
    <w:rsid w:val="0006528D"/>
    <w:rsid w:val="000654FF"/>
    <w:rsid w:val="00065AA2"/>
    <w:rsid w:val="00065B3E"/>
    <w:rsid w:val="00065E7F"/>
    <w:rsid w:val="00066DAA"/>
    <w:rsid w:val="00070530"/>
    <w:rsid w:val="0007060F"/>
    <w:rsid w:val="000713EE"/>
    <w:rsid w:val="00071A46"/>
    <w:rsid w:val="00071C51"/>
    <w:rsid w:val="00071F6B"/>
    <w:rsid w:val="000721E1"/>
    <w:rsid w:val="00072336"/>
    <w:rsid w:val="00072367"/>
    <w:rsid w:val="00072B4C"/>
    <w:rsid w:val="000733BE"/>
    <w:rsid w:val="000733F5"/>
    <w:rsid w:val="000734D1"/>
    <w:rsid w:val="00073F28"/>
    <w:rsid w:val="00074733"/>
    <w:rsid w:val="00075554"/>
    <w:rsid w:val="0007587E"/>
    <w:rsid w:val="00075977"/>
    <w:rsid w:val="00076F34"/>
    <w:rsid w:val="00076F62"/>
    <w:rsid w:val="00077025"/>
    <w:rsid w:val="0007719E"/>
    <w:rsid w:val="0007745D"/>
    <w:rsid w:val="00077603"/>
    <w:rsid w:val="0007761E"/>
    <w:rsid w:val="000778D2"/>
    <w:rsid w:val="00077B84"/>
    <w:rsid w:val="00077F5D"/>
    <w:rsid w:val="000800E9"/>
    <w:rsid w:val="000802E5"/>
    <w:rsid w:val="00080586"/>
    <w:rsid w:val="00080C85"/>
    <w:rsid w:val="0008100C"/>
    <w:rsid w:val="00081488"/>
    <w:rsid w:val="00081C96"/>
    <w:rsid w:val="00082000"/>
    <w:rsid w:val="000821D1"/>
    <w:rsid w:val="0008284B"/>
    <w:rsid w:val="0008298A"/>
    <w:rsid w:val="00082A45"/>
    <w:rsid w:val="00083100"/>
    <w:rsid w:val="0008334E"/>
    <w:rsid w:val="0008352B"/>
    <w:rsid w:val="00083916"/>
    <w:rsid w:val="00083AA0"/>
    <w:rsid w:val="00083C93"/>
    <w:rsid w:val="000842A2"/>
    <w:rsid w:val="00084365"/>
    <w:rsid w:val="00084743"/>
    <w:rsid w:val="0008476F"/>
    <w:rsid w:val="0008488B"/>
    <w:rsid w:val="00084BEC"/>
    <w:rsid w:val="00084C56"/>
    <w:rsid w:val="0008501D"/>
    <w:rsid w:val="00085EBD"/>
    <w:rsid w:val="00085F9E"/>
    <w:rsid w:val="0008604D"/>
    <w:rsid w:val="00086495"/>
    <w:rsid w:val="00086819"/>
    <w:rsid w:val="00086DF8"/>
    <w:rsid w:val="00086E94"/>
    <w:rsid w:val="00087740"/>
    <w:rsid w:val="00087797"/>
    <w:rsid w:val="0008786D"/>
    <w:rsid w:val="00087AC1"/>
    <w:rsid w:val="00087B74"/>
    <w:rsid w:val="0009194E"/>
    <w:rsid w:val="00091A1E"/>
    <w:rsid w:val="000920DA"/>
    <w:rsid w:val="000922DB"/>
    <w:rsid w:val="00092541"/>
    <w:rsid w:val="0009278F"/>
    <w:rsid w:val="00092803"/>
    <w:rsid w:val="00092804"/>
    <w:rsid w:val="00092830"/>
    <w:rsid w:val="000934F6"/>
    <w:rsid w:val="00093A79"/>
    <w:rsid w:val="00093BDD"/>
    <w:rsid w:val="00093FD5"/>
    <w:rsid w:val="000943E9"/>
    <w:rsid w:val="000957AC"/>
    <w:rsid w:val="00095B66"/>
    <w:rsid w:val="00095D5D"/>
    <w:rsid w:val="00095E3E"/>
    <w:rsid w:val="00095F3F"/>
    <w:rsid w:val="000962D7"/>
    <w:rsid w:val="0009760D"/>
    <w:rsid w:val="000977A8"/>
    <w:rsid w:val="000A0E41"/>
    <w:rsid w:val="000A116E"/>
    <w:rsid w:val="000A12CA"/>
    <w:rsid w:val="000A18F3"/>
    <w:rsid w:val="000A1B98"/>
    <w:rsid w:val="000A1DA0"/>
    <w:rsid w:val="000A20E5"/>
    <w:rsid w:val="000A2334"/>
    <w:rsid w:val="000A2A37"/>
    <w:rsid w:val="000A2C54"/>
    <w:rsid w:val="000A2F18"/>
    <w:rsid w:val="000A3148"/>
    <w:rsid w:val="000A353A"/>
    <w:rsid w:val="000A3553"/>
    <w:rsid w:val="000A35F0"/>
    <w:rsid w:val="000A3BA1"/>
    <w:rsid w:val="000A400B"/>
    <w:rsid w:val="000A40E6"/>
    <w:rsid w:val="000A5774"/>
    <w:rsid w:val="000A6EA7"/>
    <w:rsid w:val="000A7315"/>
    <w:rsid w:val="000B0108"/>
    <w:rsid w:val="000B0393"/>
    <w:rsid w:val="000B0B19"/>
    <w:rsid w:val="000B0CA7"/>
    <w:rsid w:val="000B0DE9"/>
    <w:rsid w:val="000B13F3"/>
    <w:rsid w:val="000B16BD"/>
    <w:rsid w:val="000B17E4"/>
    <w:rsid w:val="000B1825"/>
    <w:rsid w:val="000B2237"/>
    <w:rsid w:val="000B228B"/>
    <w:rsid w:val="000B22AC"/>
    <w:rsid w:val="000B29FE"/>
    <w:rsid w:val="000B2ACB"/>
    <w:rsid w:val="000B2B1A"/>
    <w:rsid w:val="000B3457"/>
    <w:rsid w:val="000B374A"/>
    <w:rsid w:val="000B3D21"/>
    <w:rsid w:val="000B3FE2"/>
    <w:rsid w:val="000B402F"/>
    <w:rsid w:val="000B49AB"/>
    <w:rsid w:val="000B4A65"/>
    <w:rsid w:val="000B4A8A"/>
    <w:rsid w:val="000B4B1B"/>
    <w:rsid w:val="000B501F"/>
    <w:rsid w:val="000B5BA0"/>
    <w:rsid w:val="000B6067"/>
    <w:rsid w:val="000B6400"/>
    <w:rsid w:val="000B64BC"/>
    <w:rsid w:val="000B6623"/>
    <w:rsid w:val="000B6CF5"/>
    <w:rsid w:val="000B7692"/>
    <w:rsid w:val="000B7CBF"/>
    <w:rsid w:val="000C08D4"/>
    <w:rsid w:val="000C0CA1"/>
    <w:rsid w:val="000C0E34"/>
    <w:rsid w:val="000C0F37"/>
    <w:rsid w:val="000C1227"/>
    <w:rsid w:val="000C1245"/>
    <w:rsid w:val="000C180D"/>
    <w:rsid w:val="000C192F"/>
    <w:rsid w:val="000C1933"/>
    <w:rsid w:val="000C1AD2"/>
    <w:rsid w:val="000C1D7F"/>
    <w:rsid w:val="000C1DF5"/>
    <w:rsid w:val="000C1F3C"/>
    <w:rsid w:val="000C256A"/>
    <w:rsid w:val="000C2659"/>
    <w:rsid w:val="000C2698"/>
    <w:rsid w:val="000C2C04"/>
    <w:rsid w:val="000C3362"/>
    <w:rsid w:val="000C34DE"/>
    <w:rsid w:val="000C363F"/>
    <w:rsid w:val="000C3EDC"/>
    <w:rsid w:val="000C4186"/>
    <w:rsid w:val="000C4C8B"/>
    <w:rsid w:val="000C4C94"/>
    <w:rsid w:val="000C5351"/>
    <w:rsid w:val="000C6119"/>
    <w:rsid w:val="000C6558"/>
    <w:rsid w:val="000C69BF"/>
    <w:rsid w:val="000C6CB4"/>
    <w:rsid w:val="000C70F2"/>
    <w:rsid w:val="000C7109"/>
    <w:rsid w:val="000C75E4"/>
    <w:rsid w:val="000C771D"/>
    <w:rsid w:val="000C7AC1"/>
    <w:rsid w:val="000C7C12"/>
    <w:rsid w:val="000D0128"/>
    <w:rsid w:val="000D05A9"/>
    <w:rsid w:val="000D0996"/>
    <w:rsid w:val="000D0D31"/>
    <w:rsid w:val="000D25CD"/>
    <w:rsid w:val="000D27CD"/>
    <w:rsid w:val="000D3022"/>
    <w:rsid w:val="000D34FA"/>
    <w:rsid w:val="000D3D01"/>
    <w:rsid w:val="000D45F7"/>
    <w:rsid w:val="000D4A01"/>
    <w:rsid w:val="000D4CD1"/>
    <w:rsid w:val="000D4F26"/>
    <w:rsid w:val="000D51F0"/>
    <w:rsid w:val="000D5517"/>
    <w:rsid w:val="000D5559"/>
    <w:rsid w:val="000D64DB"/>
    <w:rsid w:val="000D6589"/>
    <w:rsid w:val="000D664D"/>
    <w:rsid w:val="000D699E"/>
    <w:rsid w:val="000D729F"/>
    <w:rsid w:val="000D74FE"/>
    <w:rsid w:val="000D7A2E"/>
    <w:rsid w:val="000D7A9B"/>
    <w:rsid w:val="000D7FFD"/>
    <w:rsid w:val="000E0038"/>
    <w:rsid w:val="000E05C3"/>
    <w:rsid w:val="000E07A7"/>
    <w:rsid w:val="000E0820"/>
    <w:rsid w:val="000E0DE1"/>
    <w:rsid w:val="000E0FDE"/>
    <w:rsid w:val="000E10B6"/>
    <w:rsid w:val="000E1143"/>
    <w:rsid w:val="000E1A38"/>
    <w:rsid w:val="000E1B7B"/>
    <w:rsid w:val="000E1BFB"/>
    <w:rsid w:val="000E2004"/>
    <w:rsid w:val="000E2851"/>
    <w:rsid w:val="000E2E52"/>
    <w:rsid w:val="000E31A0"/>
    <w:rsid w:val="000E322D"/>
    <w:rsid w:val="000E346A"/>
    <w:rsid w:val="000E3DD9"/>
    <w:rsid w:val="000E3E6B"/>
    <w:rsid w:val="000E523A"/>
    <w:rsid w:val="000E5B9A"/>
    <w:rsid w:val="000E61B5"/>
    <w:rsid w:val="000E62A2"/>
    <w:rsid w:val="000E6C1E"/>
    <w:rsid w:val="000E6C20"/>
    <w:rsid w:val="000E7492"/>
    <w:rsid w:val="000E7999"/>
    <w:rsid w:val="000F08D9"/>
    <w:rsid w:val="000F0A70"/>
    <w:rsid w:val="000F292D"/>
    <w:rsid w:val="000F2C4A"/>
    <w:rsid w:val="000F3C99"/>
    <w:rsid w:val="000F3DD1"/>
    <w:rsid w:val="000F3EEB"/>
    <w:rsid w:val="000F3F46"/>
    <w:rsid w:val="000F408A"/>
    <w:rsid w:val="000F43AD"/>
    <w:rsid w:val="000F4953"/>
    <w:rsid w:val="000F4AA9"/>
    <w:rsid w:val="000F4AEA"/>
    <w:rsid w:val="000F4C8D"/>
    <w:rsid w:val="000F53F6"/>
    <w:rsid w:val="000F559B"/>
    <w:rsid w:val="000F5871"/>
    <w:rsid w:val="000F5F31"/>
    <w:rsid w:val="000F5FA2"/>
    <w:rsid w:val="000F5FC4"/>
    <w:rsid w:val="000F607D"/>
    <w:rsid w:val="000F66E2"/>
    <w:rsid w:val="000F6980"/>
    <w:rsid w:val="000F6BB0"/>
    <w:rsid w:val="000F7068"/>
    <w:rsid w:val="000F72C8"/>
    <w:rsid w:val="000F7F0A"/>
    <w:rsid w:val="001004D7"/>
    <w:rsid w:val="00100DCC"/>
    <w:rsid w:val="00100DF9"/>
    <w:rsid w:val="00101B6E"/>
    <w:rsid w:val="00101E68"/>
    <w:rsid w:val="001021A8"/>
    <w:rsid w:val="0010247F"/>
    <w:rsid w:val="00103764"/>
    <w:rsid w:val="0010416F"/>
    <w:rsid w:val="00104181"/>
    <w:rsid w:val="001047D8"/>
    <w:rsid w:val="00105638"/>
    <w:rsid w:val="00105A3B"/>
    <w:rsid w:val="00106A81"/>
    <w:rsid w:val="00106F50"/>
    <w:rsid w:val="0010704A"/>
    <w:rsid w:val="0010745D"/>
    <w:rsid w:val="001074DD"/>
    <w:rsid w:val="00107BAC"/>
    <w:rsid w:val="00110649"/>
    <w:rsid w:val="0011072A"/>
    <w:rsid w:val="0011081E"/>
    <w:rsid w:val="00111275"/>
    <w:rsid w:val="00111609"/>
    <w:rsid w:val="00111807"/>
    <w:rsid w:val="001121CB"/>
    <w:rsid w:val="001125C2"/>
    <w:rsid w:val="001125F4"/>
    <w:rsid w:val="00112797"/>
    <w:rsid w:val="0011296A"/>
    <w:rsid w:val="0011298F"/>
    <w:rsid w:val="0011342E"/>
    <w:rsid w:val="00113601"/>
    <w:rsid w:val="0011453E"/>
    <w:rsid w:val="00114589"/>
    <w:rsid w:val="00114A78"/>
    <w:rsid w:val="00114E74"/>
    <w:rsid w:val="00115086"/>
    <w:rsid w:val="001153E9"/>
    <w:rsid w:val="00116032"/>
    <w:rsid w:val="001164D0"/>
    <w:rsid w:val="001167C4"/>
    <w:rsid w:val="00116D13"/>
    <w:rsid w:val="00117447"/>
    <w:rsid w:val="0011760F"/>
    <w:rsid w:val="00117A74"/>
    <w:rsid w:val="00117E4C"/>
    <w:rsid w:val="00117FD5"/>
    <w:rsid w:val="0012148E"/>
    <w:rsid w:val="00121507"/>
    <w:rsid w:val="00121576"/>
    <w:rsid w:val="0012193C"/>
    <w:rsid w:val="00121A6F"/>
    <w:rsid w:val="00121F2E"/>
    <w:rsid w:val="0012219D"/>
    <w:rsid w:val="001224FE"/>
    <w:rsid w:val="00122553"/>
    <w:rsid w:val="00122AA1"/>
    <w:rsid w:val="00122F29"/>
    <w:rsid w:val="001230D4"/>
    <w:rsid w:val="00123850"/>
    <w:rsid w:val="00123A26"/>
    <w:rsid w:val="00123C6E"/>
    <w:rsid w:val="00124010"/>
    <w:rsid w:val="001242E4"/>
    <w:rsid w:val="00124693"/>
    <w:rsid w:val="00124A26"/>
    <w:rsid w:val="00124D23"/>
    <w:rsid w:val="00124D5F"/>
    <w:rsid w:val="0012518D"/>
    <w:rsid w:val="00125331"/>
    <w:rsid w:val="0012538C"/>
    <w:rsid w:val="00125476"/>
    <w:rsid w:val="00125900"/>
    <w:rsid w:val="00125A0C"/>
    <w:rsid w:val="00125F91"/>
    <w:rsid w:val="00125FCF"/>
    <w:rsid w:val="001266C4"/>
    <w:rsid w:val="0012773E"/>
    <w:rsid w:val="0012781D"/>
    <w:rsid w:val="00127C40"/>
    <w:rsid w:val="0013084D"/>
    <w:rsid w:val="001310C4"/>
    <w:rsid w:val="00131165"/>
    <w:rsid w:val="001321C0"/>
    <w:rsid w:val="001322CB"/>
    <w:rsid w:val="00132380"/>
    <w:rsid w:val="00132E44"/>
    <w:rsid w:val="001339C3"/>
    <w:rsid w:val="00133A17"/>
    <w:rsid w:val="00133DF4"/>
    <w:rsid w:val="001343D2"/>
    <w:rsid w:val="001348FF"/>
    <w:rsid w:val="00134A5F"/>
    <w:rsid w:val="00135088"/>
    <w:rsid w:val="0013515F"/>
    <w:rsid w:val="00135398"/>
    <w:rsid w:val="001354EB"/>
    <w:rsid w:val="00135751"/>
    <w:rsid w:val="001358BE"/>
    <w:rsid w:val="0013627F"/>
    <w:rsid w:val="001363DD"/>
    <w:rsid w:val="001367A3"/>
    <w:rsid w:val="00137139"/>
    <w:rsid w:val="001375E1"/>
    <w:rsid w:val="001379BF"/>
    <w:rsid w:val="00137F62"/>
    <w:rsid w:val="00140284"/>
    <w:rsid w:val="001404FC"/>
    <w:rsid w:val="00140739"/>
    <w:rsid w:val="00140740"/>
    <w:rsid w:val="00140AE9"/>
    <w:rsid w:val="00141237"/>
    <w:rsid w:val="00141373"/>
    <w:rsid w:val="00141BDA"/>
    <w:rsid w:val="00141C8A"/>
    <w:rsid w:val="00141CA5"/>
    <w:rsid w:val="00141D0B"/>
    <w:rsid w:val="00142648"/>
    <w:rsid w:val="001426A0"/>
    <w:rsid w:val="0014282B"/>
    <w:rsid w:val="001429F5"/>
    <w:rsid w:val="00143322"/>
    <w:rsid w:val="00143340"/>
    <w:rsid w:val="00143E97"/>
    <w:rsid w:val="00144281"/>
    <w:rsid w:val="001445D6"/>
    <w:rsid w:val="00144F9C"/>
    <w:rsid w:val="00144FF2"/>
    <w:rsid w:val="00145C3C"/>
    <w:rsid w:val="0014656F"/>
    <w:rsid w:val="00147103"/>
    <w:rsid w:val="00147764"/>
    <w:rsid w:val="001477AB"/>
    <w:rsid w:val="00147A8A"/>
    <w:rsid w:val="00147AF1"/>
    <w:rsid w:val="001503BF"/>
    <w:rsid w:val="00150A10"/>
    <w:rsid w:val="00150C22"/>
    <w:rsid w:val="00150ED9"/>
    <w:rsid w:val="00150FF4"/>
    <w:rsid w:val="00151614"/>
    <w:rsid w:val="001518FD"/>
    <w:rsid w:val="00151A63"/>
    <w:rsid w:val="00151FCA"/>
    <w:rsid w:val="001523BD"/>
    <w:rsid w:val="001527A2"/>
    <w:rsid w:val="0015282F"/>
    <w:rsid w:val="00152EB8"/>
    <w:rsid w:val="00153541"/>
    <w:rsid w:val="00153CFB"/>
    <w:rsid w:val="00153F28"/>
    <w:rsid w:val="0015453C"/>
    <w:rsid w:val="00154EB4"/>
    <w:rsid w:val="00155420"/>
    <w:rsid w:val="00155EFA"/>
    <w:rsid w:val="00156ACF"/>
    <w:rsid w:val="00156B01"/>
    <w:rsid w:val="00156F33"/>
    <w:rsid w:val="00156FE1"/>
    <w:rsid w:val="00157085"/>
    <w:rsid w:val="001572AC"/>
    <w:rsid w:val="00157872"/>
    <w:rsid w:val="00157AE5"/>
    <w:rsid w:val="00157D33"/>
    <w:rsid w:val="00157E0C"/>
    <w:rsid w:val="00160658"/>
    <w:rsid w:val="001608BB"/>
    <w:rsid w:val="00160992"/>
    <w:rsid w:val="00160B3E"/>
    <w:rsid w:val="001611C1"/>
    <w:rsid w:val="0016180A"/>
    <w:rsid w:val="00161851"/>
    <w:rsid w:val="0016189A"/>
    <w:rsid w:val="00161EFD"/>
    <w:rsid w:val="00162565"/>
    <w:rsid w:val="001626C6"/>
    <w:rsid w:val="00162FE3"/>
    <w:rsid w:val="00163484"/>
    <w:rsid w:val="00163AB6"/>
    <w:rsid w:val="00163AE0"/>
    <w:rsid w:val="00163F38"/>
    <w:rsid w:val="00164060"/>
    <w:rsid w:val="001647DB"/>
    <w:rsid w:val="001654C5"/>
    <w:rsid w:val="001659F0"/>
    <w:rsid w:val="0016761C"/>
    <w:rsid w:val="00167658"/>
    <w:rsid w:val="00167823"/>
    <w:rsid w:val="00167880"/>
    <w:rsid w:val="00170098"/>
    <w:rsid w:val="001700B3"/>
    <w:rsid w:val="00170791"/>
    <w:rsid w:val="00170B7E"/>
    <w:rsid w:val="0017141B"/>
    <w:rsid w:val="00171557"/>
    <w:rsid w:val="0017160B"/>
    <w:rsid w:val="0017246F"/>
    <w:rsid w:val="001727AE"/>
    <w:rsid w:val="00172808"/>
    <w:rsid w:val="00172CD9"/>
    <w:rsid w:val="00172D08"/>
    <w:rsid w:val="00173028"/>
    <w:rsid w:val="001730F9"/>
    <w:rsid w:val="0017315D"/>
    <w:rsid w:val="00173498"/>
    <w:rsid w:val="001749DA"/>
    <w:rsid w:val="00174C6C"/>
    <w:rsid w:val="00174E1F"/>
    <w:rsid w:val="0017549E"/>
    <w:rsid w:val="00175EFE"/>
    <w:rsid w:val="0017643F"/>
    <w:rsid w:val="0017713F"/>
    <w:rsid w:val="00177945"/>
    <w:rsid w:val="001802C3"/>
    <w:rsid w:val="00180328"/>
    <w:rsid w:val="00180E0F"/>
    <w:rsid w:val="00180FD2"/>
    <w:rsid w:val="0018116A"/>
    <w:rsid w:val="00181816"/>
    <w:rsid w:val="00181A0B"/>
    <w:rsid w:val="001826E2"/>
    <w:rsid w:val="001828D2"/>
    <w:rsid w:val="00182CD8"/>
    <w:rsid w:val="00182EE9"/>
    <w:rsid w:val="00183A4E"/>
    <w:rsid w:val="00183C05"/>
    <w:rsid w:val="00184054"/>
    <w:rsid w:val="00184254"/>
    <w:rsid w:val="00184864"/>
    <w:rsid w:val="00184CFA"/>
    <w:rsid w:val="00185432"/>
    <w:rsid w:val="001855C6"/>
    <w:rsid w:val="00185715"/>
    <w:rsid w:val="001863EE"/>
    <w:rsid w:val="001866A7"/>
    <w:rsid w:val="00186736"/>
    <w:rsid w:val="00186AB1"/>
    <w:rsid w:val="00187198"/>
    <w:rsid w:val="001905A6"/>
    <w:rsid w:val="00190A55"/>
    <w:rsid w:val="00190C7A"/>
    <w:rsid w:val="00191344"/>
    <w:rsid w:val="001914D8"/>
    <w:rsid w:val="0019152A"/>
    <w:rsid w:val="00191743"/>
    <w:rsid w:val="0019247D"/>
    <w:rsid w:val="001932AB"/>
    <w:rsid w:val="00193C2A"/>
    <w:rsid w:val="001945F6"/>
    <w:rsid w:val="00194B14"/>
    <w:rsid w:val="00194B80"/>
    <w:rsid w:val="00195217"/>
    <w:rsid w:val="0019528C"/>
    <w:rsid w:val="00195B69"/>
    <w:rsid w:val="00195BB4"/>
    <w:rsid w:val="00196FCE"/>
    <w:rsid w:val="00197B94"/>
    <w:rsid w:val="00197DDB"/>
    <w:rsid w:val="001A0625"/>
    <w:rsid w:val="001A0A3B"/>
    <w:rsid w:val="001A0AF4"/>
    <w:rsid w:val="001A0F6D"/>
    <w:rsid w:val="001A16D2"/>
    <w:rsid w:val="001A1BD2"/>
    <w:rsid w:val="001A1E2C"/>
    <w:rsid w:val="001A28F3"/>
    <w:rsid w:val="001A2AF3"/>
    <w:rsid w:val="001A2B2D"/>
    <w:rsid w:val="001A2CC5"/>
    <w:rsid w:val="001A326B"/>
    <w:rsid w:val="001A3889"/>
    <w:rsid w:val="001A3B7E"/>
    <w:rsid w:val="001A43ED"/>
    <w:rsid w:val="001A4622"/>
    <w:rsid w:val="001A472D"/>
    <w:rsid w:val="001A4E07"/>
    <w:rsid w:val="001A52BD"/>
    <w:rsid w:val="001A542F"/>
    <w:rsid w:val="001A565F"/>
    <w:rsid w:val="001A5A88"/>
    <w:rsid w:val="001A5B04"/>
    <w:rsid w:val="001A5DF6"/>
    <w:rsid w:val="001A6032"/>
    <w:rsid w:val="001A657E"/>
    <w:rsid w:val="001A699B"/>
    <w:rsid w:val="001A6C42"/>
    <w:rsid w:val="001A6EE1"/>
    <w:rsid w:val="001A7132"/>
    <w:rsid w:val="001A7A59"/>
    <w:rsid w:val="001A7C28"/>
    <w:rsid w:val="001B020C"/>
    <w:rsid w:val="001B07C0"/>
    <w:rsid w:val="001B0A3C"/>
    <w:rsid w:val="001B0B43"/>
    <w:rsid w:val="001B0C1B"/>
    <w:rsid w:val="001B15D4"/>
    <w:rsid w:val="001B1946"/>
    <w:rsid w:val="001B20D4"/>
    <w:rsid w:val="001B249F"/>
    <w:rsid w:val="001B4005"/>
    <w:rsid w:val="001B41DA"/>
    <w:rsid w:val="001B4AD0"/>
    <w:rsid w:val="001B4F1E"/>
    <w:rsid w:val="001B4FA8"/>
    <w:rsid w:val="001B5DEE"/>
    <w:rsid w:val="001B5FB5"/>
    <w:rsid w:val="001B6193"/>
    <w:rsid w:val="001B62D3"/>
    <w:rsid w:val="001B6673"/>
    <w:rsid w:val="001B679B"/>
    <w:rsid w:val="001B67A3"/>
    <w:rsid w:val="001B6B95"/>
    <w:rsid w:val="001B6CAF"/>
    <w:rsid w:val="001B72D9"/>
    <w:rsid w:val="001B74C0"/>
    <w:rsid w:val="001B76FB"/>
    <w:rsid w:val="001B7788"/>
    <w:rsid w:val="001B78B0"/>
    <w:rsid w:val="001C00E0"/>
    <w:rsid w:val="001C0289"/>
    <w:rsid w:val="001C0443"/>
    <w:rsid w:val="001C0BE8"/>
    <w:rsid w:val="001C0DB2"/>
    <w:rsid w:val="001C0F2D"/>
    <w:rsid w:val="001C11AC"/>
    <w:rsid w:val="001C1351"/>
    <w:rsid w:val="001C17A6"/>
    <w:rsid w:val="001C1A5E"/>
    <w:rsid w:val="001C1A9F"/>
    <w:rsid w:val="001C1F19"/>
    <w:rsid w:val="001C27F2"/>
    <w:rsid w:val="001C2C32"/>
    <w:rsid w:val="001C2FB8"/>
    <w:rsid w:val="001C301E"/>
    <w:rsid w:val="001C3126"/>
    <w:rsid w:val="001C3CBC"/>
    <w:rsid w:val="001C3D2F"/>
    <w:rsid w:val="001C3DFB"/>
    <w:rsid w:val="001C464F"/>
    <w:rsid w:val="001C4767"/>
    <w:rsid w:val="001C4915"/>
    <w:rsid w:val="001C58DF"/>
    <w:rsid w:val="001C63D1"/>
    <w:rsid w:val="001C6EEB"/>
    <w:rsid w:val="001C7065"/>
    <w:rsid w:val="001C70F4"/>
    <w:rsid w:val="001C72E0"/>
    <w:rsid w:val="001C7937"/>
    <w:rsid w:val="001C7E01"/>
    <w:rsid w:val="001C7F99"/>
    <w:rsid w:val="001D039A"/>
    <w:rsid w:val="001D0AFC"/>
    <w:rsid w:val="001D0FC9"/>
    <w:rsid w:val="001D17D4"/>
    <w:rsid w:val="001D18F3"/>
    <w:rsid w:val="001D2296"/>
    <w:rsid w:val="001D23BC"/>
    <w:rsid w:val="001D2571"/>
    <w:rsid w:val="001D273F"/>
    <w:rsid w:val="001D2B3A"/>
    <w:rsid w:val="001D2E26"/>
    <w:rsid w:val="001D3EC8"/>
    <w:rsid w:val="001D403A"/>
    <w:rsid w:val="001D424D"/>
    <w:rsid w:val="001D4C26"/>
    <w:rsid w:val="001D4D2E"/>
    <w:rsid w:val="001D5254"/>
    <w:rsid w:val="001D52D6"/>
    <w:rsid w:val="001D5C95"/>
    <w:rsid w:val="001D5E11"/>
    <w:rsid w:val="001D6075"/>
    <w:rsid w:val="001D6335"/>
    <w:rsid w:val="001D666C"/>
    <w:rsid w:val="001D67C4"/>
    <w:rsid w:val="001D69A7"/>
    <w:rsid w:val="001D6B0C"/>
    <w:rsid w:val="001D6BD6"/>
    <w:rsid w:val="001D6DAD"/>
    <w:rsid w:val="001D6FA6"/>
    <w:rsid w:val="001D745B"/>
    <w:rsid w:val="001D76BE"/>
    <w:rsid w:val="001E0257"/>
    <w:rsid w:val="001E0B8C"/>
    <w:rsid w:val="001E13FC"/>
    <w:rsid w:val="001E1B7B"/>
    <w:rsid w:val="001E1F0D"/>
    <w:rsid w:val="001E27F6"/>
    <w:rsid w:val="001E306D"/>
    <w:rsid w:val="001E30A6"/>
    <w:rsid w:val="001E355A"/>
    <w:rsid w:val="001E35CA"/>
    <w:rsid w:val="001E362F"/>
    <w:rsid w:val="001E37E2"/>
    <w:rsid w:val="001E3B3E"/>
    <w:rsid w:val="001E3F69"/>
    <w:rsid w:val="001E460D"/>
    <w:rsid w:val="001E47E4"/>
    <w:rsid w:val="001E5A55"/>
    <w:rsid w:val="001E5D36"/>
    <w:rsid w:val="001E5E86"/>
    <w:rsid w:val="001E617D"/>
    <w:rsid w:val="001E6300"/>
    <w:rsid w:val="001E64D3"/>
    <w:rsid w:val="001E6507"/>
    <w:rsid w:val="001E6E78"/>
    <w:rsid w:val="001F01AA"/>
    <w:rsid w:val="001F03D8"/>
    <w:rsid w:val="001F05F9"/>
    <w:rsid w:val="001F0AC1"/>
    <w:rsid w:val="001F132E"/>
    <w:rsid w:val="001F1A44"/>
    <w:rsid w:val="001F1CB4"/>
    <w:rsid w:val="001F2132"/>
    <w:rsid w:val="001F2D7E"/>
    <w:rsid w:val="001F31DE"/>
    <w:rsid w:val="001F35CF"/>
    <w:rsid w:val="001F3A26"/>
    <w:rsid w:val="001F3D26"/>
    <w:rsid w:val="001F3D4B"/>
    <w:rsid w:val="001F4240"/>
    <w:rsid w:val="001F4806"/>
    <w:rsid w:val="001F5670"/>
    <w:rsid w:val="001F6609"/>
    <w:rsid w:val="001F68F7"/>
    <w:rsid w:val="001F6BC8"/>
    <w:rsid w:val="001F6EB2"/>
    <w:rsid w:val="001F71BD"/>
    <w:rsid w:val="001F726E"/>
    <w:rsid w:val="001F73C9"/>
    <w:rsid w:val="001F798A"/>
    <w:rsid w:val="002003A3"/>
    <w:rsid w:val="00200778"/>
    <w:rsid w:val="00200809"/>
    <w:rsid w:val="00200F76"/>
    <w:rsid w:val="002018A3"/>
    <w:rsid w:val="00201BF4"/>
    <w:rsid w:val="00201CB8"/>
    <w:rsid w:val="00201F5E"/>
    <w:rsid w:val="0020242B"/>
    <w:rsid w:val="0020242F"/>
    <w:rsid w:val="00202821"/>
    <w:rsid w:val="00202C48"/>
    <w:rsid w:val="002040AB"/>
    <w:rsid w:val="002046DA"/>
    <w:rsid w:val="00204788"/>
    <w:rsid w:val="00204EFE"/>
    <w:rsid w:val="00205920"/>
    <w:rsid w:val="00205A08"/>
    <w:rsid w:val="00206019"/>
    <w:rsid w:val="00206227"/>
    <w:rsid w:val="00206347"/>
    <w:rsid w:val="00206381"/>
    <w:rsid w:val="00206563"/>
    <w:rsid w:val="00206C5C"/>
    <w:rsid w:val="00206EB8"/>
    <w:rsid w:val="002072E1"/>
    <w:rsid w:val="00207CF2"/>
    <w:rsid w:val="002106BE"/>
    <w:rsid w:val="0021075B"/>
    <w:rsid w:val="00210DB1"/>
    <w:rsid w:val="00211315"/>
    <w:rsid w:val="0021173D"/>
    <w:rsid w:val="00211812"/>
    <w:rsid w:val="00211CAA"/>
    <w:rsid w:val="00211DE5"/>
    <w:rsid w:val="00211F51"/>
    <w:rsid w:val="002120B0"/>
    <w:rsid w:val="00212818"/>
    <w:rsid w:val="00212986"/>
    <w:rsid w:val="00213099"/>
    <w:rsid w:val="00213503"/>
    <w:rsid w:val="00213556"/>
    <w:rsid w:val="00213758"/>
    <w:rsid w:val="00213E43"/>
    <w:rsid w:val="002146B6"/>
    <w:rsid w:val="002152F1"/>
    <w:rsid w:val="00215822"/>
    <w:rsid w:val="002163FF"/>
    <w:rsid w:val="002165B2"/>
    <w:rsid w:val="002167EA"/>
    <w:rsid w:val="0021741C"/>
    <w:rsid w:val="00217539"/>
    <w:rsid w:val="0021759C"/>
    <w:rsid w:val="00217692"/>
    <w:rsid w:val="00217B55"/>
    <w:rsid w:val="00217E40"/>
    <w:rsid w:val="00220133"/>
    <w:rsid w:val="00220563"/>
    <w:rsid w:val="0022072D"/>
    <w:rsid w:val="00220A18"/>
    <w:rsid w:val="00220B3F"/>
    <w:rsid w:val="00220CD5"/>
    <w:rsid w:val="002212D8"/>
    <w:rsid w:val="002217BD"/>
    <w:rsid w:val="00221888"/>
    <w:rsid w:val="00221974"/>
    <w:rsid w:val="00221BA1"/>
    <w:rsid w:val="00222676"/>
    <w:rsid w:val="00222BA4"/>
    <w:rsid w:val="00222FAA"/>
    <w:rsid w:val="0022367C"/>
    <w:rsid w:val="00223B4A"/>
    <w:rsid w:val="00223C24"/>
    <w:rsid w:val="00223C69"/>
    <w:rsid w:val="00223DDF"/>
    <w:rsid w:val="002240FA"/>
    <w:rsid w:val="002245A0"/>
    <w:rsid w:val="002249A3"/>
    <w:rsid w:val="00225147"/>
    <w:rsid w:val="00225697"/>
    <w:rsid w:val="0022599C"/>
    <w:rsid w:val="0022684B"/>
    <w:rsid w:val="002269AC"/>
    <w:rsid w:val="00226E43"/>
    <w:rsid w:val="00227005"/>
    <w:rsid w:val="002270E6"/>
    <w:rsid w:val="002275DB"/>
    <w:rsid w:val="00227D40"/>
    <w:rsid w:val="0023023F"/>
    <w:rsid w:val="00230ADA"/>
    <w:rsid w:val="00231129"/>
    <w:rsid w:val="00231CB6"/>
    <w:rsid w:val="00231D30"/>
    <w:rsid w:val="0023240D"/>
    <w:rsid w:val="002325B4"/>
    <w:rsid w:val="00232A49"/>
    <w:rsid w:val="00232AFA"/>
    <w:rsid w:val="00232BE0"/>
    <w:rsid w:val="00233607"/>
    <w:rsid w:val="00233675"/>
    <w:rsid w:val="00233891"/>
    <w:rsid w:val="00233E47"/>
    <w:rsid w:val="00233F8D"/>
    <w:rsid w:val="002345E1"/>
    <w:rsid w:val="0023487C"/>
    <w:rsid w:val="00234BDF"/>
    <w:rsid w:val="002355DB"/>
    <w:rsid w:val="00235B0A"/>
    <w:rsid w:val="00235B2F"/>
    <w:rsid w:val="00235F68"/>
    <w:rsid w:val="00235F74"/>
    <w:rsid w:val="00236490"/>
    <w:rsid w:val="00236D38"/>
    <w:rsid w:val="00236DFB"/>
    <w:rsid w:val="00237221"/>
    <w:rsid w:val="00237610"/>
    <w:rsid w:val="00237FE9"/>
    <w:rsid w:val="00240F7A"/>
    <w:rsid w:val="002410B5"/>
    <w:rsid w:val="002411BC"/>
    <w:rsid w:val="00241888"/>
    <w:rsid w:val="00242471"/>
    <w:rsid w:val="00242C2C"/>
    <w:rsid w:val="00242CC2"/>
    <w:rsid w:val="00242CCC"/>
    <w:rsid w:val="00242EF9"/>
    <w:rsid w:val="0024303A"/>
    <w:rsid w:val="00243D5A"/>
    <w:rsid w:val="002446A3"/>
    <w:rsid w:val="0024489D"/>
    <w:rsid w:val="00245603"/>
    <w:rsid w:val="0024582F"/>
    <w:rsid w:val="0024659A"/>
    <w:rsid w:val="002466D8"/>
    <w:rsid w:val="00246F35"/>
    <w:rsid w:val="00250038"/>
    <w:rsid w:val="0025008D"/>
    <w:rsid w:val="00250127"/>
    <w:rsid w:val="002502B5"/>
    <w:rsid w:val="00250363"/>
    <w:rsid w:val="00250772"/>
    <w:rsid w:val="00250CC1"/>
    <w:rsid w:val="002513DF"/>
    <w:rsid w:val="00251616"/>
    <w:rsid w:val="002517D7"/>
    <w:rsid w:val="00251C60"/>
    <w:rsid w:val="00252004"/>
    <w:rsid w:val="00252318"/>
    <w:rsid w:val="0025291D"/>
    <w:rsid w:val="00252F8D"/>
    <w:rsid w:val="002541D3"/>
    <w:rsid w:val="00254711"/>
    <w:rsid w:val="00254C2B"/>
    <w:rsid w:val="002550B3"/>
    <w:rsid w:val="002553D0"/>
    <w:rsid w:val="0025573D"/>
    <w:rsid w:val="00255A00"/>
    <w:rsid w:val="00256155"/>
    <w:rsid w:val="002564E4"/>
    <w:rsid w:val="00256805"/>
    <w:rsid w:val="0025680E"/>
    <w:rsid w:val="00256BB4"/>
    <w:rsid w:val="00256C5B"/>
    <w:rsid w:val="00256CA0"/>
    <w:rsid w:val="00256F87"/>
    <w:rsid w:val="0025704C"/>
    <w:rsid w:val="002571F8"/>
    <w:rsid w:val="00257230"/>
    <w:rsid w:val="00257730"/>
    <w:rsid w:val="00260058"/>
    <w:rsid w:val="0026046C"/>
    <w:rsid w:val="002610E4"/>
    <w:rsid w:val="002612A3"/>
    <w:rsid w:val="0026167E"/>
    <w:rsid w:val="002617BF"/>
    <w:rsid w:val="00261D30"/>
    <w:rsid w:val="00261D41"/>
    <w:rsid w:val="00262073"/>
    <w:rsid w:val="0026231B"/>
    <w:rsid w:val="002624DC"/>
    <w:rsid w:val="00262B97"/>
    <w:rsid w:val="00262FC8"/>
    <w:rsid w:val="00263454"/>
    <w:rsid w:val="00263A1B"/>
    <w:rsid w:val="00263F83"/>
    <w:rsid w:val="00264A71"/>
    <w:rsid w:val="00264C75"/>
    <w:rsid w:val="00264D8D"/>
    <w:rsid w:val="00264E80"/>
    <w:rsid w:val="002650CF"/>
    <w:rsid w:val="00265792"/>
    <w:rsid w:val="00265A38"/>
    <w:rsid w:val="002660BD"/>
    <w:rsid w:val="00266B08"/>
    <w:rsid w:val="00266C1F"/>
    <w:rsid w:val="002675EF"/>
    <w:rsid w:val="00267671"/>
    <w:rsid w:val="002676D1"/>
    <w:rsid w:val="00267D8B"/>
    <w:rsid w:val="00267FBD"/>
    <w:rsid w:val="0027046A"/>
    <w:rsid w:val="00270FF7"/>
    <w:rsid w:val="002710D8"/>
    <w:rsid w:val="002711CD"/>
    <w:rsid w:val="0027137B"/>
    <w:rsid w:val="00271C3A"/>
    <w:rsid w:val="00271D02"/>
    <w:rsid w:val="00271D8A"/>
    <w:rsid w:val="00271F61"/>
    <w:rsid w:val="00272451"/>
    <w:rsid w:val="00272495"/>
    <w:rsid w:val="002727AB"/>
    <w:rsid w:val="00273048"/>
    <w:rsid w:val="00273C60"/>
    <w:rsid w:val="00273D3F"/>
    <w:rsid w:val="00274259"/>
    <w:rsid w:val="002742C8"/>
    <w:rsid w:val="0027487D"/>
    <w:rsid w:val="00274A53"/>
    <w:rsid w:val="00274BB7"/>
    <w:rsid w:val="00275A7F"/>
    <w:rsid w:val="00275DDC"/>
    <w:rsid w:val="00275F3B"/>
    <w:rsid w:val="0027682F"/>
    <w:rsid w:val="00277928"/>
    <w:rsid w:val="00277A65"/>
    <w:rsid w:val="002802C4"/>
    <w:rsid w:val="00280D3D"/>
    <w:rsid w:val="00281003"/>
    <w:rsid w:val="0028128C"/>
    <w:rsid w:val="00281363"/>
    <w:rsid w:val="00281870"/>
    <w:rsid w:val="00281AD3"/>
    <w:rsid w:val="0028260F"/>
    <w:rsid w:val="00282EF5"/>
    <w:rsid w:val="0028303B"/>
    <w:rsid w:val="0028326F"/>
    <w:rsid w:val="002833D4"/>
    <w:rsid w:val="0028360C"/>
    <w:rsid w:val="002836B8"/>
    <w:rsid w:val="002839B9"/>
    <w:rsid w:val="00283E0B"/>
    <w:rsid w:val="00283F88"/>
    <w:rsid w:val="0028441F"/>
    <w:rsid w:val="00284AFB"/>
    <w:rsid w:val="00284EAC"/>
    <w:rsid w:val="0028577F"/>
    <w:rsid w:val="002863ED"/>
    <w:rsid w:val="0028641A"/>
    <w:rsid w:val="002866F8"/>
    <w:rsid w:val="00286735"/>
    <w:rsid w:val="00286CE0"/>
    <w:rsid w:val="002877D8"/>
    <w:rsid w:val="00287ADA"/>
    <w:rsid w:val="00287BFE"/>
    <w:rsid w:val="00287DA8"/>
    <w:rsid w:val="00287E37"/>
    <w:rsid w:val="0029022A"/>
    <w:rsid w:val="00290744"/>
    <w:rsid w:val="002909CD"/>
    <w:rsid w:val="00290F7E"/>
    <w:rsid w:val="0029174A"/>
    <w:rsid w:val="00291BE2"/>
    <w:rsid w:val="00291C7E"/>
    <w:rsid w:val="00291C80"/>
    <w:rsid w:val="00291CB0"/>
    <w:rsid w:val="002921B8"/>
    <w:rsid w:val="0029236C"/>
    <w:rsid w:val="00292717"/>
    <w:rsid w:val="0029308A"/>
    <w:rsid w:val="00293170"/>
    <w:rsid w:val="00293B5C"/>
    <w:rsid w:val="00294094"/>
    <w:rsid w:val="002945E4"/>
    <w:rsid w:val="00294608"/>
    <w:rsid w:val="00296192"/>
    <w:rsid w:val="00296360"/>
    <w:rsid w:val="00296425"/>
    <w:rsid w:val="00296AD6"/>
    <w:rsid w:val="00296BD6"/>
    <w:rsid w:val="00296F3C"/>
    <w:rsid w:val="002970AD"/>
    <w:rsid w:val="002A01C8"/>
    <w:rsid w:val="002A0A83"/>
    <w:rsid w:val="002A1268"/>
    <w:rsid w:val="002A1593"/>
    <w:rsid w:val="002A164B"/>
    <w:rsid w:val="002A1A34"/>
    <w:rsid w:val="002A1AB4"/>
    <w:rsid w:val="002A1CFF"/>
    <w:rsid w:val="002A22D9"/>
    <w:rsid w:val="002A2606"/>
    <w:rsid w:val="002A2D5F"/>
    <w:rsid w:val="002A3716"/>
    <w:rsid w:val="002A3F14"/>
    <w:rsid w:val="002A40E9"/>
    <w:rsid w:val="002A42ED"/>
    <w:rsid w:val="002A4576"/>
    <w:rsid w:val="002A4DC5"/>
    <w:rsid w:val="002A5340"/>
    <w:rsid w:val="002A53A7"/>
    <w:rsid w:val="002A55FA"/>
    <w:rsid w:val="002A6134"/>
    <w:rsid w:val="002A6B97"/>
    <w:rsid w:val="002A6DE8"/>
    <w:rsid w:val="002A74F0"/>
    <w:rsid w:val="002A78ED"/>
    <w:rsid w:val="002B06E6"/>
    <w:rsid w:val="002B12CD"/>
    <w:rsid w:val="002B145C"/>
    <w:rsid w:val="002B169B"/>
    <w:rsid w:val="002B1DEE"/>
    <w:rsid w:val="002B20DF"/>
    <w:rsid w:val="002B288B"/>
    <w:rsid w:val="002B291A"/>
    <w:rsid w:val="002B2EE0"/>
    <w:rsid w:val="002B3114"/>
    <w:rsid w:val="002B32FD"/>
    <w:rsid w:val="002B3831"/>
    <w:rsid w:val="002B3ACB"/>
    <w:rsid w:val="002B3F7F"/>
    <w:rsid w:val="002B414F"/>
    <w:rsid w:val="002B422C"/>
    <w:rsid w:val="002B47FF"/>
    <w:rsid w:val="002B48A4"/>
    <w:rsid w:val="002B48C7"/>
    <w:rsid w:val="002B4BB9"/>
    <w:rsid w:val="002B4CF6"/>
    <w:rsid w:val="002B4D65"/>
    <w:rsid w:val="002B4F1B"/>
    <w:rsid w:val="002B5031"/>
    <w:rsid w:val="002B5223"/>
    <w:rsid w:val="002B59D7"/>
    <w:rsid w:val="002B5D9B"/>
    <w:rsid w:val="002B67CC"/>
    <w:rsid w:val="002B69AA"/>
    <w:rsid w:val="002B6A82"/>
    <w:rsid w:val="002B6AFE"/>
    <w:rsid w:val="002B6C86"/>
    <w:rsid w:val="002B6E46"/>
    <w:rsid w:val="002B711A"/>
    <w:rsid w:val="002B737A"/>
    <w:rsid w:val="002B758D"/>
    <w:rsid w:val="002B77FC"/>
    <w:rsid w:val="002B7A4E"/>
    <w:rsid w:val="002B7EED"/>
    <w:rsid w:val="002B7F6A"/>
    <w:rsid w:val="002C05B5"/>
    <w:rsid w:val="002C0B37"/>
    <w:rsid w:val="002C0BC7"/>
    <w:rsid w:val="002C0E46"/>
    <w:rsid w:val="002C0E90"/>
    <w:rsid w:val="002C0F0D"/>
    <w:rsid w:val="002C1CF6"/>
    <w:rsid w:val="002C201A"/>
    <w:rsid w:val="002C2177"/>
    <w:rsid w:val="002C21EE"/>
    <w:rsid w:val="002C248C"/>
    <w:rsid w:val="002C2877"/>
    <w:rsid w:val="002C2C3C"/>
    <w:rsid w:val="002C33EF"/>
    <w:rsid w:val="002C3643"/>
    <w:rsid w:val="002C3A1D"/>
    <w:rsid w:val="002C3CFF"/>
    <w:rsid w:val="002C47CE"/>
    <w:rsid w:val="002C4B19"/>
    <w:rsid w:val="002C4D74"/>
    <w:rsid w:val="002C5E86"/>
    <w:rsid w:val="002C5FDF"/>
    <w:rsid w:val="002C6145"/>
    <w:rsid w:val="002C6477"/>
    <w:rsid w:val="002C6C28"/>
    <w:rsid w:val="002C73A7"/>
    <w:rsid w:val="002C752E"/>
    <w:rsid w:val="002C7638"/>
    <w:rsid w:val="002C7A27"/>
    <w:rsid w:val="002D0230"/>
    <w:rsid w:val="002D0BA2"/>
    <w:rsid w:val="002D0C09"/>
    <w:rsid w:val="002D0F86"/>
    <w:rsid w:val="002D1747"/>
    <w:rsid w:val="002D2258"/>
    <w:rsid w:val="002D27D5"/>
    <w:rsid w:val="002D2A77"/>
    <w:rsid w:val="002D2C84"/>
    <w:rsid w:val="002D2D33"/>
    <w:rsid w:val="002D2D9D"/>
    <w:rsid w:val="002D2FEE"/>
    <w:rsid w:val="002D30F6"/>
    <w:rsid w:val="002D32BF"/>
    <w:rsid w:val="002D3737"/>
    <w:rsid w:val="002D3ADD"/>
    <w:rsid w:val="002D46B2"/>
    <w:rsid w:val="002D5B73"/>
    <w:rsid w:val="002D5F81"/>
    <w:rsid w:val="002D68CA"/>
    <w:rsid w:val="002D6EB2"/>
    <w:rsid w:val="002D7323"/>
    <w:rsid w:val="002D7525"/>
    <w:rsid w:val="002D78AC"/>
    <w:rsid w:val="002D78F1"/>
    <w:rsid w:val="002D79DF"/>
    <w:rsid w:val="002D7FB5"/>
    <w:rsid w:val="002E0236"/>
    <w:rsid w:val="002E0E75"/>
    <w:rsid w:val="002E100D"/>
    <w:rsid w:val="002E10BD"/>
    <w:rsid w:val="002E1252"/>
    <w:rsid w:val="002E1791"/>
    <w:rsid w:val="002E17E6"/>
    <w:rsid w:val="002E188F"/>
    <w:rsid w:val="002E18D8"/>
    <w:rsid w:val="002E19EF"/>
    <w:rsid w:val="002E1B3F"/>
    <w:rsid w:val="002E204A"/>
    <w:rsid w:val="002E25FF"/>
    <w:rsid w:val="002E2D36"/>
    <w:rsid w:val="002E2FA3"/>
    <w:rsid w:val="002E3015"/>
    <w:rsid w:val="002E3038"/>
    <w:rsid w:val="002E3D7A"/>
    <w:rsid w:val="002E3E48"/>
    <w:rsid w:val="002E3F08"/>
    <w:rsid w:val="002E3FA5"/>
    <w:rsid w:val="002E4472"/>
    <w:rsid w:val="002E463D"/>
    <w:rsid w:val="002E4780"/>
    <w:rsid w:val="002E4B20"/>
    <w:rsid w:val="002E4C14"/>
    <w:rsid w:val="002E542F"/>
    <w:rsid w:val="002E55CF"/>
    <w:rsid w:val="002E5843"/>
    <w:rsid w:val="002E590D"/>
    <w:rsid w:val="002E5914"/>
    <w:rsid w:val="002E5F03"/>
    <w:rsid w:val="002E5F0B"/>
    <w:rsid w:val="002E6921"/>
    <w:rsid w:val="002F01CA"/>
    <w:rsid w:val="002F0757"/>
    <w:rsid w:val="002F0797"/>
    <w:rsid w:val="002F09B9"/>
    <w:rsid w:val="002F0B16"/>
    <w:rsid w:val="002F0B9E"/>
    <w:rsid w:val="002F167F"/>
    <w:rsid w:val="002F1978"/>
    <w:rsid w:val="002F27AB"/>
    <w:rsid w:val="002F292A"/>
    <w:rsid w:val="002F2DE0"/>
    <w:rsid w:val="002F340D"/>
    <w:rsid w:val="002F3818"/>
    <w:rsid w:val="002F41C8"/>
    <w:rsid w:val="002F5885"/>
    <w:rsid w:val="002F5B1D"/>
    <w:rsid w:val="002F60BA"/>
    <w:rsid w:val="002F64D2"/>
    <w:rsid w:val="002F69ED"/>
    <w:rsid w:val="002F6B8F"/>
    <w:rsid w:val="002F6F82"/>
    <w:rsid w:val="002F7251"/>
    <w:rsid w:val="002F7AFB"/>
    <w:rsid w:val="002F7D7D"/>
    <w:rsid w:val="002F7DDA"/>
    <w:rsid w:val="0030012F"/>
    <w:rsid w:val="003003E2"/>
    <w:rsid w:val="0030109A"/>
    <w:rsid w:val="003015A7"/>
    <w:rsid w:val="003015E6"/>
    <w:rsid w:val="003016DB"/>
    <w:rsid w:val="0030176F"/>
    <w:rsid w:val="00302527"/>
    <w:rsid w:val="00302C8C"/>
    <w:rsid w:val="00303084"/>
    <w:rsid w:val="0030314B"/>
    <w:rsid w:val="003036E8"/>
    <w:rsid w:val="00303A2D"/>
    <w:rsid w:val="00303CBD"/>
    <w:rsid w:val="00303DC3"/>
    <w:rsid w:val="003041AF"/>
    <w:rsid w:val="003043E6"/>
    <w:rsid w:val="00304572"/>
    <w:rsid w:val="0030571C"/>
    <w:rsid w:val="00305805"/>
    <w:rsid w:val="00305B1D"/>
    <w:rsid w:val="00305F09"/>
    <w:rsid w:val="00306C69"/>
    <w:rsid w:val="00307280"/>
    <w:rsid w:val="00307A60"/>
    <w:rsid w:val="0031022C"/>
    <w:rsid w:val="00310366"/>
    <w:rsid w:val="00310BCA"/>
    <w:rsid w:val="00310CE0"/>
    <w:rsid w:val="0031135A"/>
    <w:rsid w:val="003118DF"/>
    <w:rsid w:val="00311E20"/>
    <w:rsid w:val="00311E34"/>
    <w:rsid w:val="00311F8B"/>
    <w:rsid w:val="0031225B"/>
    <w:rsid w:val="0031242A"/>
    <w:rsid w:val="003129EE"/>
    <w:rsid w:val="003129FC"/>
    <w:rsid w:val="00312F92"/>
    <w:rsid w:val="003131C0"/>
    <w:rsid w:val="0031333B"/>
    <w:rsid w:val="003136D5"/>
    <w:rsid w:val="00313FB7"/>
    <w:rsid w:val="00314A51"/>
    <w:rsid w:val="00314E0C"/>
    <w:rsid w:val="00314E94"/>
    <w:rsid w:val="003151CE"/>
    <w:rsid w:val="00315964"/>
    <w:rsid w:val="00315CC8"/>
    <w:rsid w:val="00315E23"/>
    <w:rsid w:val="00315EA6"/>
    <w:rsid w:val="00316175"/>
    <w:rsid w:val="00316219"/>
    <w:rsid w:val="003164FB"/>
    <w:rsid w:val="003165ED"/>
    <w:rsid w:val="003169F6"/>
    <w:rsid w:val="00316AE1"/>
    <w:rsid w:val="00316DA2"/>
    <w:rsid w:val="00316F9C"/>
    <w:rsid w:val="00317160"/>
    <w:rsid w:val="0031788B"/>
    <w:rsid w:val="003178FB"/>
    <w:rsid w:val="00317979"/>
    <w:rsid w:val="003179E1"/>
    <w:rsid w:val="00317B03"/>
    <w:rsid w:val="00317E01"/>
    <w:rsid w:val="00320004"/>
    <w:rsid w:val="00320171"/>
    <w:rsid w:val="00320F16"/>
    <w:rsid w:val="0032109C"/>
    <w:rsid w:val="0032144F"/>
    <w:rsid w:val="00321F14"/>
    <w:rsid w:val="00321F9F"/>
    <w:rsid w:val="00323013"/>
    <w:rsid w:val="00323517"/>
    <w:rsid w:val="003239FD"/>
    <w:rsid w:val="0032429E"/>
    <w:rsid w:val="0032483B"/>
    <w:rsid w:val="00324B3D"/>
    <w:rsid w:val="0032506F"/>
    <w:rsid w:val="00325163"/>
    <w:rsid w:val="00325719"/>
    <w:rsid w:val="00325F13"/>
    <w:rsid w:val="00325F80"/>
    <w:rsid w:val="003263A0"/>
    <w:rsid w:val="00326D91"/>
    <w:rsid w:val="00326DA3"/>
    <w:rsid w:val="003270ED"/>
    <w:rsid w:val="00327155"/>
    <w:rsid w:val="00327353"/>
    <w:rsid w:val="00327487"/>
    <w:rsid w:val="00327758"/>
    <w:rsid w:val="00327814"/>
    <w:rsid w:val="00330190"/>
    <w:rsid w:val="003301F8"/>
    <w:rsid w:val="0033102E"/>
    <w:rsid w:val="003314B1"/>
    <w:rsid w:val="003317CA"/>
    <w:rsid w:val="00331BF9"/>
    <w:rsid w:val="00331D03"/>
    <w:rsid w:val="003320C6"/>
    <w:rsid w:val="00332A18"/>
    <w:rsid w:val="00332CB7"/>
    <w:rsid w:val="00332CC0"/>
    <w:rsid w:val="00332E78"/>
    <w:rsid w:val="00333379"/>
    <w:rsid w:val="003338CE"/>
    <w:rsid w:val="00333A67"/>
    <w:rsid w:val="00333C2F"/>
    <w:rsid w:val="003340FA"/>
    <w:rsid w:val="0033429F"/>
    <w:rsid w:val="0033439D"/>
    <w:rsid w:val="0033443C"/>
    <w:rsid w:val="003344D4"/>
    <w:rsid w:val="00334A15"/>
    <w:rsid w:val="00334CA2"/>
    <w:rsid w:val="00334CBE"/>
    <w:rsid w:val="00334FD8"/>
    <w:rsid w:val="00335074"/>
    <w:rsid w:val="0033632B"/>
    <w:rsid w:val="0033671A"/>
    <w:rsid w:val="00337134"/>
    <w:rsid w:val="00337317"/>
    <w:rsid w:val="00337B5E"/>
    <w:rsid w:val="00340359"/>
    <w:rsid w:val="00340B24"/>
    <w:rsid w:val="00340B70"/>
    <w:rsid w:val="00341D15"/>
    <w:rsid w:val="0034220C"/>
    <w:rsid w:val="00342505"/>
    <w:rsid w:val="0034253F"/>
    <w:rsid w:val="00342DCA"/>
    <w:rsid w:val="0034381A"/>
    <w:rsid w:val="0034438B"/>
    <w:rsid w:val="003444A3"/>
    <w:rsid w:val="00344DC4"/>
    <w:rsid w:val="00344E0F"/>
    <w:rsid w:val="00344F58"/>
    <w:rsid w:val="00345046"/>
    <w:rsid w:val="003453B7"/>
    <w:rsid w:val="00345702"/>
    <w:rsid w:val="00345C7C"/>
    <w:rsid w:val="00345CDC"/>
    <w:rsid w:val="00345D0E"/>
    <w:rsid w:val="0034622F"/>
    <w:rsid w:val="003467D7"/>
    <w:rsid w:val="00346887"/>
    <w:rsid w:val="00346AE5"/>
    <w:rsid w:val="00346C9F"/>
    <w:rsid w:val="00346CF7"/>
    <w:rsid w:val="00346E49"/>
    <w:rsid w:val="0034788A"/>
    <w:rsid w:val="0034796C"/>
    <w:rsid w:val="00350344"/>
    <w:rsid w:val="0035098B"/>
    <w:rsid w:val="00350DEA"/>
    <w:rsid w:val="00350F6B"/>
    <w:rsid w:val="0035169A"/>
    <w:rsid w:val="0035197B"/>
    <w:rsid w:val="00351BC9"/>
    <w:rsid w:val="00351C49"/>
    <w:rsid w:val="00352526"/>
    <w:rsid w:val="0035265A"/>
    <w:rsid w:val="0035296A"/>
    <w:rsid w:val="00352F8A"/>
    <w:rsid w:val="00353370"/>
    <w:rsid w:val="00353553"/>
    <w:rsid w:val="00353AC4"/>
    <w:rsid w:val="00353FBE"/>
    <w:rsid w:val="0035407D"/>
    <w:rsid w:val="0035438F"/>
    <w:rsid w:val="00354D44"/>
    <w:rsid w:val="00355480"/>
    <w:rsid w:val="00355666"/>
    <w:rsid w:val="00355B2B"/>
    <w:rsid w:val="00355BB4"/>
    <w:rsid w:val="003566B1"/>
    <w:rsid w:val="003566F2"/>
    <w:rsid w:val="00356BBE"/>
    <w:rsid w:val="00356C7E"/>
    <w:rsid w:val="00356E3F"/>
    <w:rsid w:val="00357788"/>
    <w:rsid w:val="003577AC"/>
    <w:rsid w:val="00360386"/>
    <w:rsid w:val="00360501"/>
    <w:rsid w:val="0036061E"/>
    <w:rsid w:val="003606C4"/>
    <w:rsid w:val="003607DA"/>
    <w:rsid w:val="0036096D"/>
    <w:rsid w:val="00360D5C"/>
    <w:rsid w:val="00361072"/>
    <w:rsid w:val="0036159E"/>
    <w:rsid w:val="0036190D"/>
    <w:rsid w:val="00361AF4"/>
    <w:rsid w:val="00361CE3"/>
    <w:rsid w:val="00361D77"/>
    <w:rsid w:val="00362A4C"/>
    <w:rsid w:val="00363E32"/>
    <w:rsid w:val="00363F6C"/>
    <w:rsid w:val="00364B20"/>
    <w:rsid w:val="003650BB"/>
    <w:rsid w:val="00365264"/>
    <w:rsid w:val="00365AFA"/>
    <w:rsid w:val="00365BF8"/>
    <w:rsid w:val="00366237"/>
    <w:rsid w:val="003665C0"/>
    <w:rsid w:val="00366BFE"/>
    <w:rsid w:val="00366E0D"/>
    <w:rsid w:val="00367376"/>
    <w:rsid w:val="0036742A"/>
    <w:rsid w:val="0036743E"/>
    <w:rsid w:val="00367C98"/>
    <w:rsid w:val="003704EE"/>
    <w:rsid w:val="00371643"/>
    <w:rsid w:val="0037169D"/>
    <w:rsid w:val="00371D5E"/>
    <w:rsid w:val="003728C6"/>
    <w:rsid w:val="003728C8"/>
    <w:rsid w:val="0037295C"/>
    <w:rsid w:val="00372B13"/>
    <w:rsid w:val="00372B1C"/>
    <w:rsid w:val="00372FBE"/>
    <w:rsid w:val="00373143"/>
    <w:rsid w:val="00373D7B"/>
    <w:rsid w:val="0037573F"/>
    <w:rsid w:val="00375D95"/>
    <w:rsid w:val="00375F62"/>
    <w:rsid w:val="003765AC"/>
    <w:rsid w:val="00376C01"/>
    <w:rsid w:val="0037706D"/>
    <w:rsid w:val="003771C6"/>
    <w:rsid w:val="003771D9"/>
    <w:rsid w:val="003776A0"/>
    <w:rsid w:val="003806B4"/>
    <w:rsid w:val="003807DF"/>
    <w:rsid w:val="00380852"/>
    <w:rsid w:val="00380ECB"/>
    <w:rsid w:val="003810BE"/>
    <w:rsid w:val="00381162"/>
    <w:rsid w:val="003818B2"/>
    <w:rsid w:val="00381BA0"/>
    <w:rsid w:val="00381D8B"/>
    <w:rsid w:val="00381FD3"/>
    <w:rsid w:val="003824D4"/>
    <w:rsid w:val="0038270B"/>
    <w:rsid w:val="003827D9"/>
    <w:rsid w:val="00383453"/>
    <w:rsid w:val="00383588"/>
    <w:rsid w:val="00383765"/>
    <w:rsid w:val="003838B8"/>
    <w:rsid w:val="003838D0"/>
    <w:rsid w:val="00383ABB"/>
    <w:rsid w:val="00383CD5"/>
    <w:rsid w:val="00384314"/>
    <w:rsid w:val="00384C40"/>
    <w:rsid w:val="00384C50"/>
    <w:rsid w:val="00384E2B"/>
    <w:rsid w:val="0038649C"/>
    <w:rsid w:val="00387A3A"/>
    <w:rsid w:val="00387D3A"/>
    <w:rsid w:val="00387F22"/>
    <w:rsid w:val="00390302"/>
    <w:rsid w:val="003903B6"/>
    <w:rsid w:val="0039079F"/>
    <w:rsid w:val="00390C6D"/>
    <w:rsid w:val="003910AA"/>
    <w:rsid w:val="003910F9"/>
    <w:rsid w:val="00391359"/>
    <w:rsid w:val="00392984"/>
    <w:rsid w:val="00393255"/>
    <w:rsid w:val="003932E9"/>
    <w:rsid w:val="00394080"/>
    <w:rsid w:val="003941A1"/>
    <w:rsid w:val="00394546"/>
    <w:rsid w:val="003946D2"/>
    <w:rsid w:val="003949B9"/>
    <w:rsid w:val="00394A0A"/>
    <w:rsid w:val="00395A02"/>
    <w:rsid w:val="00395A48"/>
    <w:rsid w:val="00395B95"/>
    <w:rsid w:val="00396632"/>
    <w:rsid w:val="003966B0"/>
    <w:rsid w:val="00396AE3"/>
    <w:rsid w:val="00396E3C"/>
    <w:rsid w:val="00396F97"/>
    <w:rsid w:val="003977B7"/>
    <w:rsid w:val="00397FD3"/>
    <w:rsid w:val="003A048A"/>
    <w:rsid w:val="003A0E88"/>
    <w:rsid w:val="003A1810"/>
    <w:rsid w:val="003A1B5E"/>
    <w:rsid w:val="003A2454"/>
    <w:rsid w:val="003A27E3"/>
    <w:rsid w:val="003A2E6D"/>
    <w:rsid w:val="003A3ACA"/>
    <w:rsid w:val="003A41CF"/>
    <w:rsid w:val="003A4D9B"/>
    <w:rsid w:val="003A4E09"/>
    <w:rsid w:val="003A5241"/>
    <w:rsid w:val="003A52A8"/>
    <w:rsid w:val="003A56F5"/>
    <w:rsid w:val="003A5962"/>
    <w:rsid w:val="003A5D4F"/>
    <w:rsid w:val="003A6B73"/>
    <w:rsid w:val="003A6B9E"/>
    <w:rsid w:val="003A6CCA"/>
    <w:rsid w:val="003A7598"/>
    <w:rsid w:val="003A7E65"/>
    <w:rsid w:val="003A7F45"/>
    <w:rsid w:val="003B02CD"/>
    <w:rsid w:val="003B0440"/>
    <w:rsid w:val="003B05C3"/>
    <w:rsid w:val="003B0B07"/>
    <w:rsid w:val="003B0B3B"/>
    <w:rsid w:val="003B1328"/>
    <w:rsid w:val="003B1746"/>
    <w:rsid w:val="003B191B"/>
    <w:rsid w:val="003B22F3"/>
    <w:rsid w:val="003B24D0"/>
    <w:rsid w:val="003B2C8D"/>
    <w:rsid w:val="003B2D9E"/>
    <w:rsid w:val="003B39BC"/>
    <w:rsid w:val="003B4128"/>
    <w:rsid w:val="003B4316"/>
    <w:rsid w:val="003B432B"/>
    <w:rsid w:val="003B4D9C"/>
    <w:rsid w:val="003B4F14"/>
    <w:rsid w:val="003B5463"/>
    <w:rsid w:val="003B5A1A"/>
    <w:rsid w:val="003B5F1D"/>
    <w:rsid w:val="003B5FDA"/>
    <w:rsid w:val="003B76A4"/>
    <w:rsid w:val="003B7DC5"/>
    <w:rsid w:val="003C0063"/>
    <w:rsid w:val="003C0554"/>
    <w:rsid w:val="003C0918"/>
    <w:rsid w:val="003C0AB0"/>
    <w:rsid w:val="003C0BE2"/>
    <w:rsid w:val="003C1017"/>
    <w:rsid w:val="003C1156"/>
    <w:rsid w:val="003C28D4"/>
    <w:rsid w:val="003C2DC5"/>
    <w:rsid w:val="003C334F"/>
    <w:rsid w:val="003C37A5"/>
    <w:rsid w:val="003C401B"/>
    <w:rsid w:val="003C504A"/>
    <w:rsid w:val="003C526C"/>
    <w:rsid w:val="003C54C4"/>
    <w:rsid w:val="003C5BEE"/>
    <w:rsid w:val="003C6439"/>
    <w:rsid w:val="003C666F"/>
    <w:rsid w:val="003C68C5"/>
    <w:rsid w:val="003C6B47"/>
    <w:rsid w:val="003C6D11"/>
    <w:rsid w:val="003C70D7"/>
    <w:rsid w:val="003C7B03"/>
    <w:rsid w:val="003D10DB"/>
    <w:rsid w:val="003D1232"/>
    <w:rsid w:val="003D18EE"/>
    <w:rsid w:val="003D1E86"/>
    <w:rsid w:val="003D2295"/>
    <w:rsid w:val="003D232F"/>
    <w:rsid w:val="003D2C11"/>
    <w:rsid w:val="003D2D1F"/>
    <w:rsid w:val="003D2D90"/>
    <w:rsid w:val="003D318C"/>
    <w:rsid w:val="003D35EC"/>
    <w:rsid w:val="003D374C"/>
    <w:rsid w:val="003D3906"/>
    <w:rsid w:val="003D39B7"/>
    <w:rsid w:val="003D3D89"/>
    <w:rsid w:val="003D5191"/>
    <w:rsid w:val="003D607D"/>
    <w:rsid w:val="003D62AA"/>
    <w:rsid w:val="003D659F"/>
    <w:rsid w:val="003D66D0"/>
    <w:rsid w:val="003D6B0C"/>
    <w:rsid w:val="003D6F7C"/>
    <w:rsid w:val="003D7606"/>
    <w:rsid w:val="003D7D2E"/>
    <w:rsid w:val="003E0C11"/>
    <w:rsid w:val="003E1595"/>
    <w:rsid w:val="003E15F7"/>
    <w:rsid w:val="003E1CA0"/>
    <w:rsid w:val="003E1E14"/>
    <w:rsid w:val="003E2507"/>
    <w:rsid w:val="003E2D2B"/>
    <w:rsid w:val="003E30B3"/>
    <w:rsid w:val="003E3118"/>
    <w:rsid w:val="003E3895"/>
    <w:rsid w:val="003E3EA9"/>
    <w:rsid w:val="003E476C"/>
    <w:rsid w:val="003E5CDE"/>
    <w:rsid w:val="003E5D72"/>
    <w:rsid w:val="003E6933"/>
    <w:rsid w:val="003E6BBD"/>
    <w:rsid w:val="003E6F03"/>
    <w:rsid w:val="003E7076"/>
    <w:rsid w:val="003E7C26"/>
    <w:rsid w:val="003F00CD"/>
    <w:rsid w:val="003F096A"/>
    <w:rsid w:val="003F0CE4"/>
    <w:rsid w:val="003F0CF5"/>
    <w:rsid w:val="003F1226"/>
    <w:rsid w:val="003F1644"/>
    <w:rsid w:val="003F1C7F"/>
    <w:rsid w:val="003F2631"/>
    <w:rsid w:val="003F3257"/>
    <w:rsid w:val="003F412C"/>
    <w:rsid w:val="003F42B5"/>
    <w:rsid w:val="003F42C1"/>
    <w:rsid w:val="003F42DA"/>
    <w:rsid w:val="003F45EE"/>
    <w:rsid w:val="003F4A68"/>
    <w:rsid w:val="003F4A78"/>
    <w:rsid w:val="003F4BFB"/>
    <w:rsid w:val="003F547F"/>
    <w:rsid w:val="003F693B"/>
    <w:rsid w:val="003F712A"/>
    <w:rsid w:val="003F714A"/>
    <w:rsid w:val="003F72C1"/>
    <w:rsid w:val="00400042"/>
    <w:rsid w:val="00400E08"/>
    <w:rsid w:val="00400ED6"/>
    <w:rsid w:val="00401260"/>
    <w:rsid w:val="00401AC0"/>
    <w:rsid w:val="00401AD5"/>
    <w:rsid w:val="00401C6E"/>
    <w:rsid w:val="00401D90"/>
    <w:rsid w:val="00401F30"/>
    <w:rsid w:val="004025C8"/>
    <w:rsid w:val="00403328"/>
    <w:rsid w:val="00403B06"/>
    <w:rsid w:val="004040E6"/>
    <w:rsid w:val="00404337"/>
    <w:rsid w:val="004053CF"/>
    <w:rsid w:val="00405760"/>
    <w:rsid w:val="004057EA"/>
    <w:rsid w:val="0040597B"/>
    <w:rsid w:val="00405CF0"/>
    <w:rsid w:val="00406304"/>
    <w:rsid w:val="004066B4"/>
    <w:rsid w:val="0040678B"/>
    <w:rsid w:val="00406D39"/>
    <w:rsid w:val="004073B2"/>
    <w:rsid w:val="00407E35"/>
    <w:rsid w:val="00411223"/>
    <w:rsid w:val="00411945"/>
    <w:rsid w:val="00411E1C"/>
    <w:rsid w:val="00411F9D"/>
    <w:rsid w:val="00412E04"/>
    <w:rsid w:val="004131F9"/>
    <w:rsid w:val="004134C6"/>
    <w:rsid w:val="0041379D"/>
    <w:rsid w:val="00413C04"/>
    <w:rsid w:val="00413D27"/>
    <w:rsid w:val="00413F26"/>
    <w:rsid w:val="004151E1"/>
    <w:rsid w:val="004153CA"/>
    <w:rsid w:val="004154EF"/>
    <w:rsid w:val="004156DA"/>
    <w:rsid w:val="004158C7"/>
    <w:rsid w:val="00415A80"/>
    <w:rsid w:val="00415D9A"/>
    <w:rsid w:val="00415DB6"/>
    <w:rsid w:val="004161B7"/>
    <w:rsid w:val="004164E3"/>
    <w:rsid w:val="00416535"/>
    <w:rsid w:val="00416696"/>
    <w:rsid w:val="00416C9B"/>
    <w:rsid w:val="004171C0"/>
    <w:rsid w:val="004173E4"/>
    <w:rsid w:val="0041788F"/>
    <w:rsid w:val="00417C04"/>
    <w:rsid w:val="00417D55"/>
    <w:rsid w:val="00421211"/>
    <w:rsid w:val="00421BF9"/>
    <w:rsid w:val="00422829"/>
    <w:rsid w:val="004230B8"/>
    <w:rsid w:val="00423788"/>
    <w:rsid w:val="00423B74"/>
    <w:rsid w:val="00424C05"/>
    <w:rsid w:val="004250C8"/>
    <w:rsid w:val="00425231"/>
    <w:rsid w:val="00425728"/>
    <w:rsid w:val="0042612D"/>
    <w:rsid w:val="004264E5"/>
    <w:rsid w:val="00426658"/>
    <w:rsid w:val="00426E88"/>
    <w:rsid w:val="00427194"/>
    <w:rsid w:val="00427B31"/>
    <w:rsid w:val="004304F4"/>
    <w:rsid w:val="00430C32"/>
    <w:rsid w:val="00431625"/>
    <w:rsid w:val="004319CD"/>
    <w:rsid w:val="00431AA3"/>
    <w:rsid w:val="00431BB0"/>
    <w:rsid w:val="00431E82"/>
    <w:rsid w:val="004320C4"/>
    <w:rsid w:val="00432186"/>
    <w:rsid w:val="0043262D"/>
    <w:rsid w:val="00433028"/>
    <w:rsid w:val="004335A6"/>
    <w:rsid w:val="004338FF"/>
    <w:rsid w:val="00433C6F"/>
    <w:rsid w:val="004340FA"/>
    <w:rsid w:val="00434B77"/>
    <w:rsid w:val="0043569C"/>
    <w:rsid w:val="00435EDE"/>
    <w:rsid w:val="004361F4"/>
    <w:rsid w:val="004362C8"/>
    <w:rsid w:val="0043637E"/>
    <w:rsid w:val="00436AC0"/>
    <w:rsid w:val="004372E5"/>
    <w:rsid w:val="00437702"/>
    <w:rsid w:val="0043798A"/>
    <w:rsid w:val="00437FDA"/>
    <w:rsid w:val="00440000"/>
    <w:rsid w:val="004407F1"/>
    <w:rsid w:val="004416B5"/>
    <w:rsid w:val="00441B9A"/>
    <w:rsid w:val="00441E57"/>
    <w:rsid w:val="00441EF7"/>
    <w:rsid w:val="004420B2"/>
    <w:rsid w:val="00442E9D"/>
    <w:rsid w:val="00443055"/>
    <w:rsid w:val="004434E3"/>
    <w:rsid w:val="00444005"/>
    <w:rsid w:val="00444A78"/>
    <w:rsid w:val="004450F5"/>
    <w:rsid w:val="004462D8"/>
    <w:rsid w:val="00446326"/>
    <w:rsid w:val="00446598"/>
    <w:rsid w:val="004467B4"/>
    <w:rsid w:val="004468F5"/>
    <w:rsid w:val="004469D8"/>
    <w:rsid w:val="0044745A"/>
    <w:rsid w:val="00447463"/>
    <w:rsid w:val="00447535"/>
    <w:rsid w:val="00447648"/>
    <w:rsid w:val="004508FD"/>
    <w:rsid w:val="00450AA9"/>
    <w:rsid w:val="00450F2D"/>
    <w:rsid w:val="00450FBD"/>
    <w:rsid w:val="0045106A"/>
    <w:rsid w:val="004519D4"/>
    <w:rsid w:val="00451A09"/>
    <w:rsid w:val="00452171"/>
    <w:rsid w:val="0045235D"/>
    <w:rsid w:val="004523FE"/>
    <w:rsid w:val="00453358"/>
    <w:rsid w:val="0045398F"/>
    <w:rsid w:val="00453EB8"/>
    <w:rsid w:val="00454226"/>
    <w:rsid w:val="0045434F"/>
    <w:rsid w:val="00454384"/>
    <w:rsid w:val="004543BB"/>
    <w:rsid w:val="0045476B"/>
    <w:rsid w:val="004556EE"/>
    <w:rsid w:val="004557D9"/>
    <w:rsid w:val="0045582E"/>
    <w:rsid w:val="00455983"/>
    <w:rsid w:val="00455CDF"/>
    <w:rsid w:val="00455F91"/>
    <w:rsid w:val="00456FE5"/>
    <w:rsid w:val="00457053"/>
    <w:rsid w:val="00457282"/>
    <w:rsid w:val="0045754E"/>
    <w:rsid w:val="004577C8"/>
    <w:rsid w:val="00457A55"/>
    <w:rsid w:val="00457F4F"/>
    <w:rsid w:val="0046005E"/>
    <w:rsid w:val="004602D0"/>
    <w:rsid w:val="0046049A"/>
    <w:rsid w:val="004604A1"/>
    <w:rsid w:val="00460EB3"/>
    <w:rsid w:val="004612DE"/>
    <w:rsid w:val="00461F5B"/>
    <w:rsid w:val="00462206"/>
    <w:rsid w:val="00462A11"/>
    <w:rsid w:val="00462BD6"/>
    <w:rsid w:val="00462DC9"/>
    <w:rsid w:val="00463040"/>
    <w:rsid w:val="004638B6"/>
    <w:rsid w:val="004640C5"/>
    <w:rsid w:val="004642A4"/>
    <w:rsid w:val="00464855"/>
    <w:rsid w:val="0046499A"/>
    <w:rsid w:val="00464E02"/>
    <w:rsid w:val="0046557C"/>
    <w:rsid w:val="00465B90"/>
    <w:rsid w:val="00465FD3"/>
    <w:rsid w:val="00466213"/>
    <w:rsid w:val="00466386"/>
    <w:rsid w:val="0046711E"/>
    <w:rsid w:val="0046721F"/>
    <w:rsid w:val="0046740D"/>
    <w:rsid w:val="00467933"/>
    <w:rsid w:val="00467E80"/>
    <w:rsid w:val="00470091"/>
    <w:rsid w:val="004702DA"/>
    <w:rsid w:val="004704D9"/>
    <w:rsid w:val="004706E6"/>
    <w:rsid w:val="00470BC3"/>
    <w:rsid w:val="00470D9D"/>
    <w:rsid w:val="004714EF"/>
    <w:rsid w:val="00471602"/>
    <w:rsid w:val="004726B1"/>
    <w:rsid w:val="004726D2"/>
    <w:rsid w:val="00473594"/>
    <w:rsid w:val="00473636"/>
    <w:rsid w:val="00473BAD"/>
    <w:rsid w:val="00473D08"/>
    <w:rsid w:val="00474B82"/>
    <w:rsid w:val="00474C71"/>
    <w:rsid w:val="00475417"/>
    <w:rsid w:val="00475471"/>
    <w:rsid w:val="00475AD5"/>
    <w:rsid w:val="00475E98"/>
    <w:rsid w:val="004767CD"/>
    <w:rsid w:val="0048013E"/>
    <w:rsid w:val="00480220"/>
    <w:rsid w:val="00480524"/>
    <w:rsid w:val="004805ED"/>
    <w:rsid w:val="00481189"/>
    <w:rsid w:val="004811D7"/>
    <w:rsid w:val="00481222"/>
    <w:rsid w:val="00481916"/>
    <w:rsid w:val="00481999"/>
    <w:rsid w:val="00481F3F"/>
    <w:rsid w:val="0048227D"/>
    <w:rsid w:val="00482B4D"/>
    <w:rsid w:val="00482BEB"/>
    <w:rsid w:val="00482E1D"/>
    <w:rsid w:val="00483253"/>
    <w:rsid w:val="00483B76"/>
    <w:rsid w:val="0048456B"/>
    <w:rsid w:val="004845A8"/>
    <w:rsid w:val="00484653"/>
    <w:rsid w:val="0048485D"/>
    <w:rsid w:val="004849A7"/>
    <w:rsid w:val="004849F8"/>
    <w:rsid w:val="00484CED"/>
    <w:rsid w:val="004855EA"/>
    <w:rsid w:val="00485BCF"/>
    <w:rsid w:val="00485FBB"/>
    <w:rsid w:val="0048627E"/>
    <w:rsid w:val="0048667A"/>
    <w:rsid w:val="004868CB"/>
    <w:rsid w:val="00486C24"/>
    <w:rsid w:val="00486E92"/>
    <w:rsid w:val="004872FC"/>
    <w:rsid w:val="00487552"/>
    <w:rsid w:val="0048797D"/>
    <w:rsid w:val="00487C18"/>
    <w:rsid w:val="00487EF5"/>
    <w:rsid w:val="0049033D"/>
    <w:rsid w:val="00490975"/>
    <w:rsid w:val="00490A28"/>
    <w:rsid w:val="00490ADA"/>
    <w:rsid w:val="00490C2E"/>
    <w:rsid w:val="004911EA"/>
    <w:rsid w:val="004911F5"/>
    <w:rsid w:val="004918A5"/>
    <w:rsid w:val="00491B3D"/>
    <w:rsid w:val="0049261F"/>
    <w:rsid w:val="004926BF"/>
    <w:rsid w:val="004926C4"/>
    <w:rsid w:val="0049281E"/>
    <w:rsid w:val="00492920"/>
    <w:rsid w:val="00493219"/>
    <w:rsid w:val="00493291"/>
    <w:rsid w:val="004938AB"/>
    <w:rsid w:val="00493E50"/>
    <w:rsid w:val="00494131"/>
    <w:rsid w:val="00494143"/>
    <w:rsid w:val="004945A6"/>
    <w:rsid w:val="004948F8"/>
    <w:rsid w:val="00495B0C"/>
    <w:rsid w:val="00495B1A"/>
    <w:rsid w:val="004968FA"/>
    <w:rsid w:val="00496BE9"/>
    <w:rsid w:val="0049763A"/>
    <w:rsid w:val="00497CC0"/>
    <w:rsid w:val="004A0183"/>
    <w:rsid w:val="004A028C"/>
    <w:rsid w:val="004A1413"/>
    <w:rsid w:val="004A1591"/>
    <w:rsid w:val="004A1B05"/>
    <w:rsid w:val="004A1B0C"/>
    <w:rsid w:val="004A1C29"/>
    <w:rsid w:val="004A1CDC"/>
    <w:rsid w:val="004A1DA7"/>
    <w:rsid w:val="004A1E34"/>
    <w:rsid w:val="004A27E4"/>
    <w:rsid w:val="004A293F"/>
    <w:rsid w:val="004A29EA"/>
    <w:rsid w:val="004A30B6"/>
    <w:rsid w:val="004A3242"/>
    <w:rsid w:val="004A328B"/>
    <w:rsid w:val="004A4177"/>
    <w:rsid w:val="004A445B"/>
    <w:rsid w:val="004A46D8"/>
    <w:rsid w:val="004A47FD"/>
    <w:rsid w:val="004A4840"/>
    <w:rsid w:val="004A4D5B"/>
    <w:rsid w:val="004A50B9"/>
    <w:rsid w:val="004A5A92"/>
    <w:rsid w:val="004A627D"/>
    <w:rsid w:val="004A646D"/>
    <w:rsid w:val="004A70B9"/>
    <w:rsid w:val="004A773A"/>
    <w:rsid w:val="004B0138"/>
    <w:rsid w:val="004B0205"/>
    <w:rsid w:val="004B0B07"/>
    <w:rsid w:val="004B0E35"/>
    <w:rsid w:val="004B1226"/>
    <w:rsid w:val="004B1C5A"/>
    <w:rsid w:val="004B1D6C"/>
    <w:rsid w:val="004B1DDD"/>
    <w:rsid w:val="004B20DA"/>
    <w:rsid w:val="004B22DC"/>
    <w:rsid w:val="004B2CDE"/>
    <w:rsid w:val="004B2D77"/>
    <w:rsid w:val="004B2F44"/>
    <w:rsid w:val="004B2FAC"/>
    <w:rsid w:val="004B33BC"/>
    <w:rsid w:val="004B3D75"/>
    <w:rsid w:val="004B4420"/>
    <w:rsid w:val="004B4BE0"/>
    <w:rsid w:val="004B4DCE"/>
    <w:rsid w:val="004B4DE8"/>
    <w:rsid w:val="004B4F65"/>
    <w:rsid w:val="004B4FC9"/>
    <w:rsid w:val="004B57A1"/>
    <w:rsid w:val="004B58C9"/>
    <w:rsid w:val="004B59CF"/>
    <w:rsid w:val="004B5B35"/>
    <w:rsid w:val="004B634F"/>
    <w:rsid w:val="004B6564"/>
    <w:rsid w:val="004B6817"/>
    <w:rsid w:val="004B7C1F"/>
    <w:rsid w:val="004C02FE"/>
    <w:rsid w:val="004C041C"/>
    <w:rsid w:val="004C0485"/>
    <w:rsid w:val="004C059C"/>
    <w:rsid w:val="004C1241"/>
    <w:rsid w:val="004C1852"/>
    <w:rsid w:val="004C18F2"/>
    <w:rsid w:val="004C1D44"/>
    <w:rsid w:val="004C21D7"/>
    <w:rsid w:val="004C2777"/>
    <w:rsid w:val="004C2DA9"/>
    <w:rsid w:val="004C2E17"/>
    <w:rsid w:val="004C367F"/>
    <w:rsid w:val="004C3A90"/>
    <w:rsid w:val="004C3C05"/>
    <w:rsid w:val="004C45BC"/>
    <w:rsid w:val="004C51F3"/>
    <w:rsid w:val="004C5702"/>
    <w:rsid w:val="004C5892"/>
    <w:rsid w:val="004C59DE"/>
    <w:rsid w:val="004C5F37"/>
    <w:rsid w:val="004C61D7"/>
    <w:rsid w:val="004C721C"/>
    <w:rsid w:val="004C7388"/>
    <w:rsid w:val="004C742E"/>
    <w:rsid w:val="004C78D9"/>
    <w:rsid w:val="004C7E36"/>
    <w:rsid w:val="004C7FC8"/>
    <w:rsid w:val="004D02D0"/>
    <w:rsid w:val="004D0AB8"/>
    <w:rsid w:val="004D0ADC"/>
    <w:rsid w:val="004D1EA2"/>
    <w:rsid w:val="004D1FCF"/>
    <w:rsid w:val="004D22C2"/>
    <w:rsid w:val="004D2B7E"/>
    <w:rsid w:val="004D3048"/>
    <w:rsid w:val="004D306D"/>
    <w:rsid w:val="004D331A"/>
    <w:rsid w:val="004D367C"/>
    <w:rsid w:val="004D47F1"/>
    <w:rsid w:val="004D5105"/>
    <w:rsid w:val="004D54D5"/>
    <w:rsid w:val="004D5A01"/>
    <w:rsid w:val="004D63BA"/>
    <w:rsid w:val="004D6742"/>
    <w:rsid w:val="004D6C5D"/>
    <w:rsid w:val="004D7265"/>
    <w:rsid w:val="004D7E35"/>
    <w:rsid w:val="004E052E"/>
    <w:rsid w:val="004E0C75"/>
    <w:rsid w:val="004E11B9"/>
    <w:rsid w:val="004E1387"/>
    <w:rsid w:val="004E1516"/>
    <w:rsid w:val="004E182D"/>
    <w:rsid w:val="004E19CE"/>
    <w:rsid w:val="004E21EF"/>
    <w:rsid w:val="004E277C"/>
    <w:rsid w:val="004E2848"/>
    <w:rsid w:val="004E3411"/>
    <w:rsid w:val="004E3868"/>
    <w:rsid w:val="004E389A"/>
    <w:rsid w:val="004E3CD8"/>
    <w:rsid w:val="004E445A"/>
    <w:rsid w:val="004E4F12"/>
    <w:rsid w:val="004E5637"/>
    <w:rsid w:val="004E577D"/>
    <w:rsid w:val="004E59D4"/>
    <w:rsid w:val="004E6E73"/>
    <w:rsid w:val="004E6EAB"/>
    <w:rsid w:val="004E6F04"/>
    <w:rsid w:val="004E743A"/>
    <w:rsid w:val="004E7CEB"/>
    <w:rsid w:val="004E7D28"/>
    <w:rsid w:val="004E7F77"/>
    <w:rsid w:val="004F006A"/>
    <w:rsid w:val="004F07F5"/>
    <w:rsid w:val="004F08FD"/>
    <w:rsid w:val="004F0A4C"/>
    <w:rsid w:val="004F0E50"/>
    <w:rsid w:val="004F0E51"/>
    <w:rsid w:val="004F16E3"/>
    <w:rsid w:val="004F1CF8"/>
    <w:rsid w:val="004F1D15"/>
    <w:rsid w:val="004F254E"/>
    <w:rsid w:val="004F281B"/>
    <w:rsid w:val="004F2E74"/>
    <w:rsid w:val="004F2E76"/>
    <w:rsid w:val="004F3032"/>
    <w:rsid w:val="004F334A"/>
    <w:rsid w:val="004F33B1"/>
    <w:rsid w:val="004F38A2"/>
    <w:rsid w:val="004F3B8C"/>
    <w:rsid w:val="004F402A"/>
    <w:rsid w:val="004F4135"/>
    <w:rsid w:val="004F4185"/>
    <w:rsid w:val="004F47C2"/>
    <w:rsid w:val="004F4962"/>
    <w:rsid w:val="004F4994"/>
    <w:rsid w:val="004F4B79"/>
    <w:rsid w:val="004F5417"/>
    <w:rsid w:val="004F59A6"/>
    <w:rsid w:val="004F5CD9"/>
    <w:rsid w:val="004F6515"/>
    <w:rsid w:val="004F6AC6"/>
    <w:rsid w:val="004F704F"/>
    <w:rsid w:val="004F7296"/>
    <w:rsid w:val="005005A3"/>
    <w:rsid w:val="0050110B"/>
    <w:rsid w:val="0050276D"/>
    <w:rsid w:val="00502BEA"/>
    <w:rsid w:val="005034F2"/>
    <w:rsid w:val="00503EA4"/>
    <w:rsid w:val="00504525"/>
    <w:rsid w:val="0050495E"/>
    <w:rsid w:val="00504B6D"/>
    <w:rsid w:val="00504FEB"/>
    <w:rsid w:val="00505270"/>
    <w:rsid w:val="005052B7"/>
    <w:rsid w:val="0050541C"/>
    <w:rsid w:val="005055CF"/>
    <w:rsid w:val="00505660"/>
    <w:rsid w:val="0050644A"/>
    <w:rsid w:val="005067A8"/>
    <w:rsid w:val="00506892"/>
    <w:rsid w:val="005068D9"/>
    <w:rsid w:val="00506EE1"/>
    <w:rsid w:val="00510A7D"/>
    <w:rsid w:val="00510B28"/>
    <w:rsid w:val="00510DCF"/>
    <w:rsid w:val="0051126B"/>
    <w:rsid w:val="005112B0"/>
    <w:rsid w:val="005115CC"/>
    <w:rsid w:val="0051171A"/>
    <w:rsid w:val="005118C9"/>
    <w:rsid w:val="0051262D"/>
    <w:rsid w:val="00512BF8"/>
    <w:rsid w:val="00512F29"/>
    <w:rsid w:val="00512F91"/>
    <w:rsid w:val="005133A0"/>
    <w:rsid w:val="00513FB1"/>
    <w:rsid w:val="005141C4"/>
    <w:rsid w:val="00514929"/>
    <w:rsid w:val="00514C27"/>
    <w:rsid w:val="00514E19"/>
    <w:rsid w:val="0051502A"/>
    <w:rsid w:val="0051565D"/>
    <w:rsid w:val="00515A2F"/>
    <w:rsid w:val="00515C15"/>
    <w:rsid w:val="00515D72"/>
    <w:rsid w:val="00516910"/>
    <w:rsid w:val="0051703A"/>
    <w:rsid w:val="005171E6"/>
    <w:rsid w:val="0051771D"/>
    <w:rsid w:val="00517B9D"/>
    <w:rsid w:val="0052007E"/>
    <w:rsid w:val="00520124"/>
    <w:rsid w:val="005229B0"/>
    <w:rsid w:val="00522B68"/>
    <w:rsid w:val="0052313D"/>
    <w:rsid w:val="00523CEB"/>
    <w:rsid w:val="00523D20"/>
    <w:rsid w:val="00523FAB"/>
    <w:rsid w:val="00524903"/>
    <w:rsid w:val="00524B41"/>
    <w:rsid w:val="00524B93"/>
    <w:rsid w:val="00525CEE"/>
    <w:rsid w:val="00525DFD"/>
    <w:rsid w:val="00526249"/>
    <w:rsid w:val="005268EA"/>
    <w:rsid w:val="00526B68"/>
    <w:rsid w:val="00526E9F"/>
    <w:rsid w:val="005270ED"/>
    <w:rsid w:val="0052728B"/>
    <w:rsid w:val="00527BE2"/>
    <w:rsid w:val="00530113"/>
    <w:rsid w:val="00530634"/>
    <w:rsid w:val="00531014"/>
    <w:rsid w:val="005314BF"/>
    <w:rsid w:val="0053178C"/>
    <w:rsid w:val="00531B60"/>
    <w:rsid w:val="00531B86"/>
    <w:rsid w:val="00531DBD"/>
    <w:rsid w:val="0053226D"/>
    <w:rsid w:val="005326F5"/>
    <w:rsid w:val="00532DCB"/>
    <w:rsid w:val="00532EAC"/>
    <w:rsid w:val="0053302E"/>
    <w:rsid w:val="00533B53"/>
    <w:rsid w:val="00533D94"/>
    <w:rsid w:val="00533EE6"/>
    <w:rsid w:val="005343FE"/>
    <w:rsid w:val="0053471B"/>
    <w:rsid w:val="00534C31"/>
    <w:rsid w:val="00534D4E"/>
    <w:rsid w:val="005358C7"/>
    <w:rsid w:val="00535B56"/>
    <w:rsid w:val="00536166"/>
    <w:rsid w:val="00536349"/>
    <w:rsid w:val="00536BD4"/>
    <w:rsid w:val="00536D2B"/>
    <w:rsid w:val="00537F6F"/>
    <w:rsid w:val="005402E8"/>
    <w:rsid w:val="005408BE"/>
    <w:rsid w:val="00540BC4"/>
    <w:rsid w:val="00540E08"/>
    <w:rsid w:val="00541DBD"/>
    <w:rsid w:val="00541EA0"/>
    <w:rsid w:val="00541EDC"/>
    <w:rsid w:val="00542955"/>
    <w:rsid w:val="00542A93"/>
    <w:rsid w:val="00542C3E"/>
    <w:rsid w:val="005432FF"/>
    <w:rsid w:val="005437C8"/>
    <w:rsid w:val="005439C0"/>
    <w:rsid w:val="00543C4D"/>
    <w:rsid w:val="00544205"/>
    <w:rsid w:val="00544338"/>
    <w:rsid w:val="005443C7"/>
    <w:rsid w:val="00544BC8"/>
    <w:rsid w:val="00544F79"/>
    <w:rsid w:val="00544F83"/>
    <w:rsid w:val="00545319"/>
    <w:rsid w:val="00545671"/>
    <w:rsid w:val="00545C6A"/>
    <w:rsid w:val="00546091"/>
    <w:rsid w:val="005464FD"/>
    <w:rsid w:val="00547435"/>
    <w:rsid w:val="005479B6"/>
    <w:rsid w:val="00547B42"/>
    <w:rsid w:val="00550792"/>
    <w:rsid w:val="005508D7"/>
    <w:rsid w:val="005512E7"/>
    <w:rsid w:val="005513C6"/>
    <w:rsid w:val="0055156D"/>
    <w:rsid w:val="00552064"/>
    <w:rsid w:val="00552274"/>
    <w:rsid w:val="005525A6"/>
    <w:rsid w:val="00552DB5"/>
    <w:rsid w:val="00552F18"/>
    <w:rsid w:val="00552F86"/>
    <w:rsid w:val="00553787"/>
    <w:rsid w:val="005537C1"/>
    <w:rsid w:val="00553BF4"/>
    <w:rsid w:val="00554138"/>
    <w:rsid w:val="00554764"/>
    <w:rsid w:val="00554816"/>
    <w:rsid w:val="00554B76"/>
    <w:rsid w:val="00555275"/>
    <w:rsid w:val="005553BF"/>
    <w:rsid w:val="00555B59"/>
    <w:rsid w:val="00555CA0"/>
    <w:rsid w:val="005562D6"/>
    <w:rsid w:val="005567BE"/>
    <w:rsid w:val="00556B0F"/>
    <w:rsid w:val="00556F18"/>
    <w:rsid w:val="00557627"/>
    <w:rsid w:val="00557766"/>
    <w:rsid w:val="00557C3D"/>
    <w:rsid w:val="00560DEB"/>
    <w:rsid w:val="00560F2F"/>
    <w:rsid w:val="00561169"/>
    <w:rsid w:val="005637A8"/>
    <w:rsid w:val="00564052"/>
    <w:rsid w:val="0056427F"/>
    <w:rsid w:val="005642A3"/>
    <w:rsid w:val="00564360"/>
    <w:rsid w:val="00564BE4"/>
    <w:rsid w:val="00564EB0"/>
    <w:rsid w:val="005653F6"/>
    <w:rsid w:val="00565C90"/>
    <w:rsid w:val="0056638A"/>
    <w:rsid w:val="0056671A"/>
    <w:rsid w:val="00566BE2"/>
    <w:rsid w:val="00566D59"/>
    <w:rsid w:val="00566DE9"/>
    <w:rsid w:val="00566FB1"/>
    <w:rsid w:val="00567387"/>
    <w:rsid w:val="005677F0"/>
    <w:rsid w:val="00567928"/>
    <w:rsid w:val="00567B09"/>
    <w:rsid w:val="00567BFC"/>
    <w:rsid w:val="005709A9"/>
    <w:rsid w:val="00570FF7"/>
    <w:rsid w:val="00571020"/>
    <w:rsid w:val="0057156E"/>
    <w:rsid w:val="005716ED"/>
    <w:rsid w:val="0057187B"/>
    <w:rsid w:val="00571988"/>
    <w:rsid w:val="00571AB3"/>
    <w:rsid w:val="00571C12"/>
    <w:rsid w:val="005722DA"/>
    <w:rsid w:val="00572A5F"/>
    <w:rsid w:val="00572B90"/>
    <w:rsid w:val="00572C3D"/>
    <w:rsid w:val="00572D33"/>
    <w:rsid w:val="005732E8"/>
    <w:rsid w:val="005733F2"/>
    <w:rsid w:val="00573CEF"/>
    <w:rsid w:val="00573D62"/>
    <w:rsid w:val="0057422A"/>
    <w:rsid w:val="00574CD5"/>
    <w:rsid w:val="00574D71"/>
    <w:rsid w:val="005753C3"/>
    <w:rsid w:val="00575C04"/>
    <w:rsid w:val="0057668F"/>
    <w:rsid w:val="00576A4A"/>
    <w:rsid w:val="00577064"/>
    <w:rsid w:val="005770F4"/>
    <w:rsid w:val="005805D0"/>
    <w:rsid w:val="00580651"/>
    <w:rsid w:val="00580961"/>
    <w:rsid w:val="00580D2C"/>
    <w:rsid w:val="005813D4"/>
    <w:rsid w:val="00581437"/>
    <w:rsid w:val="00581466"/>
    <w:rsid w:val="005814A2"/>
    <w:rsid w:val="005814AA"/>
    <w:rsid w:val="00581746"/>
    <w:rsid w:val="00581900"/>
    <w:rsid w:val="00581A75"/>
    <w:rsid w:val="00581D3E"/>
    <w:rsid w:val="00581F5A"/>
    <w:rsid w:val="00582099"/>
    <w:rsid w:val="00582FCF"/>
    <w:rsid w:val="0058355F"/>
    <w:rsid w:val="00583578"/>
    <w:rsid w:val="00583A21"/>
    <w:rsid w:val="0058576C"/>
    <w:rsid w:val="00586A68"/>
    <w:rsid w:val="00586A74"/>
    <w:rsid w:val="005873A1"/>
    <w:rsid w:val="00587EF9"/>
    <w:rsid w:val="0059036C"/>
    <w:rsid w:val="005904F5"/>
    <w:rsid w:val="0059050F"/>
    <w:rsid w:val="005906C2"/>
    <w:rsid w:val="0059080B"/>
    <w:rsid w:val="00590843"/>
    <w:rsid w:val="005916EB"/>
    <w:rsid w:val="005919AE"/>
    <w:rsid w:val="0059238A"/>
    <w:rsid w:val="0059246C"/>
    <w:rsid w:val="00592A9E"/>
    <w:rsid w:val="0059308A"/>
    <w:rsid w:val="005935A0"/>
    <w:rsid w:val="0059373E"/>
    <w:rsid w:val="00593A1E"/>
    <w:rsid w:val="00593BA2"/>
    <w:rsid w:val="00593EC2"/>
    <w:rsid w:val="00594061"/>
    <w:rsid w:val="00594278"/>
    <w:rsid w:val="005943EA"/>
    <w:rsid w:val="00594946"/>
    <w:rsid w:val="00594987"/>
    <w:rsid w:val="00594F06"/>
    <w:rsid w:val="00594F72"/>
    <w:rsid w:val="005953A4"/>
    <w:rsid w:val="0059557A"/>
    <w:rsid w:val="00595A0E"/>
    <w:rsid w:val="00595B11"/>
    <w:rsid w:val="00595D31"/>
    <w:rsid w:val="00596081"/>
    <w:rsid w:val="00596412"/>
    <w:rsid w:val="00596A65"/>
    <w:rsid w:val="00596D27"/>
    <w:rsid w:val="00596DEB"/>
    <w:rsid w:val="00596E0F"/>
    <w:rsid w:val="00596E5B"/>
    <w:rsid w:val="00597408"/>
    <w:rsid w:val="005976F3"/>
    <w:rsid w:val="005A14DA"/>
    <w:rsid w:val="005A1F90"/>
    <w:rsid w:val="005A21B5"/>
    <w:rsid w:val="005A23BF"/>
    <w:rsid w:val="005A23E4"/>
    <w:rsid w:val="005A293B"/>
    <w:rsid w:val="005A3E12"/>
    <w:rsid w:val="005A40BE"/>
    <w:rsid w:val="005A4A2C"/>
    <w:rsid w:val="005A4AA0"/>
    <w:rsid w:val="005A51EB"/>
    <w:rsid w:val="005A57B7"/>
    <w:rsid w:val="005A5E72"/>
    <w:rsid w:val="005A6179"/>
    <w:rsid w:val="005A7517"/>
    <w:rsid w:val="005A762C"/>
    <w:rsid w:val="005A7866"/>
    <w:rsid w:val="005A7A7B"/>
    <w:rsid w:val="005B0962"/>
    <w:rsid w:val="005B0A59"/>
    <w:rsid w:val="005B0ECF"/>
    <w:rsid w:val="005B1A2E"/>
    <w:rsid w:val="005B1AD4"/>
    <w:rsid w:val="005B2099"/>
    <w:rsid w:val="005B3496"/>
    <w:rsid w:val="005B3C24"/>
    <w:rsid w:val="005B3E55"/>
    <w:rsid w:val="005B46B4"/>
    <w:rsid w:val="005B4C95"/>
    <w:rsid w:val="005B52D2"/>
    <w:rsid w:val="005B53FC"/>
    <w:rsid w:val="005B569F"/>
    <w:rsid w:val="005B5A6C"/>
    <w:rsid w:val="005B5C75"/>
    <w:rsid w:val="005B5D3B"/>
    <w:rsid w:val="005B61F7"/>
    <w:rsid w:val="005B6505"/>
    <w:rsid w:val="005B6955"/>
    <w:rsid w:val="005B6DFC"/>
    <w:rsid w:val="005B7501"/>
    <w:rsid w:val="005B7FD5"/>
    <w:rsid w:val="005C07D2"/>
    <w:rsid w:val="005C0836"/>
    <w:rsid w:val="005C087C"/>
    <w:rsid w:val="005C0DDA"/>
    <w:rsid w:val="005C1746"/>
    <w:rsid w:val="005C1DCD"/>
    <w:rsid w:val="005C2126"/>
    <w:rsid w:val="005C229E"/>
    <w:rsid w:val="005C23D8"/>
    <w:rsid w:val="005C29BF"/>
    <w:rsid w:val="005C2F2F"/>
    <w:rsid w:val="005C358C"/>
    <w:rsid w:val="005C39D5"/>
    <w:rsid w:val="005C3E2F"/>
    <w:rsid w:val="005C407E"/>
    <w:rsid w:val="005C43CA"/>
    <w:rsid w:val="005C4D5A"/>
    <w:rsid w:val="005C5189"/>
    <w:rsid w:val="005C55E6"/>
    <w:rsid w:val="005C5CA1"/>
    <w:rsid w:val="005C6269"/>
    <w:rsid w:val="005C6CD9"/>
    <w:rsid w:val="005C6DD0"/>
    <w:rsid w:val="005C71D8"/>
    <w:rsid w:val="005C78E4"/>
    <w:rsid w:val="005C7A99"/>
    <w:rsid w:val="005C7D6E"/>
    <w:rsid w:val="005D0CCA"/>
    <w:rsid w:val="005D0FE5"/>
    <w:rsid w:val="005D14CB"/>
    <w:rsid w:val="005D1AF2"/>
    <w:rsid w:val="005D264F"/>
    <w:rsid w:val="005D27C3"/>
    <w:rsid w:val="005D28A1"/>
    <w:rsid w:val="005D2C28"/>
    <w:rsid w:val="005D3BE8"/>
    <w:rsid w:val="005D3E75"/>
    <w:rsid w:val="005D4779"/>
    <w:rsid w:val="005D5078"/>
    <w:rsid w:val="005D5492"/>
    <w:rsid w:val="005D555E"/>
    <w:rsid w:val="005D55E8"/>
    <w:rsid w:val="005D6051"/>
    <w:rsid w:val="005D65EB"/>
    <w:rsid w:val="005D6D27"/>
    <w:rsid w:val="005D6F60"/>
    <w:rsid w:val="005D720D"/>
    <w:rsid w:val="005D7676"/>
    <w:rsid w:val="005D779D"/>
    <w:rsid w:val="005D7CE9"/>
    <w:rsid w:val="005D7D12"/>
    <w:rsid w:val="005E0C4C"/>
    <w:rsid w:val="005E1167"/>
    <w:rsid w:val="005E1722"/>
    <w:rsid w:val="005E23CB"/>
    <w:rsid w:val="005E2454"/>
    <w:rsid w:val="005E2590"/>
    <w:rsid w:val="005E265E"/>
    <w:rsid w:val="005E2868"/>
    <w:rsid w:val="005E2A0E"/>
    <w:rsid w:val="005E2A37"/>
    <w:rsid w:val="005E2B84"/>
    <w:rsid w:val="005E2D94"/>
    <w:rsid w:val="005E36F3"/>
    <w:rsid w:val="005E3F46"/>
    <w:rsid w:val="005E41B6"/>
    <w:rsid w:val="005E4AF5"/>
    <w:rsid w:val="005E5B61"/>
    <w:rsid w:val="005E5D1A"/>
    <w:rsid w:val="005E65C1"/>
    <w:rsid w:val="005E68D9"/>
    <w:rsid w:val="005E6CB4"/>
    <w:rsid w:val="005E6CF3"/>
    <w:rsid w:val="005E6F1A"/>
    <w:rsid w:val="005E7272"/>
    <w:rsid w:val="005E7522"/>
    <w:rsid w:val="005F0007"/>
    <w:rsid w:val="005F0622"/>
    <w:rsid w:val="005F06C3"/>
    <w:rsid w:val="005F07E8"/>
    <w:rsid w:val="005F0E61"/>
    <w:rsid w:val="005F165B"/>
    <w:rsid w:val="005F16A1"/>
    <w:rsid w:val="005F17EF"/>
    <w:rsid w:val="005F1B8B"/>
    <w:rsid w:val="005F1DBC"/>
    <w:rsid w:val="005F23DB"/>
    <w:rsid w:val="005F2A9F"/>
    <w:rsid w:val="005F34A9"/>
    <w:rsid w:val="005F3B3A"/>
    <w:rsid w:val="005F3D2A"/>
    <w:rsid w:val="005F435E"/>
    <w:rsid w:val="005F4466"/>
    <w:rsid w:val="005F4468"/>
    <w:rsid w:val="005F5432"/>
    <w:rsid w:val="005F554D"/>
    <w:rsid w:val="005F5610"/>
    <w:rsid w:val="005F5B02"/>
    <w:rsid w:val="005F5BAD"/>
    <w:rsid w:val="005F63C8"/>
    <w:rsid w:val="005F63EA"/>
    <w:rsid w:val="005F654C"/>
    <w:rsid w:val="005F6AEF"/>
    <w:rsid w:val="005F6B56"/>
    <w:rsid w:val="005F7577"/>
    <w:rsid w:val="005F762C"/>
    <w:rsid w:val="00600169"/>
    <w:rsid w:val="006002E4"/>
    <w:rsid w:val="00600658"/>
    <w:rsid w:val="00600B58"/>
    <w:rsid w:val="00600EE7"/>
    <w:rsid w:val="0060105B"/>
    <w:rsid w:val="00601254"/>
    <w:rsid w:val="00601B95"/>
    <w:rsid w:val="00601C05"/>
    <w:rsid w:val="00602060"/>
    <w:rsid w:val="00602ACF"/>
    <w:rsid w:val="00602E98"/>
    <w:rsid w:val="00603843"/>
    <w:rsid w:val="006038A2"/>
    <w:rsid w:val="00603EE0"/>
    <w:rsid w:val="00603F9F"/>
    <w:rsid w:val="00604C42"/>
    <w:rsid w:val="00604C77"/>
    <w:rsid w:val="00604E59"/>
    <w:rsid w:val="00605396"/>
    <w:rsid w:val="00605A91"/>
    <w:rsid w:val="00605C0C"/>
    <w:rsid w:val="00606037"/>
    <w:rsid w:val="0060679F"/>
    <w:rsid w:val="0060685E"/>
    <w:rsid w:val="00606CEE"/>
    <w:rsid w:val="00606E37"/>
    <w:rsid w:val="00607027"/>
    <w:rsid w:val="006109E7"/>
    <w:rsid w:val="00610A9C"/>
    <w:rsid w:val="00610B1C"/>
    <w:rsid w:val="00610F0C"/>
    <w:rsid w:val="00611222"/>
    <w:rsid w:val="0061124B"/>
    <w:rsid w:val="00611559"/>
    <w:rsid w:val="00611F50"/>
    <w:rsid w:val="006128AF"/>
    <w:rsid w:val="00612A9D"/>
    <w:rsid w:val="00612B6B"/>
    <w:rsid w:val="00612CB3"/>
    <w:rsid w:val="00613610"/>
    <w:rsid w:val="0061413C"/>
    <w:rsid w:val="00614529"/>
    <w:rsid w:val="0061460D"/>
    <w:rsid w:val="00614A0F"/>
    <w:rsid w:val="00614ECA"/>
    <w:rsid w:val="00615245"/>
    <w:rsid w:val="00615D66"/>
    <w:rsid w:val="00615FF7"/>
    <w:rsid w:val="006160AD"/>
    <w:rsid w:val="00616AF4"/>
    <w:rsid w:val="00616FEB"/>
    <w:rsid w:val="006178E0"/>
    <w:rsid w:val="00617B33"/>
    <w:rsid w:val="00617E0E"/>
    <w:rsid w:val="0062010E"/>
    <w:rsid w:val="00620173"/>
    <w:rsid w:val="00620315"/>
    <w:rsid w:val="006203EE"/>
    <w:rsid w:val="006204B8"/>
    <w:rsid w:val="00620723"/>
    <w:rsid w:val="00620A96"/>
    <w:rsid w:val="00620EA2"/>
    <w:rsid w:val="0062166A"/>
    <w:rsid w:val="00621C0B"/>
    <w:rsid w:val="00621C47"/>
    <w:rsid w:val="00622123"/>
    <w:rsid w:val="006222E6"/>
    <w:rsid w:val="00622B2F"/>
    <w:rsid w:val="00622F32"/>
    <w:rsid w:val="006232E3"/>
    <w:rsid w:val="0062370A"/>
    <w:rsid w:val="0062462B"/>
    <w:rsid w:val="006248ED"/>
    <w:rsid w:val="00624E6C"/>
    <w:rsid w:val="0062500A"/>
    <w:rsid w:val="006252C2"/>
    <w:rsid w:val="00625AE7"/>
    <w:rsid w:val="00625C7B"/>
    <w:rsid w:val="00625F5E"/>
    <w:rsid w:val="00626392"/>
    <w:rsid w:val="006264A0"/>
    <w:rsid w:val="00626600"/>
    <w:rsid w:val="00626CAD"/>
    <w:rsid w:val="00626E2E"/>
    <w:rsid w:val="00626E7A"/>
    <w:rsid w:val="00626EC0"/>
    <w:rsid w:val="006270CE"/>
    <w:rsid w:val="00627122"/>
    <w:rsid w:val="00627167"/>
    <w:rsid w:val="00627480"/>
    <w:rsid w:val="00627987"/>
    <w:rsid w:val="00627A03"/>
    <w:rsid w:val="006302B3"/>
    <w:rsid w:val="00630D23"/>
    <w:rsid w:val="00630E8B"/>
    <w:rsid w:val="00631B57"/>
    <w:rsid w:val="00631C78"/>
    <w:rsid w:val="00632334"/>
    <w:rsid w:val="00632371"/>
    <w:rsid w:val="006329EB"/>
    <w:rsid w:val="00632B33"/>
    <w:rsid w:val="00632D1D"/>
    <w:rsid w:val="00633200"/>
    <w:rsid w:val="00633224"/>
    <w:rsid w:val="0063328B"/>
    <w:rsid w:val="00633669"/>
    <w:rsid w:val="00633770"/>
    <w:rsid w:val="0063383F"/>
    <w:rsid w:val="00635346"/>
    <w:rsid w:val="006353AE"/>
    <w:rsid w:val="00635C0D"/>
    <w:rsid w:val="00635E7D"/>
    <w:rsid w:val="0063643F"/>
    <w:rsid w:val="006367FD"/>
    <w:rsid w:val="006375EF"/>
    <w:rsid w:val="0063772E"/>
    <w:rsid w:val="00637946"/>
    <w:rsid w:val="00637B3D"/>
    <w:rsid w:val="00637D87"/>
    <w:rsid w:val="00637DEE"/>
    <w:rsid w:val="00637ED1"/>
    <w:rsid w:val="006408E8"/>
    <w:rsid w:val="006414B4"/>
    <w:rsid w:val="0064172F"/>
    <w:rsid w:val="006418A8"/>
    <w:rsid w:val="00641C0D"/>
    <w:rsid w:val="006425E8"/>
    <w:rsid w:val="00642610"/>
    <w:rsid w:val="00642A0E"/>
    <w:rsid w:val="00642A19"/>
    <w:rsid w:val="00642A37"/>
    <w:rsid w:val="00643A04"/>
    <w:rsid w:val="006442EE"/>
    <w:rsid w:val="0064473D"/>
    <w:rsid w:val="00644CFF"/>
    <w:rsid w:val="0064510C"/>
    <w:rsid w:val="00645166"/>
    <w:rsid w:val="006451C6"/>
    <w:rsid w:val="00645C32"/>
    <w:rsid w:val="00645DCD"/>
    <w:rsid w:val="00646E50"/>
    <w:rsid w:val="00646EA5"/>
    <w:rsid w:val="00647248"/>
    <w:rsid w:val="006476FA"/>
    <w:rsid w:val="00647969"/>
    <w:rsid w:val="00647A36"/>
    <w:rsid w:val="00647B63"/>
    <w:rsid w:val="00651486"/>
    <w:rsid w:val="0065234D"/>
    <w:rsid w:val="00652541"/>
    <w:rsid w:val="00652E67"/>
    <w:rsid w:val="00653277"/>
    <w:rsid w:val="006534FD"/>
    <w:rsid w:val="0065352B"/>
    <w:rsid w:val="00653AD8"/>
    <w:rsid w:val="00653C40"/>
    <w:rsid w:val="006549F9"/>
    <w:rsid w:val="006556F1"/>
    <w:rsid w:val="006559E5"/>
    <w:rsid w:val="006565E0"/>
    <w:rsid w:val="006567BB"/>
    <w:rsid w:val="00657470"/>
    <w:rsid w:val="00657A98"/>
    <w:rsid w:val="00657F31"/>
    <w:rsid w:val="006607C5"/>
    <w:rsid w:val="00660A5C"/>
    <w:rsid w:val="00660AF9"/>
    <w:rsid w:val="00660B42"/>
    <w:rsid w:val="00660BAD"/>
    <w:rsid w:val="00660F25"/>
    <w:rsid w:val="0066114D"/>
    <w:rsid w:val="006617D5"/>
    <w:rsid w:val="00661AA5"/>
    <w:rsid w:val="00662257"/>
    <w:rsid w:val="006624A8"/>
    <w:rsid w:val="0066284B"/>
    <w:rsid w:val="00662885"/>
    <w:rsid w:val="00662DF0"/>
    <w:rsid w:val="00663560"/>
    <w:rsid w:val="00663678"/>
    <w:rsid w:val="00663D70"/>
    <w:rsid w:val="006643A7"/>
    <w:rsid w:val="006648C4"/>
    <w:rsid w:val="006658D1"/>
    <w:rsid w:val="00665B69"/>
    <w:rsid w:val="00665D35"/>
    <w:rsid w:val="00665F28"/>
    <w:rsid w:val="006664A1"/>
    <w:rsid w:val="006666D3"/>
    <w:rsid w:val="00666E36"/>
    <w:rsid w:val="00666E4D"/>
    <w:rsid w:val="00666F6B"/>
    <w:rsid w:val="006671A2"/>
    <w:rsid w:val="00667786"/>
    <w:rsid w:val="00667BD0"/>
    <w:rsid w:val="00667D77"/>
    <w:rsid w:val="006702A8"/>
    <w:rsid w:val="006715F6"/>
    <w:rsid w:val="006716CA"/>
    <w:rsid w:val="00671981"/>
    <w:rsid w:val="0067270E"/>
    <w:rsid w:val="00672F97"/>
    <w:rsid w:val="0067379F"/>
    <w:rsid w:val="0067437C"/>
    <w:rsid w:val="00674E85"/>
    <w:rsid w:val="00675274"/>
    <w:rsid w:val="00675759"/>
    <w:rsid w:val="00675B56"/>
    <w:rsid w:val="00675F46"/>
    <w:rsid w:val="0067658E"/>
    <w:rsid w:val="00676A1A"/>
    <w:rsid w:val="00676F1C"/>
    <w:rsid w:val="00676F72"/>
    <w:rsid w:val="0067726D"/>
    <w:rsid w:val="0067777D"/>
    <w:rsid w:val="006779E8"/>
    <w:rsid w:val="0068002E"/>
    <w:rsid w:val="006800B6"/>
    <w:rsid w:val="00680497"/>
    <w:rsid w:val="006804E2"/>
    <w:rsid w:val="006805E1"/>
    <w:rsid w:val="00680983"/>
    <w:rsid w:val="006813E4"/>
    <w:rsid w:val="006824AA"/>
    <w:rsid w:val="00682685"/>
    <w:rsid w:val="00682CBC"/>
    <w:rsid w:val="00682FA4"/>
    <w:rsid w:val="00683064"/>
    <w:rsid w:val="00683632"/>
    <w:rsid w:val="00683A36"/>
    <w:rsid w:val="00683C43"/>
    <w:rsid w:val="00683DBB"/>
    <w:rsid w:val="0068401F"/>
    <w:rsid w:val="006845AB"/>
    <w:rsid w:val="00684963"/>
    <w:rsid w:val="00686254"/>
    <w:rsid w:val="00686682"/>
    <w:rsid w:val="00686DCD"/>
    <w:rsid w:val="00686EB7"/>
    <w:rsid w:val="0068761C"/>
    <w:rsid w:val="00690004"/>
    <w:rsid w:val="00690475"/>
    <w:rsid w:val="00690A92"/>
    <w:rsid w:val="00690CFF"/>
    <w:rsid w:val="00690D28"/>
    <w:rsid w:val="00691128"/>
    <w:rsid w:val="00691190"/>
    <w:rsid w:val="006911E2"/>
    <w:rsid w:val="0069137A"/>
    <w:rsid w:val="0069170C"/>
    <w:rsid w:val="006917B2"/>
    <w:rsid w:val="006917BB"/>
    <w:rsid w:val="00691D77"/>
    <w:rsid w:val="006920A1"/>
    <w:rsid w:val="006922B2"/>
    <w:rsid w:val="006923B7"/>
    <w:rsid w:val="006928EF"/>
    <w:rsid w:val="00692B43"/>
    <w:rsid w:val="006931AB"/>
    <w:rsid w:val="006931F6"/>
    <w:rsid w:val="00693267"/>
    <w:rsid w:val="00693598"/>
    <w:rsid w:val="00693755"/>
    <w:rsid w:val="006940FA"/>
    <w:rsid w:val="00694271"/>
    <w:rsid w:val="006947A6"/>
    <w:rsid w:val="00695689"/>
    <w:rsid w:val="00695C85"/>
    <w:rsid w:val="006962FA"/>
    <w:rsid w:val="00696336"/>
    <w:rsid w:val="00696661"/>
    <w:rsid w:val="00696BB3"/>
    <w:rsid w:val="00697044"/>
    <w:rsid w:val="00697316"/>
    <w:rsid w:val="006975E4"/>
    <w:rsid w:val="00697FB6"/>
    <w:rsid w:val="006A010E"/>
    <w:rsid w:val="006A07C3"/>
    <w:rsid w:val="006A0DC3"/>
    <w:rsid w:val="006A10E0"/>
    <w:rsid w:val="006A1D95"/>
    <w:rsid w:val="006A2261"/>
    <w:rsid w:val="006A29A7"/>
    <w:rsid w:val="006A2EFD"/>
    <w:rsid w:val="006A36EC"/>
    <w:rsid w:val="006A434D"/>
    <w:rsid w:val="006A44A6"/>
    <w:rsid w:val="006A45AC"/>
    <w:rsid w:val="006A5066"/>
    <w:rsid w:val="006A5D67"/>
    <w:rsid w:val="006A6772"/>
    <w:rsid w:val="006A6E2B"/>
    <w:rsid w:val="006A7051"/>
    <w:rsid w:val="006A7207"/>
    <w:rsid w:val="006A722B"/>
    <w:rsid w:val="006A7B85"/>
    <w:rsid w:val="006A7BCD"/>
    <w:rsid w:val="006B05B0"/>
    <w:rsid w:val="006B07DA"/>
    <w:rsid w:val="006B08A7"/>
    <w:rsid w:val="006B0A99"/>
    <w:rsid w:val="006B2194"/>
    <w:rsid w:val="006B23A1"/>
    <w:rsid w:val="006B24A7"/>
    <w:rsid w:val="006B27CC"/>
    <w:rsid w:val="006B32E5"/>
    <w:rsid w:val="006B3356"/>
    <w:rsid w:val="006B340E"/>
    <w:rsid w:val="006B35E6"/>
    <w:rsid w:val="006B38D2"/>
    <w:rsid w:val="006B3AC5"/>
    <w:rsid w:val="006B433B"/>
    <w:rsid w:val="006B4D1A"/>
    <w:rsid w:val="006B5739"/>
    <w:rsid w:val="006B5976"/>
    <w:rsid w:val="006B5F70"/>
    <w:rsid w:val="006B64D3"/>
    <w:rsid w:val="006B6F43"/>
    <w:rsid w:val="006B73A1"/>
    <w:rsid w:val="006B75F0"/>
    <w:rsid w:val="006B76F0"/>
    <w:rsid w:val="006B7B50"/>
    <w:rsid w:val="006C0A01"/>
    <w:rsid w:val="006C0CCD"/>
    <w:rsid w:val="006C0FF2"/>
    <w:rsid w:val="006C1268"/>
    <w:rsid w:val="006C1675"/>
    <w:rsid w:val="006C17DB"/>
    <w:rsid w:val="006C188B"/>
    <w:rsid w:val="006C1BCF"/>
    <w:rsid w:val="006C2126"/>
    <w:rsid w:val="006C23C6"/>
    <w:rsid w:val="006C2644"/>
    <w:rsid w:val="006C2B5A"/>
    <w:rsid w:val="006C33E5"/>
    <w:rsid w:val="006C3422"/>
    <w:rsid w:val="006C3DBB"/>
    <w:rsid w:val="006C3DD6"/>
    <w:rsid w:val="006C41C3"/>
    <w:rsid w:val="006C47DF"/>
    <w:rsid w:val="006C499C"/>
    <w:rsid w:val="006C4AB5"/>
    <w:rsid w:val="006C4C8E"/>
    <w:rsid w:val="006C5107"/>
    <w:rsid w:val="006C5388"/>
    <w:rsid w:val="006C5622"/>
    <w:rsid w:val="006C5F21"/>
    <w:rsid w:val="006C6649"/>
    <w:rsid w:val="006C6CA7"/>
    <w:rsid w:val="006C6E1B"/>
    <w:rsid w:val="006C6F49"/>
    <w:rsid w:val="006C6FB7"/>
    <w:rsid w:val="006C7AB2"/>
    <w:rsid w:val="006D036F"/>
    <w:rsid w:val="006D03C7"/>
    <w:rsid w:val="006D078C"/>
    <w:rsid w:val="006D0979"/>
    <w:rsid w:val="006D0E85"/>
    <w:rsid w:val="006D1134"/>
    <w:rsid w:val="006D121A"/>
    <w:rsid w:val="006D12AA"/>
    <w:rsid w:val="006D168C"/>
    <w:rsid w:val="006D16CD"/>
    <w:rsid w:val="006D2E74"/>
    <w:rsid w:val="006D385F"/>
    <w:rsid w:val="006D3AC4"/>
    <w:rsid w:val="006D4738"/>
    <w:rsid w:val="006D4836"/>
    <w:rsid w:val="006D4B68"/>
    <w:rsid w:val="006D4BED"/>
    <w:rsid w:val="006D4CC9"/>
    <w:rsid w:val="006D57FA"/>
    <w:rsid w:val="006D5C96"/>
    <w:rsid w:val="006D5D67"/>
    <w:rsid w:val="006D61F6"/>
    <w:rsid w:val="006D6471"/>
    <w:rsid w:val="006D6A7B"/>
    <w:rsid w:val="006D6D01"/>
    <w:rsid w:val="006D6E8A"/>
    <w:rsid w:val="006D6ED8"/>
    <w:rsid w:val="006D6EF4"/>
    <w:rsid w:val="006D6F1F"/>
    <w:rsid w:val="006D7397"/>
    <w:rsid w:val="006D7550"/>
    <w:rsid w:val="006D78FF"/>
    <w:rsid w:val="006D7ADC"/>
    <w:rsid w:val="006D7E1D"/>
    <w:rsid w:val="006D7EE4"/>
    <w:rsid w:val="006E01DC"/>
    <w:rsid w:val="006E0254"/>
    <w:rsid w:val="006E02E6"/>
    <w:rsid w:val="006E0A1C"/>
    <w:rsid w:val="006E0C9A"/>
    <w:rsid w:val="006E0D78"/>
    <w:rsid w:val="006E1F47"/>
    <w:rsid w:val="006E28C4"/>
    <w:rsid w:val="006E2D3F"/>
    <w:rsid w:val="006E31A4"/>
    <w:rsid w:val="006E370E"/>
    <w:rsid w:val="006E3812"/>
    <w:rsid w:val="006E3DB7"/>
    <w:rsid w:val="006E3FB2"/>
    <w:rsid w:val="006E407E"/>
    <w:rsid w:val="006E47E0"/>
    <w:rsid w:val="006E48E0"/>
    <w:rsid w:val="006E49C9"/>
    <w:rsid w:val="006E4DA8"/>
    <w:rsid w:val="006E5008"/>
    <w:rsid w:val="006E508C"/>
    <w:rsid w:val="006E5DC7"/>
    <w:rsid w:val="006E5E6F"/>
    <w:rsid w:val="006E5EEC"/>
    <w:rsid w:val="006E60C9"/>
    <w:rsid w:val="006E60EA"/>
    <w:rsid w:val="006E6340"/>
    <w:rsid w:val="006E6611"/>
    <w:rsid w:val="006E6C62"/>
    <w:rsid w:val="006E782D"/>
    <w:rsid w:val="006E7E51"/>
    <w:rsid w:val="006E7F3F"/>
    <w:rsid w:val="006F06EB"/>
    <w:rsid w:val="006F076C"/>
    <w:rsid w:val="006F1468"/>
    <w:rsid w:val="006F17F2"/>
    <w:rsid w:val="006F1E0C"/>
    <w:rsid w:val="006F2145"/>
    <w:rsid w:val="006F22D7"/>
    <w:rsid w:val="006F361E"/>
    <w:rsid w:val="006F38DD"/>
    <w:rsid w:val="006F5240"/>
    <w:rsid w:val="006F5C0F"/>
    <w:rsid w:val="006F5DC9"/>
    <w:rsid w:val="006F6A12"/>
    <w:rsid w:val="006F6CA7"/>
    <w:rsid w:val="006F6D32"/>
    <w:rsid w:val="006F709A"/>
    <w:rsid w:val="006F772B"/>
    <w:rsid w:val="006F7FEC"/>
    <w:rsid w:val="007006E4"/>
    <w:rsid w:val="00700D44"/>
    <w:rsid w:val="00700F05"/>
    <w:rsid w:val="00700F76"/>
    <w:rsid w:val="007011A8"/>
    <w:rsid w:val="007013B0"/>
    <w:rsid w:val="00701782"/>
    <w:rsid w:val="00701AAF"/>
    <w:rsid w:val="00701E6E"/>
    <w:rsid w:val="0070200E"/>
    <w:rsid w:val="00702213"/>
    <w:rsid w:val="0070272C"/>
    <w:rsid w:val="00702778"/>
    <w:rsid w:val="00703675"/>
    <w:rsid w:val="00703931"/>
    <w:rsid w:val="00703E3A"/>
    <w:rsid w:val="0070429D"/>
    <w:rsid w:val="00704581"/>
    <w:rsid w:val="0070492E"/>
    <w:rsid w:val="0070496A"/>
    <w:rsid w:val="00705206"/>
    <w:rsid w:val="00705382"/>
    <w:rsid w:val="00705771"/>
    <w:rsid w:val="00705C74"/>
    <w:rsid w:val="00705D5D"/>
    <w:rsid w:val="00705FB7"/>
    <w:rsid w:val="0070600B"/>
    <w:rsid w:val="0070701F"/>
    <w:rsid w:val="007077C4"/>
    <w:rsid w:val="00707BF2"/>
    <w:rsid w:val="0071018A"/>
    <w:rsid w:val="00710907"/>
    <w:rsid w:val="00710A93"/>
    <w:rsid w:val="00710DA2"/>
    <w:rsid w:val="00710E3E"/>
    <w:rsid w:val="00710FA2"/>
    <w:rsid w:val="00710FD4"/>
    <w:rsid w:val="00711FD6"/>
    <w:rsid w:val="00713161"/>
    <w:rsid w:val="007135E7"/>
    <w:rsid w:val="00713626"/>
    <w:rsid w:val="007144E9"/>
    <w:rsid w:val="007146AE"/>
    <w:rsid w:val="00714F44"/>
    <w:rsid w:val="00714FBE"/>
    <w:rsid w:val="00715684"/>
    <w:rsid w:val="007157CA"/>
    <w:rsid w:val="00715C70"/>
    <w:rsid w:val="00715DF8"/>
    <w:rsid w:val="007162C3"/>
    <w:rsid w:val="00716CFF"/>
    <w:rsid w:val="00716E92"/>
    <w:rsid w:val="00716F4D"/>
    <w:rsid w:val="00717084"/>
    <w:rsid w:val="007176CB"/>
    <w:rsid w:val="0071787F"/>
    <w:rsid w:val="00717AD1"/>
    <w:rsid w:val="00717C5F"/>
    <w:rsid w:val="00717CEE"/>
    <w:rsid w:val="00720687"/>
    <w:rsid w:val="00720962"/>
    <w:rsid w:val="007213F9"/>
    <w:rsid w:val="00721ED7"/>
    <w:rsid w:val="0072209E"/>
    <w:rsid w:val="007227EE"/>
    <w:rsid w:val="00722F30"/>
    <w:rsid w:val="00722F98"/>
    <w:rsid w:val="00723E4F"/>
    <w:rsid w:val="007246AE"/>
    <w:rsid w:val="00724B42"/>
    <w:rsid w:val="00724DFC"/>
    <w:rsid w:val="00725471"/>
    <w:rsid w:val="00725488"/>
    <w:rsid w:val="007255A8"/>
    <w:rsid w:val="007255D3"/>
    <w:rsid w:val="007262F4"/>
    <w:rsid w:val="007265D3"/>
    <w:rsid w:val="00726891"/>
    <w:rsid w:val="007269BD"/>
    <w:rsid w:val="00726A13"/>
    <w:rsid w:val="00726D92"/>
    <w:rsid w:val="00726E21"/>
    <w:rsid w:val="00727C20"/>
    <w:rsid w:val="00727D95"/>
    <w:rsid w:val="00727F04"/>
    <w:rsid w:val="007301A6"/>
    <w:rsid w:val="007302B7"/>
    <w:rsid w:val="00730370"/>
    <w:rsid w:val="00730E5D"/>
    <w:rsid w:val="00731275"/>
    <w:rsid w:val="00731331"/>
    <w:rsid w:val="007318F7"/>
    <w:rsid w:val="00731958"/>
    <w:rsid w:val="007321BE"/>
    <w:rsid w:val="00732498"/>
    <w:rsid w:val="007327D9"/>
    <w:rsid w:val="007327F4"/>
    <w:rsid w:val="0073327A"/>
    <w:rsid w:val="00733D70"/>
    <w:rsid w:val="0073425A"/>
    <w:rsid w:val="0073475E"/>
    <w:rsid w:val="00734AB3"/>
    <w:rsid w:val="007354DD"/>
    <w:rsid w:val="00735F1F"/>
    <w:rsid w:val="007362FD"/>
    <w:rsid w:val="0073637C"/>
    <w:rsid w:val="0073663B"/>
    <w:rsid w:val="0073729E"/>
    <w:rsid w:val="007378AE"/>
    <w:rsid w:val="00737DFB"/>
    <w:rsid w:val="00740F32"/>
    <w:rsid w:val="00741155"/>
    <w:rsid w:val="007417CA"/>
    <w:rsid w:val="0074217F"/>
    <w:rsid w:val="00742912"/>
    <w:rsid w:val="00742C68"/>
    <w:rsid w:val="00742E61"/>
    <w:rsid w:val="007441D4"/>
    <w:rsid w:val="00744513"/>
    <w:rsid w:val="00744EB8"/>
    <w:rsid w:val="007450DE"/>
    <w:rsid w:val="007451B0"/>
    <w:rsid w:val="00745B66"/>
    <w:rsid w:val="00745D6E"/>
    <w:rsid w:val="007461C4"/>
    <w:rsid w:val="00746231"/>
    <w:rsid w:val="007468C1"/>
    <w:rsid w:val="00746AC2"/>
    <w:rsid w:val="007471E4"/>
    <w:rsid w:val="00747EDE"/>
    <w:rsid w:val="0075001B"/>
    <w:rsid w:val="007508F2"/>
    <w:rsid w:val="007512F6"/>
    <w:rsid w:val="0075156B"/>
    <w:rsid w:val="00751B14"/>
    <w:rsid w:val="00751B8E"/>
    <w:rsid w:val="00751D4B"/>
    <w:rsid w:val="0075209C"/>
    <w:rsid w:val="0075216A"/>
    <w:rsid w:val="007529C6"/>
    <w:rsid w:val="00752F68"/>
    <w:rsid w:val="00753270"/>
    <w:rsid w:val="00753328"/>
    <w:rsid w:val="0075370B"/>
    <w:rsid w:val="00753A01"/>
    <w:rsid w:val="00753B67"/>
    <w:rsid w:val="007543D1"/>
    <w:rsid w:val="007544D7"/>
    <w:rsid w:val="00754AD8"/>
    <w:rsid w:val="00754C4A"/>
    <w:rsid w:val="00754DF2"/>
    <w:rsid w:val="00755157"/>
    <w:rsid w:val="0075584C"/>
    <w:rsid w:val="00755970"/>
    <w:rsid w:val="00755E5F"/>
    <w:rsid w:val="00755E83"/>
    <w:rsid w:val="00756050"/>
    <w:rsid w:val="00756260"/>
    <w:rsid w:val="00756830"/>
    <w:rsid w:val="007569A3"/>
    <w:rsid w:val="00756FFA"/>
    <w:rsid w:val="0075722B"/>
    <w:rsid w:val="0075746F"/>
    <w:rsid w:val="0075771B"/>
    <w:rsid w:val="007577B7"/>
    <w:rsid w:val="00757D7A"/>
    <w:rsid w:val="007603B1"/>
    <w:rsid w:val="007606AC"/>
    <w:rsid w:val="00760B48"/>
    <w:rsid w:val="00760B72"/>
    <w:rsid w:val="00761454"/>
    <w:rsid w:val="00761D84"/>
    <w:rsid w:val="00761FA8"/>
    <w:rsid w:val="007629E1"/>
    <w:rsid w:val="00762ED0"/>
    <w:rsid w:val="00763351"/>
    <w:rsid w:val="0076356A"/>
    <w:rsid w:val="007636D7"/>
    <w:rsid w:val="00763A36"/>
    <w:rsid w:val="00763BA8"/>
    <w:rsid w:val="00764326"/>
    <w:rsid w:val="0076488D"/>
    <w:rsid w:val="00764F3B"/>
    <w:rsid w:val="0076505B"/>
    <w:rsid w:val="007653F2"/>
    <w:rsid w:val="00765674"/>
    <w:rsid w:val="0076596B"/>
    <w:rsid w:val="00765DD3"/>
    <w:rsid w:val="00766330"/>
    <w:rsid w:val="00766686"/>
    <w:rsid w:val="00766D20"/>
    <w:rsid w:val="00766D25"/>
    <w:rsid w:val="00766EBD"/>
    <w:rsid w:val="00767356"/>
    <w:rsid w:val="007674F0"/>
    <w:rsid w:val="00767EB3"/>
    <w:rsid w:val="00770273"/>
    <w:rsid w:val="00770767"/>
    <w:rsid w:val="00770E00"/>
    <w:rsid w:val="00771300"/>
    <w:rsid w:val="007719DE"/>
    <w:rsid w:val="00771AE5"/>
    <w:rsid w:val="007724EA"/>
    <w:rsid w:val="00772AB1"/>
    <w:rsid w:val="00772B92"/>
    <w:rsid w:val="00772C77"/>
    <w:rsid w:val="00773274"/>
    <w:rsid w:val="0077344A"/>
    <w:rsid w:val="00773DEB"/>
    <w:rsid w:val="007742A0"/>
    <w:rsid w:val="00774BB1"/>
    <w:rsid w:val="007752F1"/>
    <w:rsid w:val="007755C1"/>
    <w:rsid w:val="00775901"/>
    <w:rsid w:val="00775B88"/>
    <w:rsid w:val="007761B3"/>
    <w:rsid w:val="0077646E"/>
    <w:rsid w:val="00776F69"/>
    <w:rsid w:val="00777033"/>
    <w:rsid w:val="00777266"/>
    <w:rsid w:val="00777AF0"/>
    <w:rsid w:val="00780127"/>
    <w:rsid w:val="00780922"/>
    <w:rsid w:val="00781961"/>
    <w:rsid w:val="00782D45"/>
    <w:rsid w:val="0078311E"/>
    <w:rsid w:val="00783685"/>
    <w:rsid w:val="00783914"/>
    <w:rsid w:val="0078395D"/>
    <w:rsid w:val="0078423C"/>
    <w:rsid w:val="00784EB0"/>
    <w:rsid w:val="007857EC"/>
    <w:rsid w:val="0078606B"/>
    <w:rsid w:val="00786168"/>
    <w:rsid w:val="00787195"/>
    <w:rsid w:val="007873CC"/>
    <w:rsid w:val="0078757B"/>
    <w:rsid w:val="0079009A"/>
    <w:rsid w:val="007907DA"/>
    <w:rsid w:val="00791043"/>
    <w:rsid w:val="0079127A"/>
    <w:rsid w:val="007914D8"/>
    <w:rsid w:val="0079160F"/>
    <w:rsid w:val="00791883"/>
    <w:rsid w:val="007919F2"/>
    <w:rsid w:val="00792766"/>
    <w:rsid w:val="00792BB3"/>
    <w:rsid w:val="00792BF6"/>
    <w:rsid w:val="00792C13"/>
    <w:rsid w:val="0079315E"/>
    <w:rsid w:val="00793FF5"/>
    <w:rsid w:val="007946BE"/>
    <w:rsid w:val="00796046"/>
    <w:rsid w:val="007962BA"/>
    <w:rsid w:val="007962DA"/>
    <w:rsid w:val="00796480"/>
    <w:rsid w:val="007965E8"/>
    <w:rsid w:val="00796987"/>
    <w:rsid w:val="00796D3E"/>
    <w:rsid w:val="00796F98"/>
    <w:rsid w:val="00797083"/>
    <w:rsid w:val="007973BE"/>
    <w:rsid w:val="00797925"/>
    <w:rsid w:val="00797ADF"/>
    <w:rsid w:val="007A0044"/>
    <w:rsid w:val="007A0D37"/>
    <w:rsid w:val="007A1481"/>
    <w:rsid w:val="007A185A"/>
    <w:rsid w:val="007A1E5E"/>
    <w:rsid w:val="007A1FCF"/>
    <w:rsid w:val="007A21A1"/>
    <w:rsid w:val="007A22AE"/>
    <w:rsid w:val="007A2C4C"/>
    <w:rsid w:val="007A2CDE"/>
    <w:rsid w:val="007A32EC"/>
    <w:rsid w:val="007A3696"/>
    <w:rsid w:val="007A36BB"/>
    <w:rsid w:val="007A38C8"/>
    <w:rsid w:val="007A3A3D"/>
    <w:rsid w:val="007A3DA4"/>
    <w:rsid w:val="007A4073"/>
    <w:rsid w:val="007A45EF"/>
    <w:rsid w:val="007A47DB"/>
    <w:rsid w:val="007A487A"/>
    <w:rsid w:val="007A49AF"/>
    <w:rsid w:val="007A4F5F"/>
    <w:rsid w:val="007A515E"/>
    <w:rsid w:val="007A5E14"/>
    <w:rsid w:val="007A6EBF"/>
    <w:rsid w:val="007A7FB4"/>
    <w:rsid w:val="007B0225"/>
    <w:rsid w:val="007B0340"/>
    <w:rsid w:val="007B039E"/>
    <w:rsid w:val="007B0AD0"/>
    <w:rsid w:val="007B0AE4"/>
    <w:rsid w:val="007B1194"/>
    <w:rsid w:val="007B1481"/>
    <w:rsid w:val="007B1DF8"/>
    <w:rsid w:val="007B1F02"/>
    <w:rsid w:val="007B1F44"/>
    <w:rsid w:val="007B348C"/>
    <w:rsid w:val="007B3493"/>
    <w:rsid w:val="007B374B"/>
    <w:rsid w:val="007B3FD4"/>
    <w:rsid w:val="007B46CE"/>
    <w:rsid w:val="007B4878"/>
    <w:rsid w:val="007B49FE"/>
    <w:rsid w:val="007B4BAB"/>
    <w:rsid w:val="007B4BEC"/>
    <w:rsid w:val="007B4C35"/>
    <w:rsid w:val="007B52D5"/>
    <w:rsid w:val="007B53C5"/>
    <w:rsid w:val="007B54AA"/>
    <w:rsid w:val="007B5C6E"/>
    <w:rsid w:val="007B5FC0"/>
    <w:rsid w:val="007B64E4"/>
    <w:rsid w:val="007B6509"/>
    <w:rsid w:val="007B6624"/>
    <w:rsid w:val="007B669C"/>
    <w:rsid w:val="007B6D2F"/>
    <w:rsid w:val="007B73C6"/>
    <w:rsid w:val="007B749A"/>
    <w:rsid w:val="007B7C9A"/>
    <w:rsid w:val="007C001F"/>
    <w:rsid w:val="007C02D5"/>
    <w:rsid w:val="007C032B"/>
    <w:rsid w:val="007C0AC4"/>
    <w:rsid w:val="007C0AEF"/>
    <w:rsid w:val="007C0E8A"/>
    <w:rsid w:val="007C138A"/>
    <w:rsid w:val="007C1651"/>
    <w:rsid w:val="007C1872"/>
    <w:rsid w:val="007C1CA9"/>
    <w:rsid w:val="007C1DA8"/>
    <w:rsid w:val="007C270F"/>
    <w:rsid w:val="007C2D46"/>
    <w:rsid w:val="007C3440"/>
    <w:rsid w:val="007C4458"/>
    <w:rsid w:val="007C4A4C"/>
    <w:rsid w:val="007C50AD"/>
    <w:rsid w:val="007C517D"/>
    <w:rsid w:val="007C5648"/>
    <w:rsid w:val="007C56BF"/>
    <w:rsid w:val="007C59F6"/>
    <w:rsid w:val="007C5FD9"/>
    <w:rsid w:val="007C632E"/>
    <w:rsid w:val="007C64C0"/>
    <w:rsid w:val="007C6968"/>
    <w:rsid w:val="007C7565"/>
    <w:rsid w:val="007C7BFA"/>
    <w:rsid w:val="007C7EDF"/>
    <w:rsid w:val="007D0301"/>
    <w:rsid w:val="007D03F9"/>
    <w:rsid w:val="007D0588"/>
    <w:rsid w:val="007D05FC"/>
    <w:rsid w:val="007D0E32"/>
    <w:rsid w:val="007D10FC"/>
    <w:rsid w:val="007D128F"/>
    <w:rsid w:val="007D1ACF"/>
    <w:rsid w:val="007D2389"/>
    <w:rsid w:val="007D2D3E"/>
    <w:rsid w:val="007D2DF9"/>
    <w:rsid w:val="007D3471"/>
    <w:rsid w:val="007D36E8"/>
    <w:rsid w:val="007D3D16"/>
    <w:rsid w:val="007D4E09"/>
    <w:rsid w:val="007D547D"/>
    <w:rsid w:val="007D5489"/>
    <w:rsid w:val="007D5D48"/>
    <w:rsid w:val="007D61E9"/>
    <w:rsid w:val="007D6517"/>
    <w:rsid w:val="007D71CA"/>
    <w:rsid w:val="007D7C08"/>
    <w:rsid w:val="007D7F62"/>
    <w:rsid w:val="007E00C1"/>
    <w:rsid w:val="007E0786"/>
    <w:rsid w:val="007E0E85"/>
    <w:rsid w:val="007E0EAA"/>
    <w:rsid w:val="007E19BC"/>
    <w:rsid w:val="007E1DCC"/>
    <w:rsid w:val="007E1F75"/>
    <w:rsid w:val="007E1F9F"/>
    <w:rsid w:val="007E24BC"/>
    <w:rsid w:val="007E2B9E"/>
    <w:rsid w:val="007E2DD1"/>
    <w:rsid w:val="007E2DEE"/>
    <w:rsid w:val="007E2E6C"/>
    <w:rsid w:val="007E35C7"/>
    <w:rsid w:val="007E3879"/>
    <w:rsid w:val="007E3A55"/>
    <w:rsid w:val="007E3DCD"/>
    <w:rsid w:val="007E4249"/>
    <w:rsid w:val="007E43ED"/>
    <w:rsid w:val="007E4798"/>
    <w:rsid w:val="007E496D"/>
    <w:rsid w:val="007E4AAF"/>
    <w:rsid w:val="007E5394"/>
    <w:rsid w:val="007E53FE"/>
    <w:rsid w:val="007E55E8"/>
    <w:rsid w:val="007E5706"/>
    <w:rsid w:val="007E57A8"/>
    <w:rsid w:val="007E5D77"/>
    <w:rsid w:val="007E68AE"/>
    <w:rsid w:val="007E695D"/>
    <w:rsid w:val="007E7C9C"/>
    <w:rsid w:val="007F048E"/>
    <w:rsid w:val="007F0556"/>
    <w:rsid w:val="007F0A13"/>
    <w:rsid w:val="007F134D"/>
    <w:rsid w:val="007F1660"/>
    <w:rsid w:val="007F1FDC"/>
    <w:rsid w:val="007F23D2"/>
    <w:rsid w:val="007F2620"/>
    <w:rsid w:val="007F2F98"/>
    <w:rsid w:val="007F358B"/>
    <w:rsid w:val="007F3AFE"/>
    <w:rsid w:val="007F469E"/>
    <w:rsid w:val="007F4EF3"/>
    <w:rsid w:val="007F54AD"/>
    <w:rsid w:val="007F54BE"/>
    <w:rsid w:val="007F56E0"/>
    <w:rsid w:val="007F5AAE"/>
    <w:rsid w:val="007F61D8"/>
    <w:rsid w:val="007F69B9"/>
    <w:rsid w:val="007F6D80"/>
    <w:rsid w:val="007F73DF"/>
    <w:rsid w:val="007F7E26"/>
    <w:rsid w:val="00800677"/>
    <w:rsid w:val="00800A45"/>
    <w:rsid w:val="008012EE"/>
    <w:rsid w:val="008014F3"/>
    <w:rsid w:val="008017E4"/>
    <w:rsid w:val="00801AD7"/>
    <w:rsid w:val="008022CE"/>
    <w:rsid w:val="008027A3"/>
    <w:rsid w:val="00802856"/>
    <w:rsid w:val="00803033"/>
    <w:rsid w:val="0080305E"/>
    <w:rsid w:val="00803585"/>
    <w:rsid w:val="008035E0"/>
    <w:rsid w:val="00803633"/>
    <w:rsid w:val="008036C4"/>
    <w:rsid w:val="00803F8B"/>
    <w:rsid w:val="0080401F"/>
    <w:rsid w:val="0080480A"/>
    <w:rsid w:val="008051D9"/>
    <w:rsid w:val="008052A1"/>
    <w:rsid w:val="00805C39"/>
    <w:rsid w:val="00805EF6"/>
    <w:rsid w:val="00806618"/>
    <w:rsid w:val="008069F2"/>
    <w:rsid w:val="00807195"/>
    <w:rsid w:val="00807328"/>
    <w:rsid w:val="00811179"/>
    <w:rsid w:val="00811968"/>
    <w:rsid w:val="00811E71"/>
    <w:rsid w:val="008124C9"/>
    <w:rsid w:val="008126DF"/>
    <w:rsid w:val="00812A2A"/>
    <w:rsid w:val="00812ECE"/>
    <w:rsid w:val="00813229"/>
    <w:rsid w:val="00813B7A"/>
    <w:rsid w:val="00813EDF"/>
    <w:rsid w:val="00814113"/>
    <w:rsid w:val="0081420E"/>
    <w:rsid w:val="008145FC"/>
    <w:rsid w:val="008147A3"/>
    <w:rsid w:val="00814F39"/>
    <w:rsid w:val="008151DE"/>
    <w:rsid w:val="008154AA"/>
    <w:rsid w:val="008163D7"/>
    <w:rsid w:val="00816C31"/>
    <w:rsid w:val="008171BF"/>
    <w:rsid w:val="00817DD9"/>
    <w:rsid w:val="0082010F"/>
    <w:rsid w:val="008204E4"/>
    <w:rsid w:val="00820683"/>
    <w:rsid w:val="0082071E"/>
    <w:rsid w:val="00821193"/>
    <w:rsid w:val="00821409"/>
    <w:rsid w:val="008215DA"/>
    <w:rsid w:val="00821D4F"/>
    <w:rsid w:val="00821DE4"/>
    <w:rsid w:val="008229E6"/>
    <w:rsid w:val="00822A0B"/>
    <w:rsid w:val="00822AA2"/>
    <w:rsid w:val="00822CA9"/>
    <w:rsid w:val="00822FF9"/>
    <w:rsid w:val="00823C6C"/>
    <w:rsid w:val="0082474F"/>
    <w:rsid w:val="0082476A"/>
    <w:rsid w:val="00824DE1"/>
    <w:rsid w:val="00824FD6"/>
    <w:rsid w:val="00825641"/>
    <w:rsid w:val="00825863"/>
    <w:rsid w:val="00826214"/>
    <w:rsid w:val="00826EA4"/>
    <w:rsid w:val="008271EC"/>
    <w:rsid w:val="008276A8"/>
    <w:rsid w:val="0082787D"/>
    <w:rsid w:val="00827FA8"/>
    <w:rsid w:val="00827FAA"/>
    <w:rsid w:val="00830167"/>
    <w:rsid w:val="0083038A"/>
    <w:rsid w:val="008308C6"/>
    <w:rsid w:val="00830C29"/>
    <w:rsid w:val="00830D8B"/>
    <w:rsid w:val="008312D2"/>
    <w:rsid w:val="0083235A"/>
    <w:rsid w:val="0083274B"/>
    <w:rsid w:val="00833132"/>
    <w:rsid w:val="008339DC"/>
    <w:rsid w:val="00834316"/>
    <w:rsid w:val="008347FC"/>
    <w:rsid w:val="00834844"/>
    <w:rsid w:val="008349C0"/>
    <w:rsid w:val="00834BCD"/>
    <w:rsid w:val="00834EA6"/>
    <w:rsid w:val="00835978"/>
    <w:rsid w:val="00835DB9"/>
    <w:rsid w:val="00835FB6"/>
    <w:rsid w:val="008362E3"/>
    <w:rsid w:val="008369A2"/>
    <w:rsid w:val="008372A1"/>
    <w:rsid w:val="0083777B"/>
    <w:rsid w:val="00840188"/>
    <w:rsid w:val="0084092C"/>
    <w:rsid w:val="008409C6"/>
    <w:rsid w:val="00840F89"/>
    <w:rsid w:val="0084105D"/>
    <w:rsid w:val="00841360"/>
    <w:rsid w:val="008415BB"/>
    <w:rsid w:val="0084199B"/>
    <w:rsid w:val="00841ACA"/>
    <w:rsid w:val="00841C46"/>
    <w:rsid w:val="00842568"/>
    <w:rsid w:val="00842913"/>
    <w:rsid w:val="00842923"/>
    <w:rsid w:val="00842961"/>
    <w:rsid w:val="008435E7"/>
    <w:rsid w:val="008436E6"/>
    <w:rsid w:val="0084401A"/>
    <w:rsid w:val="00844223"/>
    <w:rsid w:val="00844779"/>
    <w:rsid w:val="00844AEC"/>
    <w:rsid w:val="0084551A"/>
    <w:rsid w:val="00845863"/>
    <w:rsid w:val="008459C1"/>
    <w:rsid w:val="008460ED"/>
    <w:rsid w:val="008467D5"/>
    <w:rsid w:val="0084691D"/>
    <w:rsid w:val="00846DE4"/>
    <w:rsid w:val="008470B7"/>
    <w:rsid w:val="00847B4F"/>
    <w:rsid w:val="0085049D"/>
    <w:rsid w:val="00850920"/>
    <w:rsid w:val="00850A72"/>
    <w:rsid w:val="00850D78"/>
    <w:rsid w:val="00850DF4"/>
    <w:rsid w:val="00851C10"/>
    <w:rsid w:val="008526DE"/>
    <w:rsid w:val="008528B5"/>
    <w:rsid w:val="00853655"/>
    <w:rsid w:val="00853BAF"/>
    <w:rsid w:val="00854508"/>
    <w:rsid w:val="00854571"/>
    <w:rsid w:val="00854778"/>
    <w:rsid w:val="00854AC8"/>
    <w:rsid w:val="00854B90"/>
    <w:rsid w:val="00854F8D"/>
    <w:rsid w:val="00855431"/>
    <w:rsid w:val="00855D1D"/>
    <w:rsid w:val="00856126"/>
    <w:rsid w:val="008569F5"/>
    <w:rsid w:val="00857CAE"/>
    <w:rsid w:val="008605EA"/>
    <w:rsid w:val="00860FA8"/>
    <w:rsid w:val="00861003"/>
    <w:rsid w:val="0086144F"/>
    <w:rsid w:val="00862156"/>
    <w:rsid w:val="00862503"/>
    <w:rsid w:val="00863202"/>
    <w:rsid w:val="0086364E"/>
    <w:rsid w:val="0086378A"/>
    <w:rsid w:val="00863AF4"/>
    <w:rsid w:val="00863BD3"/>
    <w:rsid w:val="0086420E"/>
    <w:rsid w:val="0086453D"/>
    <w:rsid w:val="00864933"/>
    <w:rsid w:val="00864B7B"/>
    <w:rsid w:val="00864BD5"/>
    <w:rsid w:val="00864CA7"/>
    <w:rsid w:val="008656C3"/>
    <w:rsid w:val="00865777"/>
    <w:rsid w:val="00865917"/>
    <w:rsid w:val="008661F0"/>
    <w:rsid w:val="00866312"/>
    <w:rsid w:val="00866F6D"/>
    <w:rsid w:val="00866FF2"/>
    <w:rsid w:val="008702EB"/>
    <w:rsid w:val="008705B6"/>
    <w:rsid w:val="00870AAE"/>
    <w:rsid w:val="00870BB0"/>
    <w:rsid w:val="00870FCD"/>
    <w:rsid w:val="0087108F"/>
    <w:rsid w:val="00872853"/>
    <w:rsid w:val="008730F2"/>
    <w:rsid w:val="00873472"/>
    <w:rsid w:val="00874185"/>
    <w:rsid w:val="008745DC"/>
    <w:rsid w:val="00874D9E"/>
    <w:rsid w:val="00874EDC"/>
    <w:rsid w:val="008753BD"/>
    <w:rsid w:val="00875672"/>
    <w:rsid w:val="0087569F"/>
    <w:rsid w:val="00875ABD"/>
    <w:rsid w:val="00875E7F"/>
    <w:rsid w:val="00876422"/>
    <w:rsid w:val="008766B2"/>
    <w:rsid w:val="0087683D"/>
    <w:rsid w:val="008768A1"/>
    <w:rsid w:val="00877D9A"/>
    <w:rsid w:val="00877F3A"/>
    <w:rsid w:val="008806C5"/>
    <w:rsid w:val="00880FC9"/>
    <w:rsid w:val="0088103C"/>
    <w:rsid w:val="008812DA"/>
    <w:rsid w:val="008817D6"/>
    <w:rsid w:val="00881A4B"/>
    <w:rsid w:val="00881E75"/>
    <w:rsid w:val="008820DF"/>
    <w:rsid w:val="008820E5"/>
    <w:rsid w:val="00882365"/>
    <w:rsid w:val="00882F37"/>
    <w:rsid w:val="00883915"/>
    <w:rsid w:val="008839BD"/>
    <w:rsid w:val="00883C6B"/>
    <w:rsid w:val="008846B0"/>
    <w:rsid w:val="008848D8"/>
    <w:rsid w:val="00884EA6"/>
    <w:rsid w:val="00885680"/>
    <w:rsid w:val="0088658C"/>
    <w:rsid w:val="00886DEC"/>
    <w:rsid w:val="00890384"/>
    <w:rsid w:val="008912D7"/>
    <w:rsid w:val="0089200E"/>
    <w:rsid w:val="008923D0"/>
    <w:rsid w:val="00893856"/>
    <w:rsid w:val="00893A74"/>
    <w:rsid w:val="00893B3A"/>
    <w:rsid w:val="00893CE6"/>
    <w:rsid w:val="008943F1"/>
    <w:rsid w:val="008949F3"/>
    <w:rsid w:val="00894AFC"/>
    <w:rsid w:val="00894DFC"/>
    <w:rsid w:val="0089519B"/>
    <w:rsid w:val="00895908"/>
    <w:rsid w:val="00895AEE"/>
    <w:rsid w:val="00896479"/>
    <w:rsid w:val="00897BFD"/>
    <w:rsid w:val="008A0410"/>
    <w:rsid w:val="008A0776"/>
    <w:rsid w:val="008A0DAF"/>
    <w:rsid w:val="008A0F84"/>
    <w:rsid w:val="008A122D"/>
    <w:rsid w:val="008A17AC"/>
    <w:rsid w:val="008A278D"/>
    <w:rsid w:val="008A2A49"/>
    <w:rsid w:val="008A2AC0"/>
    <w:rsid w:val="008A2DB0"/>
    <w:rsid w:val="008A30E4"/>
    <w:rsid w:val="008A34F5"/>
    <w:rsid w:val="008A3CC5"/>
    <w:rsid w:val="008A3DF6"/>
    <w:rsid w:val="008A3FC8"/>
    <w:rsid w:val="008A403D"/>
    <w:rsid w:val="008A4368"/>
    <w:rsid w:val="008A4656"/>
    <w:rsid w:val="008A47A0"/>
    <w:rsid w:val="008A4881"/>
    <w:rsid w:val="008A4C71"/>
    <w:rsid w:val="008A5025"/>
    <w:rsid w:val="008A527A"/>
    <w:rsid w:val="008A55E2"/>
    <w:rsid w:val="008A574C"/>
    <w:rsid w:val="008A5832"/>
    <w:rsid w:val="008A5BAE"/>
    <w:rsid w:val="008A5BFE"/>
    <w:rsid w:val="008A5E0E"/>
    <w:rsid w:val="008A5E3A"/>
    <w:rsid w:val="008A66C9"/>
    <w:rsid w:val="008A6787"/>
    <w:rsid w:val="008A7090"/>
    <w:rsid w:val="008A7195"/>
    <w:rsid w:val="008A7513"/>
    <w:rsid w:val="008A77D9"/>
    <w:rsid w:val="008B0716"/>
    <w:rsid w:val="008B0B5D"/>
    <w:rsid w:val="008B0B69"/>
    <w:rsid w:val="008B0FFF"/>
    <w:rsid w:val="008B1035"/>
    <w:rsid w:val="008B1044"/>
    <w:rsid w:val="008B1242"/>
    <w:rsid w:val="008B1595"/>
    <w:rsid w:val="008B1D2E"/>
    <w:rsid w:val="008B1DB9"/>
    <w:rsid w:val="008B2FC3"/>
    <w:rsid w:val="008B36E9"/>
    <w:rsid w:val="008B3C1E"/>
    <w:rsid w:val="008B3D14"/>
    <w:rsid w:val="008B4684"/>
    <w:rsid w:val="008B4782"/>
    <w:rsid w:val="008B5695"/>
    <w:rsid w:val="008B6043"/>
    <w:rsid w:val="008B6365"/>
    <w:rsid w:val="008B6405"/>
    <w:rsid w:val="008B6627"/>
    <w:rsid w:val="008B69B7"/>
    <w:rsid w:val="008B782B"/>
    <w:rsid w:val="008B78C4"/>
    <w:rsid w:val="008B7B57"/>
    <w:rsid w:val="008B7DEC"/>
    <w:rsid w:val="008C00ED"/>
    <w:rsid w:val="008C0D5C"/>
    <w:rsid w:val="008C1525"/>
    <w:rsid w:val="008C1598"/>
    <w:rsid w:val="008C15AB"/>
    <w:rsid w:val="008C17E8"/>
    <w:rsid w:val="008C1EC8"/>
    <w:rsid w:val="008C1F31"/>
    <w:rsid w:val="008C2916"/>
    <w:rsid w:val="008C2B69"/>
    <w:rsid w:val="008C2BA6"/>
    <w:rsid w:val="008C32F2"/>
    <w:rsid w:val="008C3A58"/>
    <w:rsid w:val="008C3FD5"/>
    <w:rsid w:val="008C4340"/>
    <w:rsid w:val="008C43BD"/>
    <w:rsid w:val="008C51E5"/>
    <w:rsid w:val="008C53A8"/>
    <w:rsid w:val="008C54ED"/>
    <w:rsid w:val="008C647A"/>
    <w:rsid w:val="008C650C"/>
    <w:rsid w:val="008C771D"/>
    <w:rsid w:val="008C7A8E"/>
    <w:rsid w:val="008C7B9B"/>
    <w:rsid w:val="008C7DF7"/>
    <w:rsid w:val="008D01D5"/>
    <w:rsid w:val="008D0427"/>
    <w:rsid w:val="008D0A22"/>
    <w:rsid w:val="008D11D6"/>
    <w:rsid w:val="008D151A"/>
    <w:rsid w:val="008D1C58"/>
    <w:rsid w:val="008D2375"/>
    <w:rsid w:val="008D28CC"/>
    <w:rsid w:val="008D2B90"/>
    <w:rsid w:val="008D2C0D"/>
    <w:rsid w:val="008D30E7"/>
    <w:rsid w:val="008D30F9"/>
    <w:rsid w:val="008D3577"/>
    <w:rsid w:val="008D3A09"/>
    <w:rsid w:val="008D4251"/>
    <w:rsid w:val="008D4516"/>
    <w:rsid w:val="008D5127"/>
    <w:rsid w:val="008D5823"/>
    <w:rsid w:val="008D5836"/>
    <w:rsid w:val="008D5ACE"/>
    <w:rsid w:val="008D5ADE"/>
    <w:rsid w:val="008D6593"/>
    <w:rsid w:val="008D6C8F"/>
    <w:rsid w:val="008D7986"/>
    <w:rsid w:val="008D7DFF"/>
    <w:rsid w:val="008E098B"/>
    <w:rsid w:val="008E0AE8"/>
    <w:rsid w:val="008E0F15"/>
    <w:rsid w:val="008E1E6E"/>
    <w:rsid w:val="008E2231"/>
    <w:rsid w:val="008E250B"/>
    <w:rsid w:val="008E25A3"/>
    <w:rsid w:val="008E2604"/>
    <w:rsid w:val="008E2A3E"/>
    <w:rsid w:val="008E34F4"/>
    <w:rsid w:val="008E3CC2"/>
    <w:rsid w:val="008E4090"/>
    <w:rsid w:val="008E412F"/>
    <w:rsid w:val="008E41BE"/>
    <w:rsid w:val="008E47DF"/>
    <w:rsid w:val="008E4A6D"/>
    <w:rsid w:val="008E5386"/>
    <w:rsid w:val="008E62D9"/>
    <w:rsid w:val="008E718A"/>
    <w:rsid w:val="008E7FCA"/>
    <w:rsid w:val="008F047F"/>
    <w:rsid w:val="008F04F4"/>
    <w:rsid w:val="008F0CE1"/>
    <w:rsid w:val="008F0E87"/>
    <w:rsid w:val="008F1356"/>
    <w:rsid w:val="008F136B"/>
    <w:rsid w:val="008F2166"/>
    <w:rsid w:val="008F27D5"/>
    <w:rsid w:val="008F304F"/>
    <w:rsid w:val="008F32B5"/>
    <w:rsid w:val="008F3757"/>
    <w:rsid w:val="008F37F0"/>
    <w:rsid w:val="008F3BFF"/>
    <w:rsid w:val="008F3C6C"/>
    <w:rsid w:val="008F3C85"/>
    <w:rsid w:val="008F4358"/>
    <w:rsid w:val="008F4B29"/>
    <w:rsid w:val="008F58CE"/>
    <w:rsid w:val="008F5CC2"/>
    <w:rsid w:val="008F60F2"/>
    <w:rsid w:val="008F64E8"/>
    <w:rsid w:val="008F6532"/>
    <w:rsid w:val="008F6866"/>
    <w:rsid w:val="008F6AED"/>
    <w:rsid w:val="008F6BED"/>
    <w:rsid w:val="008F6D70"/>
    <w:rsid w:val="008F6E29"/>
    <w:rsid w:val="008F6EB4"/>
    <w:rsid w:val="008F6F6D"/>
    <w:rsid w:val="008F75F0"/>
    <w:rsid w:val="008F7BE0"/>
    <w:rsid w:val="008F7C11"/>
    <w:rsid w:val="008F7F36"/>
    <w:rsid w:val="0090013F"/>
    <w:rsid w:val="00900154"/>
    <w:rsid w:val="00900244"/>
    <w:rsid w:val="0090086E"/>
    <w:rsid w:val="00901349"/>
    <w:rsid w:val="009014A7"/>
    <w:rsid w:val="00901AB3"/>
    <w:rsid w:val="00901D08"/>
    <w:rsid w:val="009020B4"/>
    <w:rsid w:val="0090219D"/>
    <w:rsid w:val="00902288"/>
    <w:rsid w:val="0090229E"/>
    <w:rsid w:val="00902DA5"/>
    <w:rsid w:val="00903285"/>
    <w:rsid w:val="0090334E"/>
    <w:rsid w:val="00903456"/>
    <w:rsid w:val="00904957"/>
    <w:rsid w:val="00904BF6"/>
    <w:rsid w:val="00905333"/>
    <w:rsid w:val="009053D9"/>
    <w:rsid w:val="00905484"/>
    <w:rsid w:val="00905A86"/>
    <w:rsid w:val="00905AE1"/>
    <w:rsid w:val="00906178"/>
    <w:rsid w:val="00906CD4"/>
    <w:rsid w:val="00906D2F"/>
    <w:rsid w:val="00906DD8"/>
    <w:rsid w:val="00907084"/>
    <w:rsid w:val="0090719D"/>
    <w:rsid w:val="00907796"/>
    <w:rsid w:val="00907B25"/>
    <w:rsid w:val="00907EE3"/>
    <w:rsid w:val="009109A0"/>
    <w:rsid w:val="00911823"/>
    <w:rsid w:val="0091194F"/>
    <w:rsid w:val="00911AFD"/>
    <w:rsid w:val="00911D38"/>
    <w:rsid w:val="00912DBC"/>
    <w:rsid w:val="00912F2F"/>
    <w:rsid w:val="0091314A"/>
    <w:rsid w:val="00913777"/>
    <w:rsid w:val="00913B98"/>
    <w:rsid w:val="009141DF"/>
    <w:rsid w:val="00914548"/>
    <w:rsid w:val="00914593"/>
    <w:rsid w:val="00914728"/>
    <w:rsid w:val="00914785"/>
    <w:rsid w:val="00914FD1"/>
    <w:rsid w:val="00915CDF"/>
    <w:rsid w:val="00915EDC"/>
    <w:rsid w:val="00915F38"/>
    <w:rsid w:val="00916AC4"/>
    <w:rsid w:val="0091790A"/>
    <w:rsid w:val="00917B08"/>
    <w:rsid w:val="00917D13"/>
    <w:rsid w:val="00920065"/>
    <w:rsid w:val="009205A1"/>
    <w:rsid w:val="009206CA"/>
    <w:rsid w:val="009207EE"/>
    <w:rsid w:val="00920DA6"/>
    <w:rsid w:val="0092128D"/>
    <w:rsid w:val="0092213E"/>
    <w:rsid w:val="00922DF7"/>
    <w:rsid w:val="00923CD7"/>
    <w:rsid w:val="00923E26"/>
    <w:rsid w:val="00923E95"/>
    <w:rsid w:val="009242FA"/>
    <w:rsid w:val="009243C5"/>
    <w:rsid w:val="0092516A"/>
    <w:rsid w:val="00925DEC"/>
    <w:rsid w:val="00925F1E"/>
    <w:rsid w:val="0092618A"/>
    <w:rsid w:val="0092676E"/>
    <w:rsid w:val="0092681A"/>
    <w:rsid w:val="00927221"/>
    <w:rsid w:val="009275DF"/>
    <w:rsid w:val="00930265"/>
    <w:rsid w:val="009303B6"/>
    <w:rsid w:val="00930964"/>
    <w:rsid w:val="00932C9E"/>
    <w:rsid w:val="00932D18"/>
    <w:rsid w:val="009331CC"/>
    <w:rsid w:val="0093338A"/>
    <w:rsid w:val="0093370E"/>
    <w:rsid w:val="00933B56"/>
    <w:rsid w:val="00934072"/>
    <w:rsid w:val="00934527"/>
    <w:rsid w:val="00934D24"/>
    <w:rsid w:val="00935512"/>
    <w:rsid w:val="00935A12"/>
    <w:rsid w:val="0093628F"/>
    <w:rsid w:val="00936344"/>
    <w:rsid w:val="00937B49"/>
    <w:rsid w:val="00937E11"/>
    <w:rsid w:val="00940262"/>
    <w:rsid w:val="009402E0"/>
    <w:rsid w:val="009404F0"/>
    <w:rsid w:val="0094084A"/>
    <w:rsid w:val="00940A82"/>
    <w:rsid w:val="00940C58"/>
    <w:rsid w:val="00941294"/>
    <w:rsid w:val="009412A3"/>
    <w:rsid w:val="009413DC"/>
    <w:rsid w:val="0094218A"/>
    <w:rsid w:val="009421E4"/>
    <w:rsid w:val="009427B6"/>
    <w:rsid w:val="00943AA1"/>
    <w:rsid w:val="0094427F"/>
    <w:rsid w:val="00944798"/>
    <w:rsid w:val="00944CE0"/>
    <w:rsid w:val="0094557C"/>
    <w:rsid w:val="009458CE"/>
    <w:rsid w:val="00947397"/>
    <w:rsid w:val="0094743B"/>
    <w:rsid w:val="00947EC0"/>
    <w:rsid w:val="00947FA6"/>
    <w:rsid w:val="009503D2"/>
    <w:rsid w:val="00950E68"/>
    <w:rsid w:val="009510AC"/>
    <w:rsid w:val="00951172"/>
    <w:rsid w:val="00951FDD"/>
    <w:rsid w:val="009526E7"/>
    <w:rsid w:val="009528DD"/>
    <w:rsid w:val="009529A7"/>
    <w:rsid w:val="00952D64"/>
    <w:rsid w:val="00952E10"/>
    <w:rsid w:val="00952F70"/>
    <w:rsid w:val="009530D6"/>
    <w:rsid w:val="00953706"/>
    <w:rsid w:val="0095392D"/>
    <w:rsid w:val="0095498B"/>
    <w:rsid w:val="00954C1C"/>
    <w:rsid w:val="00954E43"/>
    <w:rsid w:val="00955215"/>
    <w:rsid w:val="00955882"/>
    <w:rsid w:val="0095598E"/>
    <w:rsid w:val="00956569"/>
    <w:rsid w:val="00956B99"/>
    <w:rsid w:val="00956D72"/>
    <w:rsid w:val="009571C1"/>
    <w:rsid w:val="00957248"/>
    <w:rsid w:val="00957351"/>
    <w:rsid w:val="00957C09"/>
    <w:rsid w:val="00957E5F"/>
    <w:rsid w:val="00960B1E"/>
    <w:rsid w:val="00960F3B"/>
    <w:rsid w:val="00961934"/>
    <w:rsid w:val="00961EC4"/>
    <w:rsid w:val="009628B1"/>
    <w:rsid w:val="00962A04"/>
    <w:rsid w:val="0096322F"/>
    <w:rsid w:val="00963881"/>
    <w:rsid w:val="00963C5F"/>
    <w:rsid w:val="009644A0"/>
    <w:rsid w:val="0096458C"/>
    <w:rsid w:val="00964889"/>
    <w:rsid w:val="00964A35"/>
    <w:rsid w:val="00965D6B"/>
    <w:rsid w:val="009660FB"/>
    <w:rsid w:val="00966650"/>
    <w:rsid w:val="00966F62"/>
    <w:rsid w:val="00967418"/>
    <w:rsid w:val="00967BAF"/>
    <w:rsid w:val="00970065"/>
    <w:rsid w:val="00970A21"/>
    <w:rsid w:val="00970C5F"/>
    <w:rsid w:val="00970D66"/>
    <w:rsid w:val="009710AF"/>
    <w:rsid w:val="009713F9"/>
    <w:rsid w:val="009715E6"/>
    <w:rsid w:val="00971630"/>
    <w:rsid w:val="00971683"/>
    <w:rsid w:val="00971D46"/>
    <w:rsid w:val="00971E32"/>
    <w:rsid w:val="0097221D"/>
    <w:rsid w:val="00972410"/>
    <w:rsid w:val="0097243D"/>
    <w:rsid w:val="0097247D"/>
    <w:rsid w:val="0097298C"/>
    <w:rsid w:val="00972BC7"/>
    <w:rsid w:val="00973212"/>
    <w:rsid w:val="009734E0"/>
    <w:rsid w:val="00973753"/>
    <w:rsid w:val="009739D6"/>
    <w:rsid w:val="00973AD1"/>
    <w:rsid w:val="00974174"/>
    <w:rsid w:val="0097429B"/>
    <w:rsid w:val="00974333"/>
    <w:rsid w:val="00974453"/>
    <w:rsid w:val="0097453E"/>
    <w:rsid w:val="009745EF"/>
    <w:rsid w:val="00974C52"/>
    <w:rsid w:val="009755F8"/>
    <w:rsid w:val="009763A9"/>
    <w:rsid w:val="0097644F"/>
    <w:rsid w:val="009766D9"/>
    <w:rsid w:val="00976BB6"/>
    <w:rsid w:val="009770DE"/>
    <w:rsid w:val="009770F1"/>
    <w:rsid w:val="0097752A"/>
    <w:rsid w:val="0097758D"/>
    <w:rsid w:val="00977FEC"/>
    <w:rsid w:val="00980657"/>
    <w:rsid w:val="00981062"/>
    <w:rsid w:val="00981349"/>
    <w:rsid w:val="00981496"/>
    <w:rsid w:val="00981CFE"/>
    <w:rsid w:val="009822B3"/>
    <w:rsid w:val="00982E8D"/>
    <w:rsid w:val="00983002"/>
    <w:rsid w:val="009839D9"/>
    <w:rsid w:val="00983CDB"/>
    <w:rsid w:val="00983E87"/>
    <w:rsid w:val="00985FD4"/>
    <w:rsid w:val="009864A5"/>
    <w:rsid w:val="009866D4"/>
    <w:rsid w:val="00986963"/>
    <w:rsid w:val="00986A74"/>
    <w:rsid w:val="00986C9C"/>
    <w:rsid w:val="00986E08"/>
    <w:rsid w:val="00987003"/>
    <w:rsid w:val="0098737A"/>
    <w:rsid w:val="009877F5"/>
    <w:rsid w:val="00987D72"/>
    <w:rsid w:val="009906F8"/>
    <w:rsid w:val="00990A1F"/>
    <w:rsid w:val="00990B2E"/>
    <w:rsid w:val="00991354"/>
    <w:rsid w:val="009917EC"/>
    <w:rsid w:val="00992362"/>
    <w:rsid w:val="009929C3"/>
    <w:rsid w:val="00993A2E"/>
    <w:rsid w:val="00993FD9"/>
    <w:rsid w:val="009949D2"/>
    <w:rsid w:val="00994EE1"/>
    <w:rsid w:val="009956A2"/>
    <w:rsid w:val="00995725"/>
    <w:rsid w:val="009957AC"/>
    <w:rsid w:val="009958AD"/>
    <w:rsid w:val="009959D8"/>
    <w:rsid w:val="00995BC8"/>
    <w:rsid w:val="00995E3F"/>
    <w:rsid w:val="00996060"/>
    <w:rsid w:val="00996875"/>
    <w:rsid w:val="00996F23"/>
    <w:rsid w:val="00997080"/>
    <w:rsid w:val="00997174"/>
    <w:rsid w:val="0099733B"/>
    <w:rsid w:val="00997590"/>
    <w:rsid w:val="009978B0"/>
    <w:rsid w:val="009978B4"/>
    <w:rsid w:val="009A041B"/>
    <w:rsid w:val="009A0611"/>
    <w:rsid w:val="009A0790"/>
    <w:rsid w:val="009A0968"/>
    <w:rsid w:val="009A0DF4"/>
    <w:rsid w:val="009A0EB5"/>
    <w:rsid w:val="009A1A87"/>
    <w:rsid w:val="009A1B88"/>
    <w:rsid w:val="009A1DFC"/>
    <w:rsid w:val="009A1F0A"/>
    <w:rsid w:val="009A291C"/>
    <w:rsid w:val="009A292D"/>
    <w:rsid w:val="009A29DD"/>
    <w:rsid w:val="009A2C7E"/>
    <w:rsid w:val="009A3716"/>
    <w:rsid w:val="009A37D3"/>
    <w:rsid w:val="009A39A1"/>
    <w:rsid w:val="009A4252"/>
    <w:rsid w:val="009A47BD"/>
    <w:rsid w:val="009A4879"/>
    <w:rsid w:val="009A4CAA"/>
    <w:rsid w:val="009A4E17"/>
    <w:rsid w:val="009A4FCE"/>
    <w:rsid w:val="009A5091"/>
    <w:rsid w:val="009A51AB"/>
    <w:rsid w:val="009A5F0F"/>
    <w:rsid w:val="009A632C"/>
    <w:rsid w:val="009A7378"/>
    <w:rsid w:val="009B0096"/>
    <w:rsid w:val="009B0194"/>
    <w:rsid w:val="009B03ED"/>
    <w:rsid w:val="009B0910"/>
    <w:rsid w:val="009B118E"/>
    <w:rsid w:val="009B1652"/>
    <w:rsid w:val="009B168A"/>
    <w:rsid w:val="009B1CF5"/>
    <w:rsid w:val="009B1D48"/>
    <w:rsid w:val="009B1DEF"/>
    <w:rsid w:val="009B1EBF"/>
    <w:rsid w:val="009B214E"/>
    <w:rsid w:val="009B224C"/>
    <w:rsid w:val="009B2AA4"/>
    <w:rsid w:val="009B2EC1"/>
    <w:rsid w:val="009B30BA"/>
    <w:rsid w:val="009B3274"/>
    <w:rsid w:val="009B3850"/>
    <w:rsid w:val="009B3AB5"/>
    <w:rsid w:val="009B47BC"/>
    <w:rsid w:val="009B542E"/>
    <w:rsid w:val="009B5A2D"/>
    <w:rsid w:val="009B5A60"/>
    <w:rsid w:val="009B5C3A"/>
    <w:rsid w:val="009B5FAD"/>
    <w:rsid w:val="009B64A2"/>
    <w:rsid w:val="009B6A43"/>
    <w:rsid w:val="009B6F35"/>
    <w:rsid w:val="009B706B"/>
    <w:rsid w:val="009B754F"/>
    <w:rsid w:val="009B7A1A"/>
    <w:rsid w:val="009C0069"/>
    <w:rsid w:val="009C08DE"/>
    <w:rsid w:val="009C0C0C"/>
    <w:rsid w:val="009C0C54"/>
    <w:rsid w:val="009C0EC0"/>
    <w:rsid w:val="009C0F3E"/>
    <w:rsid w:val="009C13FE"/>
    <w:rsid w:val="009C172C"/>
    <w:rsid w:val="009C1967"/>
    <w:rsid w:val="009C2AB0"/>
    <w:rsid w:val="009C2D2C"/>
    <w:rsid w:val="009C2DA1"/>
    <w:rsid w:val="009C314D"/>
    <w:rsid w:val="009C323B"/>
    <w:rsid w:val="009C347A"/>
    <w:rsid w:val="009C4601"/>
    <w:rsid w:val="009C464D"/>
    <w:rsid w:val="009C4A3D"/>
    <w:rsid w:val="009C4D95"/>
    <w:rsid w:val="009C50C6"/>
    <w:rsid w:val="009C5C43"/>
    <w:rsid w:val="009C61A9"/>
    <w:rsid w:val="009C6A76"/>
    <w:rsid w:val="009C6BCA"/>
    <w:rsid w:val="009C6D3E"/>
    <w:rsid w:val="009C6E12"/>
    <w:rsid w:val="009C7009"/>
    <w:rsid w:val="009C70A6"/>
    <w:rsid w:val="009C71C2"/>
    <w:rsid w:val="009C74ED"/>
    <w:rsid w:val="009C7673"/>
    <w:rsid w:val="009C7F4C"/>
    <w:rsid w:val="009D0A6C"/>
    <w:rsid w:val="009D1176"/>
    <w:rsid w:val="009D1F55"/>
    <w:rsid w:val="009D2135"/>
    <w:rsid w:val="009D2632"/>
    <w:rsid w:val="009D2826"/>
    <w:rsid w:val="009D2CC7"/>
    <w:rsid w:val="009D32CC"/>
    <w:rsid w:val="009D335B"/>
    <w:rsid w:val="009D4113"/>
    <w:rsid w:val="009D41C7"/>
    <w:rsid w:val="009D44B8"/>
    <w:rsid w:val="009D4607"/>
    <w:rsid w:val="009D4703"/>
    <w:rsid w:val="009D5390"/>
    <w:rsid w:val="009D5AAB"/>
    <w:rsid w:val="009D5E5C"/>
    <w:rsid w:val="009D6018"/>
    <w:rsid w:val="009D6439"/>
    <w:rsid w:val="009D645F"/>
    <w:rsid w:val="009E03C0"/>
    <w:rsid w:val="009E06D6"/>
    <w:rsid w:val="009E08B8"/>
    <w:rsid w:val="009E0AB3"/>
    <w:rsid w:val="009E0F0C"/>
    <w:rsid w:val="009E127E"/>
    <w:rsid w:val="009E1286"/>
    <w:rsid w:val="009E18B8"/>
    <w:rsid w:val="009E1ADA"/>
    <w:rsid w:val="009E22F9"/>
    <w:rsid w:val="009E2910"/>
    <w:rsid w:val="009E2B7B"/>
    <w:rsid w:val="009E2E12"/>
    <w:rsid w:val="009E3770"/>
    <w:rsid w:val="009E3B58"/>
    <w:rsid w:val="009E3F46"/>
    <w:rsid w:val="009E3F84"/>
    <w:rsid w:val="009E432D"/>
    <w:rsid w:val="009E45D7"/>
    <w:rsid w:val="009E4AAC"/>
    <w:rsid w:val="009E533D"/>
    <w:rsid w:val="009E5493"/>
    <w:rsid w:val="009E549B"/>
    <w:rsid w:val="009E54D6"/>
    <w:rsid w:val="009E564D"/>
    <w:rsid w:val="009E6252"/>
    <w:rsid w:val="009E6346"/>
    <w:rsid w:val="009E6996"/>
    <w:rsid w:val="009E69D6"/>
    <w:rsid w:val="009E6F45"/>
    <w:rsid w:val="009E75AE"/>
    <w:rsid w:val="009E75F1"/>
    <w:rsid w:val="009E765E"/>
    <w:rsid w:val="009E769A"/>
    <w:rsid w:val="009E7967"/>
    <w:rsid w:val="009E7CBC"/>
    <w:rsid w:val="009E7FF6"/>
    <w:rsid w:val="009F01AD"/>
    <w:rsid w:val="009F05A3"/>
    <w:rsid w:val="009F09CD"/>
    <w:rsid w:val="009F0AE0"/>
    <w:rsid w:val="009F104C"/>
    <w:rsid w:val="009F10EB"/>
    <w:rsid w:val="009F14E9"/>
    <w:rsid w:val="009F222E"/>
    <w:rsid w:val="009F2855"/>
    <w:rsid w:val="009F2A02"/>
    <w:rsid w:val="009F2A53"/>
    <w:rsid w:val="009F2D42"/>
    <w:rsid w:val="009F2DE9"/>
    <w:rsid w:val="009F30A7"/>
    <w:rsid w:val="009F31DF"/>
    <w:rsid w:val="009F4586"/>
    <w:rsid w:val="009F46C3"/>
    <w:rsid w:val="009F472D"/>
    <w:rsid w:val="009F515F"/>
    <w:rsid w:val="009F53E4"/>
    <w:rsid w:val="009F5844"/>
    <w:rsid w:val="009F58A2"/>
    <w:rsid w:val="009F5C54"/>
    <w:rsid w:val="009F5C66"/>
    <w:rsid w:val="009F6267"/>
    <w:rsid w:val="009F62CC"/>
    <w:rsid w:val="009F6407"/>
    <w:rsid w:val="009F64AC"/>
    <w:rsid w:val="009F6A19"/>
    <w:rsid w:val="009F6ECA"/>
    <w:rsid w:val="009F7D0E"/>
    <w:rsid w:val="00A0026E"/>
    <w:rsid w:val="00A004B9"/>
    <w:rsid w:val="00A00596"/>
    <w:rsid w:val="00A008E7"/>
    <w:rsid w:val="00A00C5E"/>
    <w:rsid w:val="00A011CD"/>
    <w:rsid w:val="00A015B1"/>
    <w:rsid w:val="00A019C2"/>
    <w:rsid w:val="00A01B64"/>
    <w:rsid w:val="00A01C5E"/>
    <w:rsid w:val="00A01CAC"/>
    <w:rsid w:val="00A020F7"/>
    <w:rsid w:val="00A02294"/>
    <w:rsid w:val="00A0391C"/>
    <w:rsid w:val="00A03F37"/>
    <w:rsid w:val="00A0423B"/>
    <w:rsid w:val="00A0475A"/>
    <w:rsid w:val="00A04DE2"/>
    <w:rsid w:val="00A05054"/>
    <w:rsid w:val="00A0508D"/>
    <w:rsid w:val="00A05A49"/>
    <w:rsid w:val="00A05D2B"/>
    <w:rsid w:val="00A069B3"/>
    <w:rsid w:val="00A073D3"/>
    <w:rsid w:val="00A0754E"/>
    <w:rsid w:val="00A07C41"/>
    <w:rsid w:val="00A07D55"/>
    <w:rsid w:val="00A07DA9"/>
    <w:rsid w:val="00A106F8"/>
    <w:rsid w:val="00A107DB"/>
    <w:rsid w:val="00A10CAA"/>
    <w:rsid w:val="00A11041"/>
    <w:rsid w:val="00A11C16"/>
    <w:rsid w:val="00A11DD1"/>
    <w:rsid w:val="00A12AD5"/>
    <w:rsid w:val="00A13018"/>
    <w:rsid w:val="00A13976"/>
    <w:rsid w:val="00A14091"/>
    <w:rsid w:val="00A1534B"/>
    <w:rsid w:val="00A15AC0"/>
    <w:rsid w:val="00A170E8"/>
    <w:rsid w:val="00A17242"/>
    <w:rsid w:val="00A1725D"/>
    <w:rsid w:val="00A1728A"/>
    <w:rsid w:val="00A175E6"/>
    <w:rsid w:val="00A179FF"/>
    <w:rsid w:val="00A20B02"/>
    <w:rsid w:val="00A20D80"/>
    <w:rsid w:val="00A2126D"/>
    <w:rsid w:val="00A216FD"/>
    <w:rsid w:val="00A21D65"/>
    <w:rsid w:val="00A21F4E"/>
    <w:rsid w:val="00A2278E"/>
    <w:rsid w:val="00A22ABC"/>
    <w:rsid w:val="00A23074"/>
    <w:rsid w:val="00A23792"/>
    <w:rsid w:val="00A23AB0"/>
    <w:rsid w:val="00A23ADA"/>
    <w:rsid w:val="00A23B44"/>
    <w:rsid w:val="00A23CDC"/>
    <w:rsid w:val="00A23D8D"/>
    <w:rsid w:val="00A2512F"/>
    <w:rsid w:val="00A2532B"/>
    <w:rsid w:val="00A253E7"/>
    <w:rsid w:val="00A256E5"/>
    <w:rsid w:val="00A2586B"/>
    <w:rsid w:val="00A25D2C"/>
    <w:rsid w:val="00A25DA6"/>
    <w:rsid w:val="00A2631B"/>
    <w:rsid w:val="00A269E5"/>
    <w:rsid w:val="00A26A05"/>
    <w:rsid w:val="00A26F3A"/>
    <w:rsid w:val="00A2759B"/>
    <w:rsid w:val="00A27868"/>
    <w:rsid w:val="00A27DD1"/>
    <w:rsid w:val="00A30D54"/>
    <w:rsid w:val="00A30EC8"/>
    <w:rsid w:val="00A31022"/>
    <w:rsid w:val="00A317D7"/>
    <w:rsid w:val="00A31D63"/>
    <w:rsid w:val="00A31DEF"/>
    <w:rsid w:val="00A323AD"/>
    <w:rsid w:val="00A32647"/>
    <w:rsid w:val="00A32771"/>
    <w:rsid w:val="00A32DAB"/>
    <w:rsid w:val="00A32E25"/>
    <w:rsid w:val="00A33814"/>
    <w:rsid w:val="00A33D69"/>
    <w:rsid w:val="00A33EC3"/>
    <w:rsid w:val="00A33FBE"/>
    <w:rsid w:val="00A342F2"/>
    <w:rsid w:val="00A3461F"/>
    <w:rsid w:val="00A348A8"/>
    <w:rsid w:val="00A34968"/>
    <w:rsid w:val="00A34D86"/>
    <w:rsid w:val="00A34DE8"/>
    <w:rsid w:val="00A35165"/>
    <w:rsid w:val="00A3564B"/>
    <w:rsid w:val="00A35CC9"/>
    <w:rsid w:val="00A35D71"/>
    <w:rsid w:val="00A36046"/>
    <w:rsid w:val="00A36137"/>
    <w:rsid w:val="00A365CE"/>
    <w:rsid w:val="00A36B2B"/>
    <w:rsid w:val="00A3711B"/>
    <w:rsid w:val="00A37916"/>
    <w:rsid w:val="00A37EA6"/>
    <w:rsid w:val="00A400E2"/>
    <w:rsid w:val="00A4023E"/>
    <w:rsid w:val="00A402C2"/>
    <w:rsid w:val="00A40C45"/>
    <w:rsid w:val="00A41781"/>
    <w:rsid w:val="00A4184C"/>
    <w:rsid w:val="00A41D9D"/>
    <w:rsid w:val="00A42C82"/>
    <w:rsid w:val="00A42CA3"/>
    <w:rsid w:val="00A42EED"/>
    <w:rsid w:val="00A438D5"/>
    <w:rsid w:val="00A44CC1"/>
    <w:rsid w:val="00A44D0E"/>
    <w:rsid w:val="00A45E3D"/>
    <w:rsid w:val="00A45FAC"/>
    <w:rsid w:val="00A460B2"/>
    <w:rsid w:val="00A460D3"/>
    <w:rsid w:val="00A4624C"/>
    <w:rsid w:val="00A46447"/>
    <w:rsid w:val="00A50694"/>
    <w:rsid w:val="00A50723"/>
    <w:rsid w:val="00A5123F"/>
    <w:rsid w:val="00A515F5"/>
    <w:rsid w:val="00A5176F"/>
    <w:rsid w:val="00A52609"/>
    <w:rsid w:val="00A52644"/>
    <w:rsid w:val="00A52A66"/>
    <w:rsid w:val="00A52D87"/>
    <w:rsid w:val="00A52E0B"/>
    <w:rsid w:val="00A531D6"/>
    <w:rsid w:val="00A53AA7"/>
    <w:rsid w:val="00A54213"/>
    <w:rsid w:val="00A5439A"/>
    <w:rsid w:val="00A54514"/>
    <w:rsid w:val="00A54983"/>
    <w:rsid w:val="00A5538F"/>
    <w:rsid w:val="00A558C4"/>
    <w:rsid w:val="00A56524"/>
    <w:rsid w:val="00A565A9"/>
    <w:rsid w:val="00A56607"/>
    <w:rsid w:val="00A5693F"/>
    <w:rsid w:val="00A57296"/>
    <w:rsid w:val="00A57C39"/>
    <w:rsid w:val="00A60257"/>
    <w:rsid w:val="00A60632"/>
    <w:rsid w:val="00A609DD"/>
    <w:rsid w:val="00A60B49"/>
    <w:rsid w:val="00A6149E"/>
    <w:rsid w:val="00A61B04"/>
    <w:rsid w:val="00A62921"/>
    <w:rsid w:val="00A62DC5"/>
    <w:rsid w:val="00A63400"/>
    <w:rsid w:val="00A6340D"/>
    <w:rsid w:val="00A636A9"/>
    <w:rsid w:val="00A641AB"/>
    <w:rsid w:val="00A641F4"/>
    <w:rsid w:val="00A644C1"/>
    <w:rsid w:val="00A6491E"/>
    <w:rsid w:val="00A651D5"/>
    <w:rsid w:val="00A70520"/>
    <w:rsid w:val="00A70AB7"/>
    <w:rsid w:val="00A70B14"/>
    <w:rsid w:val="00A717BC"/>
    <w:rsid w:val="00A71C08"/>
    <w:rsid w:val="00A71CFF"/>
    <w:rsid w:val="00A71DCE"/>
    <w:rsid w:val="00A71F34"/>
    <w:rsid w:val="00A7375B"/>
    <w:rsid w:val="00A73821"/>
    <w:rsid w:val="00A7420E"/>
    <w:rsid w:val="00A743E8"/>
    <w:rsid w:val="00A744F0"/>
    <w:rsid w:val="00A7460C"/>
    <w:rsid w:val="00A748D9"/>
    <w:rsid w:val="00A75341"/>
    <w:rsid w:val="00A75402"/>
    <w:rsid w:val="00A757BD"/>
    <w:rsid w:val="00A75BB1"/>
    <w:rsid w:val="00A7648F"/>
    <w:rsid w:val="00A76F92"/>
    <w:rsid w:val="00A770F0"/>
    <w:rsid w:val="00A774BE"/>
    <w:rsid w:val="00A8038B"/>
    <w:rsid w:val="00A80616"/>
    <w:rsid w:val="00A80917"/>
    <w:rsid w:val="00A80DEE"/>
    <w:rsid w:val="00A812A3"/>
    <w:rsid w:val="00A814AB"/>
    <w:rsid w:val="00A81A58"/>
    <w:rsid w:val="00A82182"/>
    <w:rsid w:val="00A82B2A"/>
    <w:rsid w:val="00A82B3C"/>
    <w:rsid w:val="00A82C32"/>
    <w:rsid w:val="00A833DF"/>
    <w:rsid w:val="00A8371C"/>
    <w:rsid w:val="00A8373A"/>
    <w:rsid w:val="00A8386F"/>
    <w:rsid w:val="00A83C49"/>
    <w:rsid w:val="00A84FFE"/>
    <w:rsid w:val="00A8501B"/>
    <w:rsid w:val="00A850F9"/>
    <w:rsid w:val="00A855C9"/>
    <w:rsid w:val="00A86262"/>
    <w:rsid w:val="00A8640D"/>
    <w:rsid w:val="00A8655F"/>
    <w:rsid w:val="00A867A6"/>
    <w:rsid w:val="00A86853"/>
    <w:rsid w:val="00A869FC"/>
    <w:rsid w:val="00A87135"/>
    <w:rsid w:val="00A87554"/>
    <w:rsid w:val="00A875BB"/>
    <w:rsid w:val="00A90391"/>
    <w:rsid w:val="00A90899"/>
    <w:rsid w:val="00A91B36"/>
    <w:rsid w:val="00A9248C"/>
    <w:rsid w:val="00A92ED5"/>
    <w:rsid w:val="00A9354A"/>
    <w:rsid w:val="00A93808"/>
    <w:rsid w:val="00A9396B"/>
    <w:rsid w:val="00A93D22"/>
    <w:rsid w:val="00A9456D"/>
    <w:rsid w:val="00A9473E"/>
    <w:rsid w:val="00A95021"/>
    <w:rsid w:val="00A95248"/>
    <w:rsid w:val="00A9526A"/>
    <w:rsid w:val="00A95420"/>
    <w:rsid w:val="00A95453"/>
    <w:rsid w:val="00A95F4E"/>
    <w:rsid w:val="00A96417"/>
    <w:rsid w:val="00A97370"/>
    <w:rsid w:val="00A976DA"/>
    <w:rsid w:val="00A97944"/>
    <w:rsid w:val="00A97EA6"/>
    <w:rsid w:val="00AA0994"/>
    <w:rsid w:val="00AA0C03"/>
    <w:rsid w:val="00AA156A"/>
    <w:rsid w:val="00AA1BCA"/>
    <w:rsid w:val="00AA204D"/>
    <w:rsid w:val="00AA255B"/>
    <w:rsid w:val="00AA2996"/>
    <w:rsid w:val="00AA29DF"/>
    <w:rsid w:val="00AA31C7"/>
    <w:rsid w:val="00AA4517"/>
    <w:rsid w:val="00AA46A4"/>
    <w:rsid w:val="00AA48BC"/>
    <w:rsid w:val="00AA48DE"/>
    <w:rsid w:val="00AA4D34"/>
    <w:rsid w:val="00AA55DE"/>
    <w:rsid w:val="00AA581A"/>
    <w:rsid w:val="00AA5841"/>
    <w:rsid w:val="00AA5FBB"/>
    <w:rsid w:val="00AA65D4"/>
    <w:rsid w:val="00AA6BC5"/>
    <w:rsid w:val="00AA6E9F"/>
    <w:rsid w:val="00AA724E"/>
    <w:rsid w:val="00AA742D"/>
    <w:rsid w:val="00AA751B"/>
    <w:rsid w:val="00AA7A65"/>
    <w:rsid w:val="00AB0308"/>
    <w:rsid w:val="00AB07DC"/>
    <w:rsid w:val="00AB08A1"/>
    <w:rsid w:val="00AB0BFC"/>
    <w:rsid w:val="00AB134A"/>
    <w:rsid w:val="00AB1605"/>
    <w:rsid w:val="00AB16A7"/>
    <w:rsid w:val="00AB1A24"/>
    <w:rsid w:val="00AB1F7C"/>
    <w:rsid w:val="00AB21F9"/>
    <w:rsid w:val="00AB25FC"/>
    <w:rsid w:val="00AB278D"/>
    <w:rsid w:val="00AB31EB"/>
    <w:rsid w:val="00AB34B3"/>
    <w:rsid w:val="00AB3C5F"/>
    <w:rsid w:val="00AB44BE"/>
    <w:rsid w:val="00AB4895"/>
    <w:rsid w:val="00AB4964"/>
    <w:rsid w:val="00AB4A8B"/>
    <w:rsid w:val="00AB4EC0"/>
    <w:rsid w:val="00AB50BB"/>
    <w:rsid w:val="00AB531A"/>
    <w:rsid w:val="00AB5326"/>
    <w:rsid w:val="00AB54FC"/>
    <w:rsid w:val="00AB6AD0"/>
    <w:rsid w:val="00AB6CB9"/>
    <w:rsid w:val="00AB6D91"/>
    <w:rsid w:val="00AB6DCD"/>
    <w:rsid w:val="00AB6F12"/>
    <w:rsid w:val="00AB74AD"/>
    <w:rsid w:val="00AB781B"/>
    <w:rsid w:val="00AB7A41"/>
    <w:rsid w:val="00AB7E3F"/>
    <w:rsid w:val="00AC03C5"/>
    <w:rsid w:val="00AC063F"/>
    <w:rsid w:val="00AC0A59"/>
    <w:rsid w:val="00AC1536"/>
    <w:rsid w:val="00AC1802"/>
    <w:rsid w:val="00AC1A3D"/>
    <w:rsid w:val="00AC1B20"/>
    <w:rsid w:val="00AC2D92"/>
    <w:rsid w:val="00AC38E0"/>
    <w:rsid w:val="00AC3ED5"/>
    <w:rsid w:val="00AC42A5"/>
    <w:rsid w:val="00AC4D1E"/>
    <w:rsid w:val="00AC53D6"/>
    <w:rsid w:val="00AC5D07"/>
    <w:rsid w:val="00AC5EDE"/>
    <w:rsid w:val="00AC64BB"/>
    <w:rsid w:val="00AC704F"/>
    <w:rsid w:val="00AC7104"/>
    <w:rsid w:val="00AC71C0"/>
    <w:rsid w:val="00AD0B0A"/>
    <w:rsid w:val="00AD0E8B"/>
    <w:rsid w:val="00AD1389"/>
    <w:rsid w:val="00AD16F6"/>
    <w:rsid w:val="00AD17C5"/>
    <w:rsid w:val="00AD1E18"/>
    <w:rsid w:val="00AD2020"/>
    <w:rsid w:val="00AD2360"/>
    <w:rsid w:val="00AD2494"/>
    <w:rsid w:val="00AD27FE"/>
    <w:rsid w:val="00AD2C1C"/>
    <w:rsid w:val="00AD3310"/>
    <w:rsid w:val="00AD35C7"/>
    <w:rsid w:val="00AD3E09"/>
    <w:rsid w:val="00AD46B1"/>
    <w:rsid w:val="00AD4765"/>
    <w:rsid w:val="00AD47F2"/>
    <w:rsid w:val="00AD4E59"/>
    <w:rsid w:val="00AD5007"/>
    <w:rsid w:val="00AD5C92"/>
    <w:rsid w:val="00AD5CCA"/>
    <w:rsid w:val="00AD6855"/>
    <w:rsid w:val="00AD747B"/>
    <w:rsid w:val="00AE0052"/>
    <w:rsid w:val="00AE0517"/>
    <w:rsid w:val="00AE05EA"/>
    <w:rsid w:val="00AE0A9D"/>
    <w:rsid w:val="00AE0BFB"/>
    <w:rsid w:val="00AE0D40"/>
    <w:rsid w:val="00AE14EA"/>
    <w:rsid w:val="00AE1758"/>
    <w:rsid w:val="00AE2349"/>
    <w:rsid w:val="00AE234F"/>
    <w:rsid w:val="00AE2614"/>
    <w:rsid w:val="00AE2F88"/>
    <w:rsid w:val="00AE3035"/>
    <w:rsid w:val="00AE3401"/>
    <w:rsid w:val="00AE37AE"/>
    <w:rsid w:val="00AE3972"/>
    <w:rsid w:val="00AE3A10"/>
    <w:rsid w:val="00AE3B2F"/>
    <w:rsid w:val="00AE3D90"/>
    <w:rsid w:val="00AE45DE"/>
    <w:rsid w:val="00AE486A"/>
    <w:rsid w:val="00AE487E"/>
    <w:rsid w:val="00AE4AAE"/>
    <w:rsid w:val="00AE5164"/>
    <w:rsid w:val="00AE52B0"/>
    <w:rsid w:val="00AE5505"/>
    <w:rsid w:val="00AE56CD"/>
    <w:rsid w:val="00AE5A59"/>
    <w:rsid w:val="00AE6509"/>
    <w:rsid w:val="00AE657D"/>
    <w:rsid w:val="00AE6686"/>
    <w:rsid w:val="00AE6C4B"/>
    <w:rsid w:val="00AE778B"/>
    <w:rsid w:val="00AE78CC"/>
    <w:rsid w:val="00AE79D6"/>
    <w:rsid w:val="00AF004A"/>
    <w:rsid w:val="00AF044D"/>
    <w:rsid w:val="00AF0A93"/>
    <w:rsid w:val="00AF0E7E"/>
    <w:rsid w:val="00AF1629"/>
    <w:rsid w:val="00AF17ED"/>
    <w:rsid w:val="00AF1900"/>
    <w:rsid w:val="00AF1A38"/>
    <w:rsid w:val="00AF1D3C"/>
    <w:rsid w:val="00AF2227"/>
    <w:rsid w:val="00AF2CE1"/>
    <w:rsid w:val="00AF3391"/>
    <w:rsid w:val="00AF37DF"/>
    <w:rsid w:val="00AF3956"/>
    <w:rsid w:val="00AF3B97"/>
    <w:rsid w:val="00AF3BE7"/>
    <w:rsid w:val="00AF437D"/>
    <w:rsid w:val="00AF4FB3"/>
    <w:rsid w:val="00AF5DC3"/>
    <w:rsid w:val="00AF5E4A"/>
    <w:rsid w:val="00AF5F1E"/>
    <w:rsid w:val="00AF69A9"/>
    <w:rsid w:val="00AF6C4A"/>
    <w:rsid w:val="00AF6F14"/>
    <w:rsid w:val="00AF70AD"/>
    <w:rsid w:val="00AF728E"/>
    <w:rsid w:val="00AF746E"/>
    <w:rsid w:val="00AF7689"/>
    <w:rsid w:val="00AF77B2"/>
    <w:rsid w:val="00AF7FF3"/>
    <w:rsid w:val="00B0049A"/>
    <w:rsid w:val="00B004D1"/>
    <w:rsid w:val="00B0169A"/>
    <w:rsid w:val="00B01CC0"/>
    <w:rsid w:val="00B01D75"/>
    <w:rsid w:val="00B01E8A"/>
    <w:rsid w:val="00B02745"/>
    <w:rsid w:val="00B036BE"/>
    <w:rsid w:val="00B03F51"/>
    <w:rsid w:val="00B044BE"/>
    <w:rsid w:val="00B04926"/>
    <w:rsid w:val="00B05226"/>
    <w:rsid w:val="00B0532C"/>
    <w:rsid w:val="00B060D4"/>
    <w:rsid w:val="00B0624E"/>
    <w:rsid w:val="00B063B9"/>
    <w:rsid w:val="00B063BB"/>
    <w:rsid w:val="00B0665A"/>
    <w:rsid w:val="00B069B7"/>
    <w:rsid w:val="00B0708F"/>
    <w:rsid w:val="00B070FB"/>
    <w:rsid w:val="00B07219"/>
    <w:rsid w:val="00B07DB3"/>
    <w:rsid w:val="00B07E9F"/>
    <w:rsid w:val="00B07FF9"/>
    <w:rsid w:val="00B10259"/>
    <w:rsid w:val="00B10CB3"/>
    <w:rsid w:val="00B10DB6"/>
    <w:rsid w:val="00B119C6"/>
    <w:rsid w:val="00B11AA1"/>
    <w:rsid w:val="00B11ACC"/>
    <w:rsid w:val="00B11E8A"/>
    <w:rsid w:val="00B11F14"/>
    <w:rsid w:val="00B1210E"/>
    <w:rsid w:val="00B121E5"/>
    <w:rsid w:val="00B126C4"/>
    <w:rsid w:val="00B12A56"/>
    <w:rsid w:val="00B12D67"/>
    <w:rsid w:val="00B12EE2"/>
    <w:rsid w:val="00B13BD0"/>
    <w:rsid w:val="00B1408F"/>
    <w:rsid w:val="00B14600"/>
    <w:rsid w:val="00B1479A"/>
    <w:rsid w:val="00B1488D"/>
    <w:rsid w:val="00B1650A"/>
    <w:rsid w:val="00B167A3"/>
    <w:rsid w:val="00B1693D"/>
    <w:rsid w:val="00B16AC4"/>
    <w:rsid w:val="00B16D5B"/>
    <w:rsid w:val="00B1752F"/>
    <w:rsid w:val="00B1756C"/>
    <w:rsid w:val="00B17728"/>
    <w:rsid w:val="00B17879"/>
    <w:rsid w:val="00B17927"/>
    <w:rsid w:val="00B17ADE"/>
    <w:rsid w:val="00B17F08"/>
    <w:rsid w:val="00B21348"/>
    <w:rsid w:val="00B21771"/>
    <w:rsid w:val="00B218D6"/>
    <w:rsid w:val="00B21EC6"/>
    <w:rsid w:val="00B2234B"/>
    <w:rsid w:val="00B22543"/>
    <w:rsid w:val="00B22554"/>
    <w:rsid w:val="00B22946"/>
    <w:rsid w:val="00B22A37"/>
    <w:rsid w:val="00B22B4F"/>
    <w:rsid w:val="00B22B6B"/>
    <w:rsid w:val="00B22E98"/>
    <w:rsid w:val="00B22F03"/>
    <w:rsid w:val="00B23673"/>
    <w:rsid w:val="00B23993"/>
    <w:rsid w:val="00B23AA6"/>
    <w:rsid w:val="00B23BC3"/>
    <w:rsid w:val="00B23F76"/>
    <w:rsid w:val="00B24058"/>
    <w:rsid w:val="00B24081"/>
    <w:rsid w:val="00B24711"/>
    <w:rsid w:val="00B24BD0"/>
    <w:rsid w:val="00B24DA3"/>
    <w:rsid w:val="00B25182"/>
    <w:rsid w:val="00B2569B"/>
    <w:rsid w:val="00B25CA2"/>
    <w:rsid w:val="00B26078"/>
    <w:rsid w:val="00B2695E"/>
    <w:rsid w:val="00B27078"/>
    <w:rsid w:val="00B27256"/>
    <w:rsid w:val="00B2756D"/>
    <w:rsid w:val="00B276EA"/>
    <w:rsid w:val="00B2799D"/>
    <w:rsid w:val="00B27DC8"/>
    <w:rsid w:val="00B3024C"/>
    <w:rsid w:val="00B3041B"/>
    <w:rsid w:val="00B30420"/>
    <w:rsid w:val="00B30464"/>
    <w:rsid w:val="00B30981"/>
    <w:rsid w:val="00B30A89"/>
    <w:rsid w:val="00B30E19"/>
    <w:rsid w:val="00B31170"/>
    <w:rsid w:val="00B31440"/>
    <w:rsid w:val="00B31659"/>
    <w:rsid w:val="00B3180F"/>
    <w:rsid w:val="00B3189C"/>
    <w:rsid w:val="00B31958"/>
    <w:rsid w:val="00B31AC2"/>
    <w:rsid w:val="00B32B7F"/>
    <w:rsid w:val="00B32C58"/>
    <w:rsid w:val="00B32F7A"/>
    <w:rsid w:val="00B341DB"/>
    <w:rsid w:val="00B3466D"/>
    <w:rsid w:val="00B34C35"/>
    <w:rsid w:val="00B34D01"/>
    <w:rsid w:val="00B35044"/>
    <w:rsid w:val="00B3506A"/>
    <w:rsid w:val="00B3600F"/>
    <w:rsid w:val="00B362A7"/>
    <w:rsid w:val="00B36A01"/>
    <w:rsid w:val="00B36A3C"/>
    <w:rsid w:val="00B36D91"/>
    <w:rsid w:val="00B37DFC"/>
    <w:rsid w:val="00B40BAC"/>
    <w:rsid w:val="00B40E28"/>
    <w:rsid w:val="00B41E34"/>
    <w:rsid w:val="00B422C4"/>
    <w:rsid w:val="00B42350"/>
    <w:rsid w:val="00B42B3D"/>
    <w:rsid w:val="00B42C27"/>
    <w:rsid w:val="00B42F38"/>
    <w:rsid w:val="00B432D5"/>
    <w:rsid w:val="00B43699"/>
    <w:rsid w:val="00B43B6A"/>
    <w:rsid w:val="00B4425D"/>
    <w:rsid w:val="00B45093"/>
    <w:rsid w:val="00B4529D"/>
    <w:rsid w:val="00B45506"/>
    <w:rsid w:val="00B4567E"/>
    <w:rsid w:val="00B4590C"/>
    <w:rsid w:val="00B45B1C"/>
    <w:rsid w:val="00B45B84"/>
    <w:rsid w:val="00B45D49"/>
    <w:rsid w:val="00B460EF"/>
    <w:rsid w:val="00B469ED"/>
    <w:rsid w:val="00B47078"/>
    <w:rsid w:val="00B47144"/>
    <w:rsid w:val="00B4769A"/>
    <w:rsid w:val="00B47BEA"/>
    <w:rsid w:val="00B5010E"/>
    <w:rsid w:val="00B5097F"/>
    <w:rsid w:val="00B50C8B"/>
    <w:rsid w:val="00B50DAA"/>
    <w:rsid w:val="00B50E2E"/>
    <w:rsid w:val="00B50F0C"/>
    <w:rsid w:val="00B51DD2"/>
    <w:rsid w:val="00B51E15"/>
    <w:rsid w:val="00B524BF"/>
    <w:rsid w:val="00B532FF"/>
    <w:rsid w:val="00B53783"/>
    <w:rsid w:val="00B53A6B"/>
    <w:rsid w:val="00B54409"/>
    <w:rsid w:val="00B54E1D"/>
    <w:rsid w:val="00B5535E"/>
    <w:rsid w:val="00B5543C"/>
    <w:rsid w:val="00B557B6"/>
    <w:rsid w:val="00B55850"/>
    <w:rsid w:val="00B55F2B"/>
    <w:rsid w:val="00B56458"/>
    <w:rsid w:val="00B5683D"/>
    <w:rsid w:val="00B56A6C"/>
    <w:rsid w:val="00B572A8"/>
    <w:rsid w:val="00B605D3"/>
    <w:rsid w:val="00B609FA"/>
    <w:rsid w:val="00B60A00"/>
    <w:rsid w:val="00B611C2"/>
    <w:rsid w:val="00B61468"/>
    <w:rsid w:val="00B61BE9"/>
    <w:rsid w:val="00B61C49"/>
    <w:rsid w:val="00B625C1"/>
    <w:rsid w:val="00B62610"/>
    <w:rsid w:val="00B62C75"/>
    <w:rsid w:val="00B634D3"/>
    <w:rsid w:val="00B6374F"/>
    <w:rsid w:val="00B6385F"/>
    <w:rsid w:val="00B638D7"/>
    <w:rsid w:val="00B63942"/>
    <w:rsid w:val="00B6403E"/>
    <w:rsid w:val="00B64861"/>
    <w:rsid w:val="00B64C5A"/>
    <w:rsid w:val="00B64D24"/>
    <w:rsid w:val="00B64D7F"/>
    <w:rsid w:val="00B64E81"/>
    <w:rsid w:val="00B64F17"/>
    <w:rsid w:val="00B653DE"/>
    <w:rsid w:val="00B653F0"/>
    <w:rsid w:val="00B65444"/>
    <w:rsid w:val="00B65978"/>
    <w:rsid w:val="00B65C60"/>
    <w:rsid w:val="00B660D7"/>
    <w:rsid w:val="00B668BE"/>
    <w:rsid w:val="00B66A0B"/>
    <w:rsid w:val="00B67711"/>
    <w:rsid w:val="00B677F4"/>
    <w:rsid w:val="00B67BDB"/>
    <w:rsid w:val="00B67E44"/>
    <w:rsid w:val="00B702B1"/>
    <w:rsid w:val="00B702DD"/>
    <w:rsid w:val="00B708DE"/>
    <w:rsid w:val="00B708ED"/>
    <w:rsid w:val="00B709B9"/>
    <w:rsid w:val="00B70B76"/>
    <w:rsid w:val="00B70CBB"/>
    <w:rsid w:val="00B71411"/>
    <w:rsid w:val="00B714FB"/>
    <w:rsid w:val="00B71515"/>
    <w:rsid w:val="00B715F6"/>
    <w:rsid w:val="00B71F5A"/>
    <w:rsid w:val="00B72067"/>
    <w:rsid w:val="00B72249"/>
    <w:rsid w:val="00B725CD"/>
    <w:rsid w:val="00B7288B"/>
    <w:rsid w:val="00B72A94"/>
    <w:rsid w:val="00B72C47"/>
    <w:rsid w:val="00B72FF7"/>
    <w:rsid w:val="00B73445"/>
    <w:rsid w:val="00B73C85"/>
    <w:rsid w:val="00B74555"/>
    <w:rsid w:val="00B74994"/>
    <w:rsid w:val="00B74B03"/>
    <w:rsid w:val="00B74CDA"/>
    <w:rsid w:val="00B74D7B"/>
    <w:rsid w:val="00B755F4"/>
    <w:rsid w:val="00B763BC"/>
    <w:rsid w:val="00B76417"/>
    <w:rsid w:val="00B765C4"/>
    <w:rsid w:val="00B76B1C"/>
    <w:rsid w:val="00B76C5D"/>
    <w:rsid w:val="00B77354"/>
    <w:rsid w:val="00B77A83"/>
    <w:rsid w:val="00B77BA6"/>
    <w:rsid w:val="00B77D45"/>
    <w:rsid w:val="00B77F7D"/>
    <w:rsid w:val="00B802C2"/>
    <w:rsid w:val="00B803D0"/>
    <w:rsid w:val="00B8047F"/>
    <w:rsid w:val="00B80697"/>
    <w:rsid w:val="00B80A04"/>
    <w:rsid w:val="00B80D66"/>
    <w:rsid w:val="00B8131E"/>
    <w:rsid w:val="00B814E8"/>
    <w:rsid w:val="00B818A6"/>
    <w:rsid w:val="00B81E75"/>
    <w:rsid w:val="00B82682"/>
    <w:rsid w:val="00B82DB3"/>
    <w:rsid w:val="00B82F51"/>
    <w:rsid w:val="00B8301A"/>
    <w:rsid w:val="00B830DA"/>
    <w:rsid w:val="00B83195"/>
    <w:rsid w:val="00B84977"/>
    <w:rsid w:val="00B84BA1"/>
    <w:rsid w:val="00B84BA5"/>
    <w:rsid w:val="00B84FCA"/>
    <w:rsid w:val="00B8511D"/>
    <w:rsid w:val="00B85135"/>
    <w:rsid w:val="00B85AFF"/>
    <w:rsid w:val="00B85FC8"/>
    <w:rsid w:val="00B86C5E"/>
    <w:rsid w:val="00B86EE0"/>
    <w:rsid w:val="00B870A1"/>
    <w:rsid w:val="00B8711E"/>
    <w:rsid w:val="00B87160"/>
    <w:rsid w:val="00B8755D"/>
    <w:rsid w:val="00B87990"/>
    <w:rsid w:val="00B87A1B"/>
    <w:rsid w:val="00B90914"/>
    <w:rsid w:val="00B910D7"/>
    <w:rsid w:val="00B91507"/>
    <w:rsid w:val="00B92001"/>
    <w:rsid w:val="00B9357D"/>
    <w:rsid w:val="00B93740"/>
    <w:rsid w:val="00B937CA"/>
    <w:rsid w:val="00B93B38"/>
    <w:rsid w:val="00B93EF4"/>
    <w:rsid w:val="00B95258"/>
    <w:rsid w:val="00B958B5"/>
    <w:rsid w:val="00B9606E"/>
    <w:rsid w:val="00B962B0"/>
    <w:rsid w:val="00B962D7"/>
    <w:rsid w:val="00B96366"/>
    <w:rsid w:val="00B9666A"/>
    <w:rsid w:val="00B9687F"/>
    <w:rsid w:val="00B96AE4"/>
    <w:rsid w:val="00B96BF2"/>
    <w:rsid w:val="00B96C90"/>
    <w:rsid w:val="00B976D8"/>
    <w:rsid w:val="00B97B4D"/>
    <w:rsid w:val="00B97C25"/>
    <w:rsid w:val="00BA010E"/>
    <w:rsid w:val="00BA1097"/>
    <w:rsid w:val="00BA1A56"/>
    <w:rsid w:val="00BA1CEA"/>
    <w:rsid w:val="00BA20C6"/>
    <w:rsid w:val="00BA23B4"/>
    <w:rsid w:val="00BA264B"/>
    <w:rsid w:val="00BA26EB"/>
    <w:rsid w:val="00BA280B"/>
    <w:rsid w:val="00BA2A56"/>
    <w:rsid w:val="00BA39DB"/>
    <w:rsid w:val="00BA3A46"/>
    <w:rsid w:val="00BA3AB9"/>
    <w:rsid w:val="00BA3D05"/>
    <w:rsid w:val="00BA3D1E"/>
    <w:rsid w:val="00BA420A"/>
    <w:rsid w:val="00BA433D"/>
    <w:rsid w:val="00BA4442"/>
    <w:rsid w:val="00BA4C57"/>
    <w:rsid w:val="00BA611F"/>
    <w:rsid w:val="00BA6F04"/>
    <w:rsid w:val="00BA7B8A"/>
    <w:rsid w:val="00BB075F"/>
    <w:rsid w:val="00BB1642"/>
    <w:rsid w:val="00BB207F"/>
    <w:rsid w:val="00BB288D"/>
    <w:rsid w:val="00BB30C1"/>
    <w:rsid w:val="00BB3251"/>
    <w:rsid w:val="00BB335D"/>
    <w:rsid w:val="00BB3502"/>
    <w:rsid w:val="00BB3A01"/>
    <w:rsid w:val="00BB3BE3"/>
    <w:rsid w:val="00BB3C55"/>
    <w:rsid w:val="00BB3F1C"/>
    <w:rsid w:val="00BB438C"/>
    <w:rsid w:val="00BB4581"/>
    <w:rsid w:val="00BB4B41"/>
    <w:rsid w:val="00BB4D23"/>
    <w:rsid w:val="00BB50A0"/>
    <w:rsid w:val="00BB51D8"/>
    <w:rsid w:val="00BB5323"/>
    <w:rsid w:val="00BB5B10"/>
    <w:rsid w:val="00BB5F3A"/>
    <w:rsid w:val="00BB62BD"/>
    <w:rsid w:val="00BB7076"/>
    <w:rsid w:val="00BB7313"/>
    <w:rsid w:val="00BB76F4"/>
    <w:rsid w:val="00BB7AC3"/>
    <w:rsid w:val="00BB7B4B"/>
    <w:rsid w:val="00BB7DD8"/>
    <w:rsid w:val="00BC02A0"/>
    <w:rsid w:val="00BC0954"/>
    <w:rsid w:val="00BC1704"/>
    <w:rsid w:val="00BC2415"/>
    <w:rsid w:val="00BC2527"/>
    <w:rsid w:val="00BC265F"/>
    <w:rsid w:val="00BC26CA"/>
    <w:rsid w:val="00BC2D3E"/>
    <w:rsid w:val="00BC32E5"/>
    <w:rsid w:val="00BC33A7"/>
    <w:rsid w:val="00BC3456"/>
    <w:rsid w:val="00BC35CD"/>
    <w:rsid w:val="00BC389E"/>
    <w:rsid w:val="00BC3B17"/>
    <w:rsid w:val="00BC4081"/>
    <w:rsid w:val="00BC42AF"/>
    <w:rsid w:val="00BC4635"/>
    <w:rsid w:val="00BC4640"/>
    <w:rsid w:val="00BC492A"/>
    <w:rsid w:val="00BC52D8"/>
    <w:rsid w:val="00BC6326"/>
    <w:rsid w:val="00BC6988"/>
    <w:rsid w:val="00BC6AFA"/>
    <w:rsid w:val="00BC6FA2"/>
    <w:rsid w:val="00BC706D"/>
    <w:rsid w:val="00BC71C6"/>
    <w:rsid w:val="00BC7308"/>
    <w:rsid w:val="00BC7D33"/>
    <w:rsid w:val="00BC7DDB"/>
    <w:rsid w:val="00BD00EF"/>
    <w:rsid w:val="00BD01B3"/>
    <w:rsid w:val="00BD01EF"/>
    <w:rsid w:val="00BD02C4"/>
    <w:rsid w:val="00BD0853"/>
    <w:rsid w:val="00BD0A7C"/>
    <w:rsid w:val="00BD0E9F"/>
    <w:rsid w:val="00BD11C5"/>
    <w:rsid w:val="00BD11FA"/>
    <w:rsid w:val="00BD18E8"/>
    <w:rsid w:val="00BD221E"/>
    <w:rsid w:val="00BD2508"/>
    <w:rsid w:val="00BD2BE4"/>
    <w:rsid w:val="00BD2FFC"/>
    <w:rsid w:val="00BD3053"/>
    <w:rsid w:val="00BD31E4"/>
    <w:rsid w:val="00BD426A"/>
    <w:rsid w:val="00BD45C9"/>
    <w:rsid w:val="00BD46B5"/>
    <w:rsid w:val="00BD4CDE"/>
    <w:rsid w:val="00BD510D"/>
    <w:rsid w:val="00BD5C3B"/>
    <w:rsid w:val="00BD5FAB"/>
    <w:rsid w:val="00BD5FAC"/>
    <w:rsid w:val="00BD6D8D"/>
    <w:rsid w:val="00BD708B"/>
    <w:rsid w:val="00BD7304"/>
    <w:rsid w:val="00BD747C"/>
    <w:rsid w:val="00BE1056"/>
    <w:rsid w:val="00BE106E"/>
    <w:rsid w:val="00BE1420"/>
    <w:rsid w:val="00BE1507"/>
    <w:rsid w:val="00BE1D5F"/>
    <w:rsid w:val="00BE1EE4"/>
    <w:rsid w:val="00BE231F"/>
    <w:rsid w:val="00BE29C3"/>
    <w:rsid w:val="00BE2B0F"/>
    <w:rsid w:val="00BE2C58"/>
    <w:rsid w:val="00BE365F"/>
    <w:rsid w:val="00BE3BE5"/>
    <w:rsid w:val="00BE3D93"/>
    <w:rsid w:val="00BE4294"/>
    <w:rsid w:val="00BE459A"/>
    <w:rsid w:val="00BE45AA"/>
    <w:rsid w:val="00BE4722"/>
    <w:rsid w:val="00BE47C0"/>
    <w:rsid w:val="00BE4CFF"/>
    <w:rsid w:val="00BE4E8A"/>
    <w:rsid w:val="00BE527C"/>
    <w:rsid w:val="00BE5499"/>
    <w:rsid w:val="00BE55C7"/>
    <w:rsid w:val="00BE595B"/>
    <w:rsid w:val="00BE708B"/>
    <w:rsid w:val="00BE72E7"/>
    <w:rsid w:val="00BE79E5"/>
    <w:rsid w:val="00BE7F77"/>
    <w:rsid w:val="00BF1227"/>
    <w:rsid w:val="00BF129C"/>
    <w:rsid w:val="00BF145F"/>
    <w:rsid w:val="00BF1461"/>
    <w:rsid w:val="00BF1E55"/>
    <w:rsid w:val="00BF2002"/>
    <w:rsid w:val="00BF23D9"/>
    <w:rsid w:val="00BF2869"/>
    <w:rsid w:val="00BF39D1"/>
    <w:rsid w:val="00BF3E28"/>
    <w:rsid w:val="00BF3FEB"/>
    <w:rsid w:val="00BF42DB"/>
    <w:rsid w:val="00BF4EFF"/>
    <w:rsid w:val="00BF511A"/>
    <w:rsid w:val="00BF5809"/>
    <w:rsid w:val="00BF5CBE"/>
    <w:rsid w:val="00BF5D35"/>
    <w:rsid w:val="00BF5E13"/>
    <w:rsid w:val="00BF5EB1"/>
    <w:rsid w:val="00BF6139"/>
    <w:rsid w:val="00BF6E10"/>
    <w:rsid w:val="00BF6E3D"/>
    <w:rsid w:val="00BF6ED3"/>
    <w:rsid w:val="00BF76F8"/>
    <w:rsid w:val="00BF77BD"/>
    <w:rsid w:val="00BF7FDB"/>
    <w:rsid w:val="00C00588"/>
    <w:rsid w:val="00C00B71"/>
    <w:rsid w:val="00C00B85"/>
    <w:rsid w:val="00C0111B"/>
    <w:rsid w:val="00C012EC"/>
    <w:rsid w:val="00C01484"/>
    <w:rsid w:val="00C017EF"/>
    <w:rsid w:val="00C018BF"/>
    <w:rsid w:val="00C01BC2"/>
    <w:rsid w:val="00C02D61"/>
    <w:rsid w:val="00C030FB"/>
    <w:rsid w:val="00C037BC"/>
    <w:rsid w:val="00C03C26"/>
    <w:rsid w:val="00C03C73"/>
    <w:rsid w:val="00C03D59"/>
    <w:rsid w:val="00C03F8D"/>
    <w:rsid w:val="00C03FF2"/>
    <w:rsid w:val="00C0448F"/>
    <w:rsid w:val="00C04BB8"/>
    <w:rsid w:val="00C04FEB"/>
    <w:rsid w:val="00C0506E"/>
    <w:rsid w:val="00C05080"/>
    <w:rsid w:val="00C051CE"/>
    <w:rsid w:val="00C05570"/>
    <w:rsid w:val="00C05595"/>
    <w:rsid w:val="00C0634F"/>
    <w:rsid w:val="00C06CB3"/>
    <w:rsid w:val="00C071C3"/>
    <w:rsid w:val="00C0723C"/>
    <w:rsid w:val="00C07312"/>
    <w:rsid w:val="00C07AAE"/>
    <w:rsid w:val="00C07F54"/>
    <w:rsid w:val="00C10205"/>
    <w:rsid w:val="00C105EF"/>
    <w:rsid w:val="00C11158"/>
    <w:rsid w:val="00C11E53"/>
    <w:rsid w:val="00C122BE"/>
    <w:rsid w:val="00C124F3"/>
    <w:rsid w:val="00C12A62"/>
    <w:rsid w:val="00C12BE0"/>
    <w:rsid w:val="00C1316B"/>
    <w:rsid w:val="00C13731"/>
    <w:rsid w:val="00C140AD"/>
    <w:rsid w:val="00C14383"/>
    <w:rsid w:val="00C14613"/>
    <w:rsid w:val="00C14BEF"/>
    <w:rsid w:val="00C150ED"/>
    <w:rsid w:val="00C15299"/>
    <w:rsid w:val="00C153FE"/>
    <w:rsid w:val="00C15489"/>
    <w:rsid w:val="00C15893"/>
    <w:rsid w:val="00C15933"/>
    <w:rsid w:val="00C15E98"/>
    <w:rsid w:val="00C169E5"/>
    <w:rsid w:val="00C16CF5"/>
    <w:rsid w:val="00C17392"/>
    <w:rsid w:val="00C17618"/>
    <w:rsid w:val="00C17C11"/>
    <w:rsid w:val="00C204B0"/>
    <w:rsid w:val="00C20625"/>
    <w:rsid w:val="00C20741"/>
    <w:rsid w:val="00C21BDC"/>
    <w:rsid w:val="00C222CB"/>
    <w:rsid w:val="00C22D2A"/>
    <w:rsid w:val="00C22D64"/>
    <w:rsid w:val="00C233C3"/>
    <w:rsid w:val="00C23A3B"/>
    <w:rsid w:val="00C23E81"/>
    <w:rsid w:val="00C23FDE"/>
    <w:rsid w:val="00C2404C"/>
    <w:rsid w:val="00C245D4"/>
    <w:rsid w:val="00C24755"/>
    <w:rsid w:val="00C24C58"/>
    <w:rsid w:val="00C24F56"/>
    <w:rsid w:val="00C25A0A"/>
    <w:rsid w:val="00C25BD5"/>
    <w:rsid w:val="00C2609B"/>
    <w:rsid w:val="00C2671B"/>
    <w:rsid w:val="00C269A9"/>
    <w:rsid w:val="00C26D68"/>
    <w:rsid w:val="00C278CD"/>
    <w:rsid w:val="00C27CA1"/>
    <w:rsid w:val="00C3016C"/>
    <w:rsid w:val="00C30218"/>
    <w:rsid w:val="00C3046D"/>
    <w:rsid w:val="00C309A9"/>
    <w:rsid w:val="00C30C25"/>
    <w:rsid w:val="00C30DC2"/>
    <w:rsid w:val="00C31038"/>
    <w:rsid w:val="00C31257"/>
    <w:rsid w:val="00C312A8"/>
    <w:rsid w:val="00C328D4"/>
    <w:rsid w:val="00C32DCF"/>
    <w:rsid w:val="00C33217"/>
    <w:rsid w:val="00C3392C"/>
    <w:rsid w:val="00C33985"/>
    <w:rsid w:val="00C33BF6"/>
    <w:rsid w:val="00C33D79"/>
    <w:rsid w:val="00C33E8A"/>
    <w:rsid w:val="00C34264"/>
    <w:rsid w:val="00C346AA"/>
    <w:rsid w:val="00C34B56"/>
    <w:rsid w:val="00C353FD"/>
    <w:rsid w:val="00C3550D"/>
    <w:rsid w:val="00C355EA"/>
    <w:rsid w:val="00C3604B"/>
    <w:rsid w:val="00C361B9"/>
    <w:rsid w:val="00C363FD"/>
    <w:rsid w:val="00C3660F"/>
    <w:rsid w:val="00C36662"/>
    <w:rsid w:val="00C36858"/>
    <w:rsid w:val="00C36B24"/>
    <w:rsid w:val="00C37032"/>
    <w:rsid w:val="00C372EB"/>
    <w:rsid w:val="00C37979"/>
    <w:rsid w:val="00C37AA8"/>
    <w:rsid w:val="00C37CA8"/>
    <w:rsid w:val="00C37CAE"/>
    <w:rsid w:val="00C40A0C"/>
    <w:rsid w:val="00C40B77"/>
    <w:rsid w:val="00C41B21"/>
    <w:rsid w:val="00C41C21"/>
    <w:rsid w:val="00C4243D"/>
    <w:rsid w:val="00C42538"/>
    <w:rsid w:val="00C427A9"/>
    <w:rsid w:val="00C427F3"/>
    <w:rsid w:val="00C42D89"/>
    <w:rsid w:val="00C42E32"/>
    <w:rsid w:val="00C42E4B"/>
    <w:rsid w:val="00C43022"/>
    <w:rsid w:val="00C434CB"/>
    <w:rsid w:val="00C435E4"/>
    <w:rsid w:val="00C44138"/>
    <w:rsid w:val="00C447F2"/>
    <w:rsid w:val="00C44C5D"/>
    <w:rsid w:val="00C44D97"/>
    <w:rsid w:val="00C44FAC"/>
    <w:rsid w:val="00C4523D"/>
    <w:rsid w:val="00C45ABE"/>
    <w:rsid w:val="00C46309"/>
    <w:rsid w:val="00C46B23"/>
    <w:rsid w:val="00C46B75"/>
    <w:rsid w:val="00C46ECA"/>
    <w:rsid w:val="00C50130"/>
    <w:rsid w:val="00C5018D"/>
    <w:rsid w:val="00C503E6"/>
    <w:rsid w:val="00C50838"/>
    <w:rsid w:val="00C512FE"/>
    <w:rsid w:val="00C51425"/>
    <w:rsid w:val="00C52484"/>
    <w:rsid w:val="00C52594"/>
    <w:rsid w:val="00C52EB4"/>
    <w:rsid w:val="00C531F4"/>
    <w:rsid w:val="00C5323E"/>
    <w:rsid w:val="00C53462"/>
    <w:rsid w:val="00C5348C"/>
    <w:rsid w:val="00C53568"/>
    <w:rsid w:val="00C54022"/>
    <w:rsid w:val="00C548A9"/>
    <w:rsid w:val="00C54AE6"/>
    <w:rsid w:val="00C54BC2"/>
    <w:rsid w:val="00C55832"/>
    <w:rsid w:val="00C55859"/>
    <w:rsid w:val="00C559FB"/>
    <w:rsid w:val="00C55C21"/>
    <w:rsid w:val="00C55EF9"/>
    <w:rsid w:val="00C56356"/>
    <w:rsid w:val="00C563EE"/>
    <w:rsid w:val="00C56895"/>
    <w:rsid w:val="00C568C6"/>
    <w:rsid w:val="00C56B11"/>
    <w:rsid w:val="00C5761F"/>
    <w:rsid w:val="00C578D6"/>
    <w:rsid w:val="00C579FD"/>
    <w:rsid w:val="00C600FA"/>
    <w:rsid w:val="00C60A42"/>
    <w:rsid w:val="00C60EE5"/>
    <w:rsid w:val="00C6218B"/>
    <w:rsid w:val="00C621BC"/>
    <w:rsid w:val="00C627F5"/>
    <w:rsid w:val="00C62C76"/>
    <w:rsid w:val="00C6305E"/>
    <w:rsid w:val="00C632E1"/>
    <w:rsid w:val="00C637A9"/>
    <w:rsid w:val="00C637AF"/>
    <w:rsid w:val="00C63910"/>
    <w:rsid w:val="00C63968"/>
    <w:rsid w:val="00C64147"/>
    <w:rsid w:val="00C64188"/>
    <w:rsid w:val="00C65311"/>
    <w:rsid w:val="00C65521"/>
    <w:rsid w:val="00C65574"/>
    <w:rsid w:val="00C65792"/>
    <w:rsid w:val="00C66861"/>
    <w:rsid w:val="00C66FF6"/>
    <w:rsid w:val="00C67BE6"/>
    <w:rsid w:val="00C67F46"/>
    <w:rsid w:val="00C7078D"/>
    <w:rsid w:val="00C70AD5"/>
    <w:rsid w:val="00C70BAD"/>
    <w:rsid w:val="00C70D4C"/>
    <w:rsid w:val="00C710B3"/>
    <w:rsid w:val="00C7118E"/>
    <w:rsid w:val="00C7155C"/>
    <w:rsid w:val="00C715E9"/>
    <w:rsid w:val="00C71D8D"/>
    <w:rsid w:val="00C723FA"/>
    <w:rsid w:val="00C72874"/>
    <w:rsid w:val="00C72DF8"/>
    <w:rsid w:val="00C731AD"/>
    <w:rsid w:val="00C736AC"/>
    <w:rsid w:val="00C73FF5"/>
    <w:rsid w:val="00C74376"/>
    <w:rsid w:val="00C74507"/>
    <w:rsid w:val="00C746D2"/>
    <w:rsid w:val="00C75422"/>
    <w:rsid w:val="00C75495"/>
    <w:rsid w:val="00C7628B"/>
    <w:rsid w:val="00C7697E"/>
    <w:rsid w:val="00C769B0"/>
    <w:rsid w:val="00C7739E"/>
    <w:rsid w:val="00C7765F"/>
    <w:rsid w:val="00C776BC"/>
    <w:rsid w:val="00C777E8"/>
    <w:rsid w:val="00C777F4"/>
    <w:rsid w:val="00C77A08"/>
    <w:rsid w:val="00C77B3F"/>
    <w:rsid w:val="00C77B79"/>
    <w:rsid w:val="00C77C00"/>
    <w:rsid w:val="00C77F33"/>
    <w:rsid w:val="00C80142"/>
    <w:rsid w:val="00C80196"/>
    <w:rsid w:val="00C8024F"/>
    <w:rsid w:val="00C80613"/>
    <w:rsid w:val="00C806D8"/>
    <w:rsid w:val="00C80B34"/>
    <w:rsid w:val="00C8118F"/>
    <w:rsid w:val="00C81440"/>
    <w:rsid w:val="00C81DB5"/>
    <w:rsid w:val="00C81F81"/>
    <w:rsid w:val="00C81FB3"/>
    <w:rsid w:val="00C82885"/>
    <w:rsid w:val="00C82D1B"/>
    <w:rsid w:val="00C82FF3"/>
    <w:rsid w:val="00C83C62"/>
    <w:rsid w:val="00C83C71"/>
    <w:rsid w:val="00C8410A"/>
    <w:rsid w:val="00C84941"/>
    <w:rsid w:val="00C851CF"/>
    <w:rsid w:val="00C85EB8"/>
    <w:rsid w:val="00C86577"/>
    <w:rsid w:val="00C86623"/>
    <w:rsid w:val="00C8688B"/>
    <w:rsid w:val="00C86B2D"/>
    <w:rsid w:val="00C86BA2"/>
    <w:rsid w:val="00C871EE"/>
    <w:rsid w:val="00C87525"/>
    <w:rsid w:val="00C87F6E"/>
    <w:rsid w:val="00C90C97"/>
    <w:rsid w:val="00C91311"/>
    <w:rsid w:val="00C91D82"/>
    <w:rsid w:val="00C920DA"/>
    <w:rsid w:val="00C92B2B"/>
    <w:rsid w:val="00C933C2"/>
    <w:rsid w:val="00C9365E"/>
    <w:rsid w:val="00C93895"/>
    <w:rsid w:val="00C93916"/>
    <w:rsid w:val="00C93F7C"/>
    <w:rsid w:val="00C94853"/>
    <w:rsid w:val="00C94C8F"/>
    <w:rsid w:val="00C94CA7"/>
    <w:rsid w:val="00C95263"/>
    <w:rsid w:val="00C955F3"/>
    <w:rsid w:val="00C969D6"/>
    <w:rsid w:val="00C96B4C"/>
    <w:rsid w:val="00C97268"/>
    <w:rsid w:val="00C974FF"/>
    <w:rsid w:val="00C97606"/>
    <w:rsid w:val="00C97CD2"/>
    <w:rsid w:val="00C97F4F"/>
    <w:rsid w:val="00CA0D73"/>
    <w:rsid w:val="00CA10CF"/>
    <w:rsid w:val="00CA1850"/>
    <w:rsid w:val="00CA1AEA"/>
    <w:rsid w:val="00CA1F7A"/>
    <w:rsid w:val="00CA21B6"/>
    <w:rsid w:val="00CA23B6"/>
    <w:rsid w:val="00CA28DF"/>
    <w:rsid w:val="00CA2CCA"/>
    <w:rsid w:val="00CA3415"/>
    <w:rsid w:val="00CA3F98"/>
    <w:rsid w:val="00CA45BD"/>
    <w:rsid w:val="00CA45E4"/>
    <w:rsid w:val="00CA4EE4"/>
    <w:rsid w:val="00CA500E"/>
    <w:rsid w:val="00CA54AA"/>
    <w:rsid w:val="00CA55B5"/>
    <w:rsid w:val="00CA59CD"/>
    <w:rsid w:val="00CA5A3F"/>
    <w:rsid w:val="00CA5D77"/>
    <w:rsid w:val="00CA5F2B"/>
    <w:rsid w:val="00CA6021"/>
    <w:rsid w:val="00CA660C"/>
    <w:rsid w:val="00CA69A0"/>
    <w:rsid w:val="00CA69A2"/>
    <w:rsid w:val="00CA6CAC"/>
    <w:rsid w:val="00CA6CDB"/>
    <w:rsid w:val="00CA6E93"/>
    <w:rsid w:val="00CA707B"/>
    <w:rsid w:val="00CA70A3"/>
    <w:rsid w:val="00CA71E3"/>
    <w:rsid w:val="00CA79CA"/>
    <w:rsid w:val="00CA79E4"/>
    <w:rsid w:val="00CA7D3D"/>
    <w:rsid w:val="00CB0062"/>
    <w:rsid w:val="00CB05D2"/>
    <w:rsid w:val="00CB10AB"/>
    <w:rsid w:val="00CB12D3"/>
    <w:rsid w:val="00CB1450"/>
    <w:rsid w:val="00CB152B"/>
    <w:rsid w:val="00CB1789"/>
    <w:rsid w:val="00CB1892"/>
    <w:rsid w:val="00CB1A49"/>
    <w:rsid w:val="00CB1A9F"/>
    <w:rsid w:val="00CB1BD1"/>
    <w:rsid w:val="00CB1D3D"/>
    <w:rsid w:val="00CB1EE1"/>
    <w:rsid w:val="00CB2248"/>
    <w:rsid w:val="00CB23BA"/>
    <w:rsid w:val="00CB2A95"/>
    <w:rsid w:val="00CB2F89"/>
    <w:rsid w:val="00CB30EB"/>
    <w:rsid w:val="00CB32B5"/>
    <w:rsid w:val="00CB3D13"/>
    <w:rsid w:val="00CB4135"/>
    <w:rsid w:val="00CB44C9"/>
    <w:rsid w:val="00CB4588"/>
    <w:rsid w:val="00CB45E1"/>
    <w:rsid w:val="00CB4ACE"/>
    <w:rsid w:val="00CB50D4"/>
    <w:rsid w:val="00CB5DD6"/>
    <w:rsid w:val="00CB6098"/>
    <w:rsid w:val="00CB60C7"/>
    <w:rsid w:val="00CB615B"/>
    <w:rsid w:val="00CB63F0"/>
    <w:rsid w:val="00CB6472"/>
    <w:rsid w:val="00CB6711"/>
    <w:rsid w:val="00CB67A1"/>
    <w:rsid w:val="00CB6E84"/>
    <w:rsid w:val="00CB7543"/>
    <w:rsid w:val="00CB75D5"/>
    <w:rsid w:val="00CB7B85"/>
    <w:rsid w:val="00CB7D1E"/>
    <w:rsid w:val="00CB7F3A"/>
    <w:rsid w:val="00CC0E36"/>
    <w:rsid w:val="00CC1141"/>
    <w:rsid w:val="00CC11CE"/>
    <w:rsid w:val="00CC1CA5"/>
    <w:rsid w:val="00CC1E53"/>
    <w:rsid w:val="00CC23B1"/>
    <w:rsid w:val="00CC29F5"/>
    <w:rsid w:val="00CC2C1B"/>
    <w:rsid w:val="00CC31D4"/>
    <w:rsid w:val="00CC3822"/>
    <w:rsid w:val="00CC391A"/>
    <w:rsid w:val="00CC396E"/>
    <w:rsid w:val="00CC3D43"/>
    <w:rsid w:val="00CC3EE4"/>
    <w:rsid w:val="00CC40C1"/>
    <w:rsid w:val="00CC49DA"/>
    <w:rsid w:val="00CC4B28"/>
    <w:rsid w:val="00CC4CE8"/>
    <w:rsid w:val="00CC5D08"/>
    <w:rsid w:val="00CC61B2"/>
    <w:rsid w:val="00CC62A7"/>
    <w:rsid w:val="00CC6330"/>
    <w:rsid w:val="00CC6D21"/>
    <w:rsid w:val="00CC70AF"/>
    <w:rsid w:val="00CC7F03"/>
    <w:rsid w:val="00CD0652"/>
    <w:rsid w:val="00CD0A83"/>
    <w:rsid w:val="00CD1025"/>
    <w:rsid w:val="00CD10D3"/>
    <w:rsid w:val="00CD11D0"/>
    <w:rsid w:val="00CD122D"/>
    <w:rsid w:val="00CD128B"/>
    <w:rsid w:val="00CD182A"/>
    <w:rsid w:val="00CD22C1"/>
    <w:rsid w:val="00CD247F"/>
    <w:rsid w:val="00CD2820"/>
    <w:rsid w:val="00CD2F8C"/>
    <w:rsid w:val="00CD368A"/>
    <w:rsid w:val="00CD38F5"/>
    <w:rsid w:val="00CD3DF2"/>
    <w:rsid w:val="00CD42E7"/>
    <w:rsid w:val="00CD4C46"/>
    <w:rsid w:val="00CD4F0F"/>
    <w:rsid w:val="00CD4F6E"/>
    <w:rsid w:val="00CD4FE1"/>
    <w:rsid w:val="00CD55F3"/>
    <w:rsid w:val="00CD5654"/>
    <w:rsid w:val="00CD6999"/>
    <w:rsid w:val="00CD7466"/>
    <w:rsid w:val="00CD7927"/>
    <w:rsid w:val="00CD79AE"/>
    <w:rsid w:val="00CD7DBB"/>
    <w:rsid w:val="00CE0198"/>
    <w:rsid w:val="00CE0493"/>
    <w:rsid w:val="00CE0A15"/>
    <w:rsid w:val="00CE0D74"/>
    <w:rsid w:val="00CE0E01"/>
    <w:rsid w:val="00CE101E"/>
    <w:rsid w:val="00CE1735"/>
    <w:rsid w:val="00CE1EFA"/>
    <w:rsid w:val="00CE2831"/>
    <w:rsid w:val="00CE29A3"/>
    <w:rsid w:val="00CE32D1"/>
    <w:rsid w:val="00CE36BE"/>
    <w:rsid w:val="00CE382B"/>
    <w:rsid w:val="00CE38AE"/>
    <w:rsid w:val="00CE3ABD"/>
    <w:rsid w:val="00CE3E8C"/>
    <w:rsid w:val="00CE4806"/>
    <w:rsid w:val="00CE495A"/>
    <w:rsid w:val="00CE4BCF"/>
    <w:rsid w:val="00CE4D8E"/>
    <w:rsid w:val="00CE5520"/>
    <w:rsid w:val="00CE5AC0"/>
    <w:rsid w:val="00CE5C28"/>
    <w:rsid w:val="00CE5CE7"/>
    <w:rsid w:val="00CE6184"/>
    <w:rsid w:val="00CE62D9"/>
    <w:rsid w:val="00CE6AA2"/>
    <w:rsid w:val="00CE6C1A"/>
    <w:rsid w:val="00CE6C29"/>
    <w:rsid w:val="00CE6D88"/>
    <w:rsid w:val="00CE6DD0"/>
    <w:rsid w:val="00CE74FB"/>
    <w:rsid w:val="00CE7A2B"/>
    <w:rsid w:val="00CE7E6A"/>
    <w:rsid w:val="00CE7FB0"/>
    <w:rsid w:val="00CF120D"/>
    <w:rsid w:val="00CF13CC"/>
    <w:rsid w:val="00CF1575"/>
    <w:rsid w:val="00CF15E4"/>
    <w:rsid w:val="00CF1702"/>
    <w:rsid w:val="00CF1A71"/>
    <w:rsid w:val="00CF243F"/>
    <w:rsid w:val="00CF33D0"/>
    <w:rsid w:val="00CF36DC"/>
    <w:rsid w:val="00CF3C12"/>
    <w:rsid w:val="00CF3C89"/>
    <w:rsid w:val="00CF487B"/>
    <w:rsid w:val="00CF4B70"/>
    <w:rsid w:val="00CF4C3F"/>
    <w:rsid w:val="00CF50A6"/>
    <w:rsid w:val="00CF559D"/>
    <w:rsid w:val="00CF568B"/>
    <w:rsid w:val="00CF5A18"/>
    <w:rsid w:val="00CF6592"/>
    <w:rsid w:val="00CF6824"/>
    <w:rsid w:val="00CF7087"/>
    <w:rsid w:val="00CF791C"/>
    <w:rsid w:val="00CF7BED"/>
    <w:rsid w:val="00D00266"/>
    <w:rsid w:val="00D00686"/>
    <w:rsid w:val="00D007A9"/>
    <w:rsid w:val="00D00F51"/>
    <w:rsid w:val="00D01290"/>
    <w:rsid w:val="00D0144E"/>
    <w:rsid w:val="00D0192B"/>
    <w:rsid w:val="00D01E70"/>
    <w:rsid w:val="00D02352"/>
    <w:rsid w:val="00D02397"/>
    <w:rsid w:val="00D02585"/>
    <w:rsid w:val="00D02910"/>
    <w:rsid w:val="00D0306E"/>
    <w:rsid w:val="00D03271"/>
    <w:rsid w:val="00D03400"/>
    <w:rsid w:val="00D0385F"/>
    <w:rsid w:val="00D038DB"/>
    <w:rsid w:val="00D04117"/>
    <w:rsid w:val="00D04311"/>
    <w:rsid w:val="00D04789"/>
    <w:rsid w:val="00D051A5"/>
    <w:rsid w:val="00D0548B"/>
    <w:rsid w:val="00D0572E"/>
    <w:rsid w:val="00D0597B"/>
    <w:rsid w:val="00D0629A"/>
    <w:rsid w:val="00D062D8"/>
    <w:rsid w:val="00D06659"/>
    <w:rsid w:val="00D06A94"/>
    <w:rsid w:val="00D07602"/>
    <w:rsid w:val="00D078F6"/>
    <w:rsid w:val="00D105F4"/>
    <w:rsid w:val="00D1067E"/>
    <w:rsid w:val="00D10BCA"/>
    <w:rsid w:val="00D10EDA"/>
    <w:rsid w:val="00D11046"/>
    <w:rsid w:val="00D11180"/>
    <w:rsid w:val="00D117DF"/>
    <w:rsid w:val="00D11C88"/>
    <w:rsid w:val="00D11F81"/>
    <w:rsid w:val="00D1254F"/>
    <w:rsid w:val="00D12F49"/>
    <w:rsid w:val="00D13A9C"/>
    <w:rsid w:val="00D13B41"/>
    <w:rsid w:val="00D13BEB"/>
    <w:rsid w:val="00D13EE1"/>
    <w:rsid w:val="00D14A03"/>
    <w:rsid w:val="00D14C56"/>
    <w:rsid w:val="00D157FB"/>
    <w:rsid w:val="00D15924"/>
    <w:rsid w:val="00D15F9F"/>
    <w:rsid w:val="00D16224"/>
    <w:rsid w:val="00D16624"/>
    <w:rsid w:val="00D16799"/>
    <w:rsid w:val="00D16FE2"/>
    <w:rsid w:val="00D17133"/>
    <w:rsid w:val="00D172F3"/>
    <w:rsid w:val="00D1767D"/>
    <w:rsid w:val="00D17867"/>
    <w:rsid w:val="00D178CB"/>
    <w:rsid w:val="00D20168"/>
    <w:rsid w:val="00D20F51"/>
    <w:rsid w:val="00D211EA"/>
    <w:rsid w:val="00D214BC"/>
    <w:rsid w:val="00D2153C"/>
    <w:rsid w:val="00D22082"/>
    <w:rsid w:val="00D23322"/>
    <w:rsid w:val="00D235C6"/>
    <w:rsid w:val="00D23789"/>
    <w:rsid w:val="00D23C13"/>
    <w:rsid w:val="00D23DA8"/>
    <w:rsid w:val="00D2429A"/>
    <w:rsid w:val="00D2462C"/>
    <w:rsid w:val="00D2479C"/>
    <w:rsid w:val="00D24E91"/>
    <w:rsid w:val="00D24EE6"/>
    <w:rsid w:val="00D2522E"/>
    <w:rsid w:val="00D252B1"/>
    <w:rsid w:val="00D252C4"/>
    <w:rsid w:val="00D25B75"/>
    <w:rsid w:val="00D25B76"/>
    <w:rsid w:val="00D2650F"/>
    <w:rsid w:val="00D26696"/>
    <w:rsid w:val="00D278AE"/>
    <w:rsid w:val="00D27BDD"/>
    <w:rsid w:val="00D27FD6"/>
    <w:rsid w:val="00D30057"/>
    <w:rsid w:val="00D30172"/>
    <w:rsid w:val="00D301C8"/>
    <w:rsid w:val="00D304ED"/>
    <w:rsid w:val="00D309CF"/>
    <w:rsid w:val="00D30F3D"/>
    <w:rsid w:val="00D312BE"/>
    <w:rsid w:val="00D31791"/>
    <w:rsid w:val="00D32800"/>
    <w:rsid w:val="00D33011"/>
    <w:rsid w:val="00D343B1"/>
    <w:rsid w:val="00D34C87"/>
    <w:rsid w:val="00D34CF0"/>
    <w:rsid w:val="00D350BF"/>
    <w:rsid w:val="00D3554D"/>
    <w:rsid w:val="00D36132"/>
    <w:rsid w:val="00D362E5"/>
    <w:rsid w:val="00D36B77"/>
    <w:rsid w:val="00D36C7A"/>
    <w:rsid w:val="00D36D7B"/>
    <w:rsid w:val="00D3767F"/>
    <w:rsid w:val="00D40369"/>
    <w:rsid w:val="00D40C56"/>
    <w:rsid w:val="00D41374"/>
    <w:rsid w:val="00D416CA"/>
    <w:rsid w:val="00D41AB1"/>
    <w:rsid w:val="00D41E41"/>
    <w:rsid w:val="00D424BC"/>
    <w:rsid w:val="00D42CB4"/>
    <w:rsid w:val="00D42D0B"/>
    <w:rsid w:val="00D42FA4"/>
    <w:rsid w:val="00D432D8"/>
    <w:rsid w:val="00D4345E"/>
    <w:rsid w:val="00D4397C"/>
    <w:rsid w:val="00D43D71"/>
    <w:rsid w:val="00D43F0C"/>
    <w:rsid w:val="00D440F4"/>
    <w:rsid w:val="00D44463"/>
    <w:rsid w:val="00D446DE"/>
    <w:rsid w:val="00D44719"/>
    <w:rsid w:val="00D449CD"/>
    <w:rsid w:val="00D45AC8"/>
    <w:rsid w:val="00D464D4"/>
    <w:rsid w:val="00D46A97"/>
    <w:rsid w:val="00D46B70"/>
    <w:rsid w:val="00D46DD2"/>
    <w:rsid w:val="00D47049"/>
    <w:rsid w:val="00D47B62"/>
    <w:rsid w:val="00D47CC4"/>
    <w:rsid w:val="00D47ECC"/>
    <w:rsid w:val="00D509A5"/>
    <w:rsid w:val="00D5113F"/>
    <w:rsid w:val="00D524E9"/>
    <w:rsid w:val="00D52904"/>
    <w:rsid w:val="00D52C9B"/>
    <w:rsid w:val="00D52D8E"/>
    <w:rsid w:val="00D53325"/>
    <w:rsid w:val="00D53638"/>
    <w:rsid w:val="00D53965"/>
    <w:rsid w:val="00D544AF"/>
    <w:rsid w:val="00D544CF"/>
    <w:rsid w:val="00D54782"/>
    <w:rsid w:val="00D54B96"/>
    <w:rsid w:val="00D54F52"/>
    <w:rsid w:val="00D551A1"/>
    <w:rsid w:val="00D5589C"/>
    <w:rsid w:val="00D55ABB"/>
    <w:rsid w:val="00D5659B"/>
    <w:rsid w:val="00D567FA"/>
    <w:rsid w:val="00D57511"/>
    <w:rsid w:val="00D57683"/>
    <w:rsid w:val="00D57699"/>
    <w:rsid w:val="00D57B42"/>
    <w:rsid w:val="00D57FA3"/>
    <w:rsid w:val="00D607B9"/>
    <w:rsid w:val="00D60F13"/>
    <w:rsid w:val="00D618BD"/>
    <w:rsid w:val="00D6272D"/>
    <w:rsid w:val="00D629EE"/>
    <w:rsid w:val="00D632D9"/>
    <w:rsid w:val="00D633EF"/>
    <w:rsid w:val="00D63DDF"/>
    <w:rsid w:val="00D63F16"/>
    <w:rsid w:val="00D6406A"/>
    <w:rsid w:val="00D647B7"/>
    <w:rsid w:val="00D6483A"/>
    <w:rsid w:val="00D649BD"/>
    <w:rsid w:val="00D64CBE"/>
    <w:rsid w:val="00D652BA"/>
    <w:rsid w:val="00D6555E"/>
    <w:rsid w:val="00D6564D"/>
    <w:rsid w:val="00D656E2"/>
    <w:rsid w:val="00D657FC"/>
    <w:rsid w:val="00D65E9C"/>
    <w:rsid w:val="00D67DFE"/>
    <w:rsid w:val="00D67FC8"/>
    <w:rsid w:val="00D70602"/>
    <w:rsid w:val="00D70E2C"/>
    <w:rsid w:val="00D70FD4"/>
    <w:rsid w:val="00D7180E"/>
    <w:rsid w:val="00D719E7"/>
    <w:rsid w:val="00D71B97"/>
    <w:rsid w:val="00D71F95"/>
    <w:rsid w:val="00D732C4"/>
    <w:rsid w:val="00D738BF"/>
    <w:rsid w:val="00D73CC7"/>
    <w:rsid w:val="00D73DB0"/>
    <w:rsid w:val="00D73DEE"/>
    <w:rsid w:val="00D73E56"/>
    <w:rsid w:val="00D73F11"/>
    <w:rsid w:val="00D7456C"/>
    <w:rsid w:val="00D75601"/>
    <w:rsid w:val="00D75951"/>
    <w:rsid w:val="00D75B3E"/>
    <w:rsid w:val="00D76359"/>
    <w:rsid w:val="00D76B72"/>
    <w:rsid w:val="00D76C2B"/>
    <w:rsid w:val="00D76D3B"/>
    <w:rsid w:val="00D77385"/>
    <w:rsid w:val="00D77933"/>
    <w:rsid w:val="00D77A61"/>
    <w:rsid w:val="00D77B32"/>
    <w:rsid w:val="00D77E5C"/>
    <w:rsid w:val="00D80E1C"/>
    <w:rsid w:val="00D81058"/>
    <w:rsid w:val="00D810E8"/>
    <w:rsid w:val="00D81243"/>
    <w:rsid w:val="00D813A3"/>
    <w:rsid w:val="00D816E8"/>
    <w:rsid w:val="00D81BDF"/>
    <w:rsid w:val="00D822FC"/>
    <w:rsid w:val="00D82561"/>
    <w:rsid w:val="00D82A08"/>
    <w:rsid w:val="00D82B57"/>
    <w:rsid w:val="00D82E73"/>
    <w:rsid w:val="00D82EBE"/>
    <w:rsid w:val="00D83CCC"/>
    <w:rsid w:val="00D843CB"/>
    <w:rsid w:val="00D844AA"/>
    <w:rsid w:val="00D84A03"/>
    <w:rsid w:val="00D84A9A"/>
    <w:rsid w:val="00D84D31"/>
    <w:rsid w:val="00D85218"/>
    <w:rsid w:val="00D858F3"/>
    <w:rsid w:val="00D85DFA"/>
    <w:rsid w:val="00D86759"/>
    <w:rsid w:val="00D868D3"/>
    <w:rsid w:val="00D868ED"/>
    <w:rsid w:val="00D8691B"/>
    <w:rsid w:val="00D8733F"/>
    <w:rsid w:val="00D87796"/>
    <w:rsid w:val="00D87A96"/>
    <w:rsid w:val="00D87D81"/>
    <w:rsid w:val="00D9119E"/>
    <w:rsid w:val="00D913F9"/>
    <w:rsid w:val="00D91662"/>
    <w:rsid w:val="00D91D47"/>
    <w:rsid w:val="00D9232F"/>
    <w:rsid w:val="00D92391"/>
    <w:rsid w:val="00D9294B"/>
    <w:rsid w:val="00D92D11"/>
    <w:rsid w:val="00D92D59"/>
    <w:rsid w:val="00D936FD"/>
    <w:rsid w:val="00D938BE"/>
    <w:rsid w:val="00D93931"/>
    <w:rsid w:val="00D93A32"/>
    <w:rsid w:val="00D9410D"/>
    <w:rsid w:val="00D94810"/>
    <w:rsid w:val="00D94D05"/>
    <w:rsid w:val="00D94E0F"/>
    <w:rsid w:val="00D95284"/>
    <w:rsid w:val="00D9530D"/>
    <w:rsid w:val="00D9585C"/>
    <w:rsid w:val="00D9632B"/>
    <w:rsid w:val="00D96859"/>
    <w:rsid w:val="00D9686A"/>
    <w:rsid w:val="00D96CA7"/>
    <w:rsid w:val="00D97A4A"/>
    <w:rsid w:val="00D97C99"/>
    <w:rsid w:val="00D97CBE"/>
    <w:rsid w:val="00DA0031"/>
    <w:rsid w:val="00DA05DF"/>
    <w:rsid w:val="00DA09D0"/>
    <w:rsid w:val="00DA0B7F"/>
    <w:rsid w:val="00DA1C50"/>
    <w:rsid w:val="00DA1D31"/>
    <w:rsid w:val="00DA1EE0"/>
    <w:rsid w:val="00DA202E"/>
    <w:rsid w:val="00DA2920"/>
    <w:rsid w:val="00DA2C95"/>
    <w:rsid w:val="00DA2F8F"/>
    <w:rsid w:val="00DA3505"/>
    <w:rsid w:val="00DA358E"/>
    <w:rsid w:val="00DA3A3C"/>
    <w:rsid w:val="00DA43F7"/>
    <w:rsid w:val="00DA45FF"/>
    <w:rsid w:val="00DA46CB"/>
    <w:rsid w:val="00DA4D2D"/>
    <w:rsid w:val="00DA4F8D"/>
    <w:rsid w:val="00DA53AD"/>
    <w:rsid w:val="00DA619B"/>
    <w:rsid w:val="00DA6307"/>
    <w:rsid w:val="00DA6655"/>
    <w:rsid w:val="00DA6667"/>
    <w:rsid w:val="00DA66E4"/>
    <w:rsid w:val="00DA6AE2"/>
    <w:rsid w:val="00DA7010"/>
    <w:rsid w:val="00DA7597"/>
    <w:rsid w:val="00DA77C6"/>
    <w:rsid w:val="00DA7B46"/>
    <w:rsid w:val="00DA7E7B"/>
    <w:rsid w:val="00DB0297"/>
    <w:rsid w:val="00DB0860"/>
    <w:rsid w:val="00DB0BC1"/>
    <w:rsid w:val="00DB0E70"/>
    <w:rsid w:val="00DB0EDC"/>
    <w:rsid w:val="00DB0FF2"/>
    <w:rsid w:val="00DB20F6"/>
    <w:rsid w:val="00DB23E0"/>
    <w:rsid w:val="00DB2752"/>
    <w:rsid w:val="00DB2992"/>
    <w:rsid w:val="00DB2AF2"/>
    <w:rsid w:val="00DB3A6A"/>
    <w:rsid w:val="00DB3BB9"/>
    <w:rsid w:val="00DB3C48"/>
    <w:rsid w:val="00DB46D1"/>
    <w:rsid w:val="00DB5854"/>
    <w:rsid w:val="00DB66F0"/>
    <w:rsid w:val="00DB6B1F"/>
    <w:rsid w:val="00DB6C24"/>
    <w:rsid w:val="00DB6C2F"/>
    <w:rsid w:val="00DB6EEA"/>
    <w:rsid w:val="00DB7034"/>
    <w:rsid w:val="00DB78B5"/>
    <w:rsid w:val="00DB7A68"/>
    <w:rsid w:val="00DB7A80"/>
    <w:rsid w:val="00DB7F09"/>
    <w:rsid w:val="00DC02CA"/>
    <w:rsid w:val="00DC05C3"/>
    <w:rsid w:val="00DC118F"/>
    <w:rsid w:val="00DC15EB"/>
    <w:rsid w:val="00DC1A8B"/>
    <w:rsid w:val="00DC1BD1"/>
    <w:rsid w:val="00DC1DA5"/>
    <w:rsid w:val="00DC2694"/>
    <w:rsid w:val="00DC2B66"/>
    <w:rsid w:val="00DC33DE"/>
    <w:rsid w:val="00DC4B11"/>
    <w:rsid w:val="00DC4FEE"/>
    <w:rsid w:val="00DC532D"/>
    <w:rsid w:val="00DC5429"/>
    <w:rsid w:val="00DC5B01"/>
    <w:rsid w:val="00DC5D2F"/>
    <w:rsid w:val="00DC68F3"/>
    <w:rsid w:val="00DC698C"/>
    <w:rsid w:val="00DC6CE1"/>
    <w:rsid w:val="00DD0390"/>
    <w:rsid w:val="00DD04FD"/>
    <w:rsid w:val="00DD0646"/>
    <w:rsid w:val="00DD0B7C"/>
    <w:rsid w:val="00DD0E41"/>
    <w:rsid w:val="00DD0EF5"/>
    <w:rsid w:val="00DD10E9"/>
    <w:rsid w:val="00DD184C"/>
    <w:rsid w:val="00DD19DF"/>
    <w:rsid w:val="00DD1B80"/>
    <w:rsid w:val="00DD2075"/>
    <w:rsid w:val="00DD2115"/>
    <w:rsid w:val="00DD29B8"/>
    <w:rsid w:val="00DD2F62"/>
    <w:rsid w:val="00DD3069"/>
    <w:rsid w:val="00DD3363"/>
    <w:rsid w:val="00DD33A0"/>
    <w:rsid w:val="00DD36A2"/>
    <w:rsid w:val="00DD3B29"/>
    <w:rsid w:val="00DD4EEB"/>
    <w:rsid w:val="00DD5052"/>
    <w:rsid w:val="00DD536E"/>
    <w:rsid w:val="00DD602C"/>
    <w:rsid w:val="00DD6C3A"/>
    <w:rsid w:val="00DD6F8F"/>
    <w:rsid w:val="00DD749D"/>
    <w:rsid w:val="00DD7633"/>
    <w:rsid w:val="00DD7A8E"/>
    <w:rsid w:val="00DE0C33"/>
    <w:rsid w:val="00DE13E9"/>
    <w:rsid w:val="00DE1F05"/>
    <w:rsid w:val="00DE1FE8"/>
    <w:rsid w:val="00DE226D"/>
    <w:rsid w:val="00DE2965"/>
    <w:rsid w:val="00DE2995"/>
    <w:rsid w:val="00DE2D0F"/>
    <w:rsid w:val="00DE2D91"/>
    <w:rsid w:val="00DE2FF7"/>
    <w:rsid w:val="00DE3400"/>
    <w:rsid w:val="00DE3CD1"/>
    <w:rsid w:val="00DE3FBB"/>
    <w:rsid w:val="00DE46DC"/>
    <w:rsid w:val="00DE4C21"/>
    <w:rsid w:val="00DE514C"/>
    <w:rsid w:val="00DE52F2"/>
    <w:rsid w:val="00DE5391"/>
    <w:rsid w:val="00DE570C"/>
    <w:rsid w:val="00DE637C"/>
    <w:rsid w:val="00DE744D"/>
    <w:rsid w:val="00DE76E7"/>
    <w:rsid w:val="00DF045C"/>
    <w:rsid w:val="00DF0760"/>
    <w:rsid w:val="00DF1323"/>
    <w:rsid w:val="00DF15BF"/>
    <w:rsid w:val="00DF1A75"/>
    <w:rsid w:val="00DF1D46"/>
    <w:rsid w:val="00DF22F0"/>
    <w:rsid w:val="00DF24D7"/>
    <w:rsid w:val="00DF2A39"/>
    <w:rsid w:val="00DF315E"/>
    <w:rsid w:val="00DF33B1"/>
    <w:rsid w:val="00DF3CD5"/>
    <w:rsid w:val="00DF4597"/>
    <w:rsid w:val="00DF477F"/>
    <w:rsid w:val="00DF47F2"/>
    <w:rsid w:val="00DF4A48"/>
    <w:rsid w:val="00DF51A4"/>
    <w:rsid w:val="00DF575C"/>
    <w:rsid w:val="00DF6492"/>
    <w:rsid w:val="00DF65BA"/>
    <w:rsid w:val="00DF6640"/>
    <w:rsid w:val="00DF6F90"/>
    <w:rsid w:val="00DF7090"/>
    <w:rsid w:val="00DF7811"/>
    <w:rsid w:val="00DF781B"/>
    <w:rsid w:val="00DF783B"/>
    <w:rsid w:val="00E00435"/>
    <w:rsid w:val="00E005BA"/>
    <w:rsid w:val="00E0137F"/>
    <w:rsid w:val="00E0161F"/>
    <w:rsid w:val="00E01843"/>
    <w:rsid w:val="00E01F26"/>
    <w:rsid w:val="00E02490"/>
    <w:rsid w:val="00E02C1A"/>
    <w:rsid w:val="00E03246"/>
    <w:rsid w:val="00E03C20"/>
    <w:rsid w:val="00E03C32"/>
    <w:rsid w:val="00E044D4"/>
    <w:rsid w:val="00E04D29"/>
    <w:rsid w:val="00E0507B"/>
    <w:rsid w:val="00E05205"/>
    <w:rsid w:val="00E05A74"/>
    <w:rsid w:val="00E05E9C"/>
    <w:rsid w:val="00E06266"/>
    <w:rsid w:val="00E06C60"/>
    <w:rsid w:val="00E07009"/>
    <w:rsid w:val="00E07429"/>
    <w:rsid w:val="00E07827"/>
    <w:rsid w:val="00E10288"/>
    <w:rsid w:val="00E10521"/>
    <w:rsid w:val="00E111C2"/>
    <w:rsid w:val="00E11B45"/>
    <w:rsid w:val="00E11C0A"/>
    <w:rsid w:val="00E11CC8"/>
    <w:rsid w:val="00E12094"/>
    <w:rsid w:val="00E1278C"/>
    <w:rsid w:val="00E12E07"/>
    <w:rsid w:val="00E12E46"/>
    <w:rsid w:val="00E13127"/>
    <w:rsid w:val="00E137A1"/>
    <w:rsid w:val="00E13A02"/>
    <w:rsid w:val="00E14881"/>
    <w:rsid w:val="00E14F49"/>
    <w:rsid w:val="00E15DB5"/>
    <w:rsid w:val="00E163A3"/>
    <w:rsid w:val="00E174C1"/>
    <w:rsid w:val="00E20402"/>
    <w:rsid w:val="00E2066C"/>
    <w:rsid w:val="00E20A73"/>
    <w:rsid w:val="00E2182B"/>
    <w:rsid w:val="00E218FA"/>
    <w:rsid w:val="00E21CAD"/>
    <w:rsid w:val="00E21E1A"/>
    <w:rsid w:val="00E21F33"/>
    <w:rsid w:val="00E22016"/>
    <w:rsid w:val="00E221E9"/>
    <w:rsid w:val="00E225C9"/>
    <w:rsid w:val="00E22637"/>
    <w:rsid w:val="00E22AE4"/>
    <w:rsid w:val="00E22B39"/>
    <w:rsid w:val="00E22C1F"/>
    <w:rsid w:val="00E22E02"/>
    <w:rsid w:val="00E22EBD"/>
    <w:rsid w:val="00E23210"/>
    <w:rsid w:val="00E2328D"/>
    <w:rsid w:val="00E235CD"/>
    <w:rsid w:val="00E23B15"/>
    <w:rsid w:val="00E24944"/>
    <w:rsid w:val="00E249BB"/>
    <w:rsid w:val="00E24CA5"/>
    <w:rsid w:val="00E25134"/>
    <w:rsid w:val="00E25451"/>
    <w:rsid w:val="00E2559C"/>
    <w:rsid w:val="00E258E3"/>
    <w:rsid w:val="00E26523"/>
    <w:rsid w:val="00E26578"/>
    <w:rsid w:val="00E267F9"/>
    <w:rsid w:val="00E26CF5"/>
    <w:rsid w:val="00E272DA"/>
    <w:rsid w:val="00E279D0"/>
    <w:rsid w:val="00E3005B"/>
    <w:rsid w:val="00E307ED"/>
    <w:rsid w:val="00E30879"/>
    <w:rsid w:val="00E30D4E"/>
    <w:rsid w:val="00E312F6"/>
    <w:rsid w:val="00E31314"/>
    <w:rsid w:val="00E31648"/>
    <w:rsid w:val="00E316DC"/>
    <w:rsid w:val="00E31758"/>
    <w:rsid w:val="00E31ABD"/>
    <w:rsid w:val="00E323C0"/>
    <w:rsid w:val="00E3271A"/>
    <w:rsid w:val="00E32BD0"/>
    <w:rsid w:val="00E32DE6"/>
    <w:rsid w:val="00E32FC5"/>
    <w:rsid w:val="00E33104"/>
    <w:rsid w:val="00E3349E"/>
    <w:rsid w:val="00E3367F"/>
    <w:rsid w:val="00E3406B"/>
    <w:rsid w:val="00E345E2"/>
    <w:rsid w:val="00E3487D"/>
    <w:rsid w:val="00E35C9F"/>
    <w:rsid w:val="00E35CCB"/>
    <w:rsid w:val="00E369D2"/>
    <w:rsid w:val="00E36A3A"/>
    <w:rsid w:val="00E37069"/>
    <w:rsid w:val="00E37898"/>
    <w:rsid w:val="00E40C29"/>
    <w:rsid w:val="00E40D93"/>
    <w:rsid w:val="00E413AB"/>
    <w:rsid w:val="00E414BD"/>
    <w:rsid w:val="00E41609"/>
    <w:rsid w:val="00E41A77"/>
    <w:rsid w:val="00E41DBD"/>
    <w:rsid w:val="00E42202"/>
    <w:rsid w:val="00E42534"/>
    <w:rsid w:val="00E42778"/>
    <w:rsid w:val="00E446C9"/>
    <w:rsid w:val="00E44B9F"/>
    <w:rsid w:val="00E4553D"/>
    <w:rsid w:val="00E45B02"/>
    <w:rsid w:val="00E46074"/>
    <w:rsid w:val="00E463A1"/>
    <w:rsid w:val="00E46C98"/>
    <w:rsid w:val="00E46EE7"/>
    <w:rsid w:val="00E46FF9"/>
    <w:rsid w:val="00E476DE"/>
    <w:rsid w:val="00E47928"/>
    <w:rsid w:val="00E47AB5"/>
    <w:rsid w:val="00E47CFB"/>
    <w:rsid w:val="00E501A8"/>
    <w:rsid w:val="00E5084D"/>
    <w:rsid w:val="00E50AE5"/>
    <w:rsid w:val="00E50BD9"/>
    <w:rsid w:val="00E50D96"/>
    <w:rsid w:val="00E5122E"/>
    <w:rsid w:val="00E51E01"/>
    <w:rsid w:val="00E51E79"/>
    <w:rsid w:val="00E52265"/>
    <w:rsid w:val="00E52292"/>
    <w:rsid w:val="00E52E69"/>
    <w:rsid w:val="00E5338F"/>
    <w:rsid w:val="00E53876"/>
    <w:rsid w:val="00E53DD3"/>
    <w:rsid w:val="00E53E2D"/>
    <w:rsid w:val="00E540D9"/>
    <w:rsid w:val="00E540FF"/>
    <w:rsid w:val="00E546B3"/>
    <w:rsid w:val="00E549F1"/>
    <w:rsid w:val="00E551E4"/>
    <w:rsid w:val="00E5557D"/>
    <w:rsid w:val="00E557D5"/>
    <w:rsid w:val="00E55E6E"/>
    <w:rsid w:val="00E563EC"/>
    <w:rsid w:val="00E568FB"/>
    <w:rsid w:val="00E56DD4"/>
    <w:rsid w:val="00E56FD5"/>
    <w:rsid w:val="00E573D2"/>
    <w:rsid w:val="00E57916"/>
    <w:rsid w:val="00E57CEA"/>
    <w:rsid w:val="00E60114"/>
    <w:rsid w:val="00E60487"/>
    <w:rsid w:val="00E605F9"/>
    <w:rsid w:val="00E60A5C"/>
    <w:rsid w:val="00E60DB3"/>
    <w:rsid w:val="00E610D6"/>
    <w:rsid w:val="00E617A5"/>
    <w:rsid w:val="00E6184F"/>
    <w:rsid w:val="00E61D1D"/>
    <w:rsid w:val="00E61EB8"/>
    <w:rsid w:val="00E62407"/>
    <w:rsid w:val="00E62890"/>
    <w:rsid w:val="00E62C70"/>
    <w:rsid w:val="00E63682"/>
    <w:rsid w:val="00E6384D"/>
    <w:rsid w:val="00E63F64"/>
    <w:rsid w:val="00E64F8A"/>
    <w:rsid w:val="00E65C84"/>
    <w:rsid w:val="00E65F5C"/>
    <w:rsid w:val="00E66494"/>
    <w:rsid w:val="00E66852"/>
    <w:rsid w:val="00E66DAA"/>
    <w:rsid w:val="00E66DFE"/>
    <w:rsid w:val="00E67338"/>
    <w:rsid w:val="00E677B6"/>
    <w:rsid w:val="00E67B64"/>
    <w:rsid w:val="00E70067"/>
    <w:rsid w:val="00E700EF"/>
    <w:rsid w:val="00E7054C"/>
    <w:rsid w:val="00E70672"/>
    <w:rsid w:val="00E70753"/>
    <w:rsid w:val="00E7076E"/>
    <w:rsid w:val="00E7095A"/>
    <w:rsid w:val="00E70DAA"/>
    <w:rsid w:val="00E70FED"/>
    <w:rsid w:val="00E7103C"/>
    <w:rsid w:val="00E71213"/>
    <w:rsid w:val="00E72112"/>
    <w:rsid w:val="00E72573"/>
    <w:rsid w:val="00E725FE"/>
    <w:rsid w:val="00E72750"/>
    <w:rsid w:val="00E72FA0"/>
    <w:rsid w:val="00E7357B"/>
    <w:rsid w:val="00E73B6A"/>
    <w:rsid w:val="00E73C67"/>
    <w:rsid w:val="00E743FC"/>
    <w:rsid w:val="00E74B75"/>
    <w:rsid w:val="00E74C7A"/>
    <w:rsid w:val="00E74F80"/>
    <w:rsid w:val="00E753AF"/>
    <w:rsid w:val="00E75D6E"/>
    <w:rsid w:val="00E75E78"/>
    <w:rsid w:val="00E76C1F"/>
    <w:rsid w:val="00E7706F"/>
    <w:rsid w:val="00E772B0"/>
    <w:rsid w:val="00E773FB"/>
    <w:rsid w:val="00E774A3"/>
    <w:rsid w:val="00E7757E"/>
    <w:rsid w:val="00E80427"/>
    <w:rsid w:val="00E80C15"/>
    <w:rsid w:val="00E80CF9"/>
    <w:rsid w:val="00E80E2B"/>
    <w:rsid w:val="00E80F0D"/>
    <w:rsid w:val="00E81235"/>
    <w:rsid w:val="00E81530"/>
    <w:rsid w:val="00E81E9F"/>
    <w:rsid w:val="00E824F3"/>
    <w:rsid w:val="00E82650"/>
    <w:rsid w:val="00E82706"/>
    <w:rsid w:val="00E82B6E"/>
    <w:rsid w:val="00E82BE3"/>
    <w:rsid w:val="00E82DB1"/>
    <w:rsid w:val="00E82E21"/>
    <w:rsid w:val="00E8322B"/>
    <w:rsid w:val="00E83833"/>
    <w:rsid w:val="00E84125"/>
    <w:rsid w:val="00E84462"/>
    <w:rsid w:val="00E8468B"/>
    <w:rsid w:val="00E84B7F"/>
    <w:rsid w:val="00E84FFB"/>
    <w:rsid w:val="00E85122"/>
    <w:rsid w:val="00E85401"/>
    <w:rsid w:val="00E855EB"/>
    <w:rsid w:val="00E85938"/>
    <w:rsid w:val="00E85A79"/>
    <w:rsid w:val="00E85BE2"/>
    <w:rsid w:val="00E8607B"/>
    <w:rsid w:val="00E86119"/>
    <w:rsid w:val="00E86235"/>
    <w:rsid w:val="00E86930"/>
    <w:rsid w:val="00E870BE"/>
    <w:rsid w:val="00E87292"/>
    <w:rsid w:val="00E87959"/>
    <w:rsid w:val="00E879D6"/>
    <w:rsid w:val="00E87B40"/>
    <w:rsid w:val="00E87B5D"/>
    <w:rsid w:val="00E9017E"/>
    <w:rsid w:val="00E914FF"/>
    <w:rsid w:val="00E91B1F"/>
    <w:rsid w:val="00E9260C"/>
    <w:rsid w:val="00E9263E"/>
    <w:rsid w:val="00E926F8"/>
    <w:rsid w:val="00E92C7B"/>
    <w:rsid w:val="00E92E21"/>
    <w:rsid w:val="00E93432"/>
    <w:rsid w:val="00E93785"/>
    <w:rsid w:val="00E939DB"/>
    <w:rsid w:val="00E93E35"/>
    <w:rsid w:val="00E93E53"/>
    <w:rsid w:val="00E94316"/>
    <w:rsid w:val="00E94423"/>
    <w:rsid w:val="00E94F52"/>
    <w:rsid w:val="00E94F8C"/>
    <w:rsid w:val="00E95407"/>
    <w:rsid w:val="00E9556D"/>
    <w:rsid w:val="00E95B47"/>
    <w:rsid w:val="00E95D95"/>
    <w:rsid w:val="00E9630C"/>
    <w:rsid w:val="00E96A98"/>
    <w:rsid w:val="00E97010"/>
    <w:rsid w:val="00E97325"/>
    <w:rsid w:val="00E97ADE"/>
    <w:rsid w:val="00EA0091"/>
    <w:rsid w:val="00EA0115"/>
    <w:rsid w:val="00EA028E"/>
    <w:rsid w:val="00EA0EF0"/>
    <w:rsid w:val="00EA1410"/>
    <w:rsid w:val="00EA187C"/>
    <w:rsid w:val="00EA1A57"/>
    <w:rsid w:val="00EA1A90"/>
    <w:rsid w:val="00EA1DC9"/>
    <w:rsid w:val="00EA1F8F"/>
    <w:rsid w:val="00EA1FE0"/>
    <w:rsid w:val="00EA2270"/>
    <w:rsid w:val="00EA260F"/>
    <w:rsid w:val="00EA2AC3"/>
    <w:rsid w:val="00EA2B4D"/>
    <w:rsid w:val="00EA33D3"/>
    <w:rsid w:val="00EA3704"/>
    <w:rsid w:val="00EA370A"/>
    <w:rsid w:val="00EA3927"/>
    <w:rsid w:val="00EA3D49"/>
    <w:rsid w:val="00EA3DC0"/>
    <w:rsid w:val="00EA44CF"/>
    <w:rsid w:val="00EA4673"/>
    <w:rsid w:val="00EA4896"/>
    <w:rsid w:val="00EA4A63"/>
    <w:rsid w:val="00EA4BB3"/>
    <w:rsid w:val="00EA56C2"/>
    <w:rsid w:val="00EA5A73"/>
    <w:rsid w:val="00EA5AC7"/>
    <w:rsid w:val="00EA5BF2"/>
    <w:rsid w:val="00EA60F4"/>
    <w:rsid w:val="00EA643A"/>
    <w:rsid w:val="00EA68D0"/>
    <w:rsid w:val="00EA6A35"/>
    <w:rsid w:val="00EA7360"/>
    <w:rsid w:val="00EA76AC"/>
    <w:rsid w:val="00EA778E"/>
    <w:rsid w:val="00EA7BF1"/>
    <w:rsid w:val="00EB038B"/>
    <w:rsid w:val="00EB0566"/>
    <w:rsid w:val="00EB1183"/>
    <w:rsid w:val="00EB132F"/>
    <w:rsid w:val="00EB17EF"/>
    <w:rsid w:val="00EB1FAA"/>
    <w:rsid w:val="00EB1FF2"/>
    <w:rsid w:val="00EB23E6"/>
    <w:rsid w:val="00EB24CB"/>
    <w:rsid w:val="00EB2787"/>
    <w:rsid w:val="00EB2F08"/>
    <w:rsid w:val="00EB33D6"/>
    <w:rsid w:val="00EB385B"/>
    <w:rsid w:val="00EB3A17"/>
    <w:rsid w:val="00EB452A"/>
    <w:rsid w:val="00EB4833"/>
    <w:rsid w:val="00EB4893"/>
    <w:rsid w:val="00EB4B16"/>
    <w:rsid w:val="00EB4E09"/>
    <w:rsid w:val="00EB5076"/>
    <w:rsid w:val="00EB545A"/>
    <w:rsid w:val="00EB5930"/>
    <w:rsid w:val="00EB5F71"/>
    <w:rsid w:val="00EB6062"/>
    <w:rsid w:val="00EB60AA"/>
    <w:rsid w:val="00EB6509"/>
    <w:rsid w:val="00EB657B"/>
    <w:rsid w:val="00EB70B5"/>
    <w:rsid w:val="00EB7442"/>
    <w:rsid w:val="00EC0332"/>
    <w:rsid w:val="00EC04F4"/>
    <w:rsid w:val="00EC052A"/>
    <w:rsid w:val="00EC0B73"/>
    <w:rsid w:val="00EC1071"/>
    <w:rsid w:val="00EC1765"/>
    <w:rsid w:val="00EC199D"/>
    <w:rsid w:val="00EC2454"/>
    <w:rsid w:val="00EC2B48"/>
    <w:rsid w:val="00EC2C5A"/>
    <w:rsid w:val="00EC2D26"/>
    <w:rsid w:val="00EC425A"/>
    <w:rsid w:val="00EC5AEC"/>
    <w:rsid w:val="00EC5C59"/>
    <w:rsid w:val="00EC6C34"/>
    <w:rsid w:val="00EC6EFF"/>
    <w:rsid w:val="00EC734E"/>
    <w:rsid w:val="00EC7398"/>
    <w:rsid w:val="00EC74DC"/>
    <w:rsid w:val="00EC77AB"/>
    <w:rsid w:val="00EC7961"/>
    <w:rsid w:val="00EC7FCE"/>
    <w:rsid w:val="00ED06BC"/>
    <w:rsid w:val="00ED0FEF"/>
    <w:rsid w:val="00ED1010"/>
    <w:rsid w:val="00ED15B0"/>
    <w:rsid w:val="00ED1CC6"/>
    <w:rsid w:val="00ED27B3"/>
    <w:rsid w:val="00ED2832"/>
    <w:rsid w:val="00ED2954"/>
    <w:rsid w:val="00ED2F2E"/>
    <w:rsid w:val="00ED3099"/>
    <w:rsid w:val="00ED31D2"/>
    <w:rsid w:val="00ED3AA3"/>
    <w:rsid w:val="00ED4D35"/>
    <w:rsid w:val="00ED4E5F"/>
    <w:rsid w:val="00ED518F"/>
    <w:rsid w:val="00ED5800"/>
    <w:rsid w:val="00ED608C"/>
    <w:rsid w:val="00ED6094"/>
    <w:rsid w:val="00ED64F7"/>
    <w:rsid w:val="00ED657F"/>
    <w:rsid w:val="00ED6CE3"/>
    <w:rsid w:val="00ED7412"/>
    <w:rsid w:val="00ED7737"/>
    <w:rsid w:val="00ED7DD6"/>
    <w:rsid w:val="00ED7F1C"/>
    <w:rsid w:val="00EE0251"/>
    <w:rsid w:val="00EE08EC"/>
    <w:rsid w:val="00EE1032"/>
    <w:rsid w:val="00EE11C7"/>
    <w:rsid w:val="00EE14B0"/>
    <w:rsid w:val="00EE1749"/>
    <w:rsid w:val="00EE1EDE"/>
    <w:rsid w:val="00EE2831"/>
    <w:rsid w:val="00EE2C3D"/>
    <w:rsid w:val="00EE326E"/>
    <w:rsid w:val="00EE35EB"/>
    <w:rsid w:val="00EE3B1A"/>
    <w:rsid w:val="00EE3B49"/>
    <w:rsid w:val="00EE4C13"/>
    <w:rsid w:val="00EE52BB"/>
    <w:rsid w:val="00EE539A"/>
    <w:rsid w:val="00EE5DA7"/>
    <w:rsid w:val="00EE605E"/>
    <w:rsid w:val="00EE6B07"/>
    <w:rsid w:val="00EE6CC5"/>
    <w:rsid w:val="00EE7480"/>
    <w:rsid w:val="00EE7B7D"/>
    <w:rsid w:val="00EE7E58"/>
    <w:rsid w:val="00EF07D0"/>
    <w:rsid w:val="00EF0F0F"/>
    <w:rsid w:val="00EF1051"/>
    <w:rsid w:val="00EF127B"/>
    <w:rsid w:val="00EF1350"/>
    <w:rsid w:val="00EF171B"/>
    <w:rsid w:val="00EF1952"/>
    <w:rsid w:val="00EF1F74"/>
    <w:rsid w:val="00EF2151"/>
    <w:rsid w:val="00EF2AEE"/>
    <w:rsid w:val="00EF2E73"/>
    <w:rsid w:val="00EF2FBB"/>
    <w:rsid w:val="00EF369C"/>
    <w:rsid w:val="00EF397C"/>
    <w:rsid w:val="00EF398C"/>
    <w:rsid w:val="00EF3B2D"/>
    <w:rsid w:val="00EF3EC4"/>
    <w:rsid w:val="00EF3EE2"/>
    <w:rsid w:val="00EF40D6"/>
    <w:rsid w:val="00EF421F"/>
    <w:rsid w:val="00EF433F"/>
    <w:rsid w:val="00EF4BF5"/>
    <w:rsid w:val="00EF5F12"/>
    <w:rsid w:val="00EF639D"/>
    <w:rsid w:val="00EF6643"/>
    <w:rsid w:val="00EF6E29"/>
    <w:rsid w:val="00EF72B9"/>
    <w:rsid w:val="00EF7325"/>
    <w:rsid w:val="00EF7D84"/>
    <w:rsid w:val="00F005BA"/>
    <w:rsid w:val="00F01229"/>
    <w:rsid w:val="00F01799"/>
    <w:rsid w:val="00F0179C"/>
    <w:rsid w:val="00F01AC7"/>
    <w:rsid w:val="00F02339"/>
    <w:rsid w:val="00F02AD3"/>
    <w:rsid w:val="00F02FA6"/>
    <w:rsid w:val="00F03745"/>
    <w:rsid w:val="00F04106"/>
    <w:rsid w:val="00F0481C"/>
    <w:rsid w:val="00F04F97"/>
    <w:rsid w:val="00F0545D"/>
    <w:rsid w:val="00F056AE"/>
    <w:rsid w:val="00F05B72"/>
    <w:rsid w:val="00F06492"/>
    <w:rsid w:val="00F077EC"/>
    <w:rsid w:val="00F07B60"/>
    <w:rsid w:val="00F07E2E"/>
    <w:rsid w:val="00F07EDB"/>
    <w:rsid w:val="00F10778"/>
    <w:rsid w:val="00F108C2"/>
    <w:rsid w:val="00F11522"/>
    <w:rsid w:val="00F11849"/>
    <w:rsid w:val="00F11B37"/>
    <w:rsid w:val="00F11C2D"/>
    <w:rsid w:val="00F12581"/>
    <w:rsid w:val="00F12D45"/>
    <w:rsid w:val="00F13248"/>
    <w:rsid w:val="00F133BE"/>
    <w:rsid w:val="00F133F6"/>
    <w:rsid w:val="00F135FA"/>
    <w:rsid w:val="00F1366F"/>
    <w:rsid w:val="00F13C00"/>
    <w:rsid w:val="00F13D03"/>
    <w:rsid w:val="00F15160"/>
    <w:rsid w:val="00F151B0"/>
    <w:rsid w:val="00F15520"/>
    <w:rsid w:val="00F15B13"/>
    <w:rsid w:val="00F15B26"/>
    <w:rsid w:val="00F15CB3"/>
    <w:rsid w:val="00F15F47"/>
    <w:rsid w:val="00F16A72"/>
    <w:rsid w:val="00F16C42"/>
    <w:rsid w:val="00F16DDD"/>
    <w:rsid w:val="00F17305"/>
    <w:rsid w:val="00F17540"/>
    <w:rsid w:val="00F17939"/>
    <w:rsid w:val="00F17E36"/>
    <w:rsid w:val="00F20223"/>
    <w:rsid w:val="00F203F0"/>
    <w:rsid w:val="00F204DD"/>
    <w:rsid w:val="00F20756"/>
    <w:rsid w:val="00F20C91"/>
    <w:rsid w:val="00F21332"/>
    <w:rsid w:val="00F21A02"/>
    <w:rsid w:val="00F225E5"/>
    <w:rsid w:val="00F22A36"/>
    <w:rsid w:val="00F23085"/>
    <w:rsid w:val="00F23271"/>
    <w:rsid w:val="00F234D3"/>
    <w:rsid w:val="00F23687"/>
    <w:rsid w:val="00F236DF"/>
    <w:rsid w:val="00F23C4A"/>
    <w:rsid w:val="00F241F4"/>
    <w:rsid w:val="00F2476A"/>
    <w:rsid w:val="00F24CA3"/>
    <w:rsid w:val="00F2530D"/>
    <w:rsid w:val="00F25810"/>
    <w:rsid w:val="00F2582B"/>
    <w:rsid w:val="00F26562"/>
    <w:rsid w:val="00F301EB"/>
    <w:rsid w:val="00F3053E"/>
    <w:rsid w:val="00F30A13"/>
    <w:rsid w:val="00F31212"/>
    <w:rsid w:val="00F316BB"/>
    <w:rsid w:val="00F318A5"/>
    <w:rsid w:val="00F31921"/>
    <w:rsid w:val="00F31B48"/>
    <w:rsid w:val="00F31F2F"/>
    <w:rsid w:val="00F322F9"/>
    <w:rsid w:val="00F32304"/>
    <w:rsid w:val="00F323AD"/>
    <w:rsid w:val="00F32664"/>
    <w:rsid w:val="00F327AC"/>
    <w:rsid w:val="00F32836"/>
    <w:rsid w:val="00F329B4"/>
    <w:rsid w:val="00F33084"/>
    <w:rsid w:val="00F33554"/>
    <w:rsid w:val="00F337F5"/>
    <w:rsid w:val="00F33D5B"/>
    <w:rsid w:val="00F33FF7"/>
    <w:rsid w:val="00F344C6"/>
    <w:rsid w:val="00F3453B"/>
    <w:rsid w:val="00F34738"/>
    <w:rsid w:val="00F34AD6"/>
    <w:rsid w:val="00F34C9F"/>
    <w:rsid w:val="00F355AD"/>
    <w:rsid w:val="00F358E7"/>
    <w:rsid w:val="00F375BF"/>
    <w:rsid w:val="00F3760D"/>
    <w:rsid w:val="00F37A99"/>
    <w:rsid w:val="00F37FEC"/>
    <w:rsid w:val="00F400E8"/>
    <w:rsid w:val="00F4174B"/>
    <w:rsid w:val="00F41D52"/>
    <w:rsid w:val="00F42089"/>
    <w:rsid w:val="00F422F8"/>
    <w:rsid w:val="00F42988"/>
    <w:rsid w:val="00F42EAA"/>
    <w:rsid w:val="00F431B0"/>
    <w:rsid w:val="00F4332C"/>
    <w:rsid w:val="00F43AD0"/>
    <w:rsid w:val="00F43C31"/>
    <w:rsid w:val="00F443CA"/>
    <w:rsid w:val="00F444C4"/>
    <w:rsid w:val="00F44AF0"/>
    <w:rsid w:val="00F44EBE"/>
    <w:rsid w:val="00F45B2F"/>
    <w:rsid w:val="00F45CEF"/>
    <w:rsid w:val="00F45CFE"/>
    <w:rsid w:val="00F46171"/>
    <w:rsid w:val="00F46265"/>
    <w:rsid w:val="00F46BA8"/>
    <w:rsid w:val="00F4732E"/>
    <w:rsid w:val="00F47673"/>
    <w:rsid w:val="00F47962"/>
    <w:rsid w:val="00F47CE4"/>
    <w:rsid w:val="00F47EB6"/>
    <w:rsid w:val="00F47FBD"/>
    <w:rsid w:val="00F500AD"/>
    <w:rsid w:val="00F50282"/>
    <w:rsid w:val="00F50CF7"/>
    <w:rsid w:val="00F5134F"/>
    <w:rsid w:val="00F517E9"/>
    <w:rsid w:val="00F51B29"/>
    <w:rsid w:val="00F5253D"/>
    <w:rsid w:val="00F527FA"/>
    <w:rsid w:val="00F52A92"/>
    <w:rsid w:val="00F52AE9"/>
    <w:rsid w:val="00F52D37"/>
    <w:rsid w:val="00F53222"/>
    <w:rsid w:val="00F53862"/>
    <w:rsid w:val="00F539E8"/>
    <w:rsid w:val="00F53ADD"/>
    <w:rsid w:val="00F542B9"/>
    <w:rsid w:val="00F545A4"/>
    <w:rsid w:val="00F54626"/>
    <w:rsid w:val="00F54C76"/>
    <w:rsid w:val="00F54E31"/>
    <w:rsid w:val="00F54E79"/>
    <w:rsid w:val="00F559BB"/>
    <w:rsid w:val="00F55B28"/>
    <w:rsid w:val="00F55C2A"/>
    <w:rsid w:val="00F568E7"/>
    <w:rsid w:val="00F56D3E"/>
    <w:rsid w:val="00F56DE4"/>
    <w:rsid w:val="00F570E8"/>
    <w:rsid w:val="00F5712A"/>
    <w:rsid w:val="00F574DC"/>
    <w:rsid w:val="00F57C68"/>
    <w:rsid w:val="00F6047E"/>
    <w:rsid w:val="00F607FF"/>
    <w:rsid w:val="00F60F0A"/>
    <w:rsid w:val="00F61391"/>
    <w:rsid w:val="00F614C0"/>
    <w:rsid w:val="00F61532"/>
    <w:rsid w:val="00F61936"/>
    <w:rsid w:val="00F61D81"/>
    <w:rsid w:val="00F61FC6"/>
    <w:rsid w:val="00F6349D"/>
    <w:rsid w:val="00F634B1"/>
    <w:rsid w:val="00F63652"/>
    <w:rsid w:val="00F63ABC"/>
    <w:rsid w:val="00F64055"/>
    <w:rsid w:val="00F64523"/>
    <w:rsid w:val="00F64584"/>
    <w:rsid w:val="00F6469F"/>
    <w:rsid w:val="00F64F34"/>
    <w:rsid w:val="00F6587D"/>
    <w:rsid w:val="00F66167"/>
    <w:rsid w:val="00F661CE"/>
    <w:rsid w:val="00F6672A"/>
    <w:rsid w:val="00F66C34"/>
    <w:rsid w:val="00F67092"/>
    <w:rsid w:val="00F670BE"/>
    <w:rsid w:val="00F6747E"/>
    <w:rsid w:val="00F6767C"/>
    <w:rsid w:val="00F70347"/>
    <w:rsid w:val="00F70E93"/>
    <w:rsid w:val="00F71197"/>
    <w:rsid w:val="00F71A96"/>
    <w:rsid w:val="00F71E7E"/>
    <w:rsid w:val="00F71FF3"/>
    <w:rsid w:val="00F720A9"/>
    <w:rsid w:val="00F721B3"/>
    <w:rsid w:val="00F723DA"/>
    <w:rsid w:val="00F72CC0"/>
    <w:rsid w:val="00F733BD"/>
    <w:rsid w:val="00F74F3E"/>
    <w:rsid w:val="00F756C3"/>
    <w:rsid w:val="00F75860"/>
    <w:rsid w:val="00F75F56"/>
    <w:rsid w:val="00F7611F"/>
    <w:rsid w:val="00F765E8"/>
    <w:rsid w:val="00F77060"/>
    <w:rsid w:val="00F809BD"/>
    <w:rsid w:val="00F80D71"/>
    <w:rsid w:val="00F81225"/>
    <w:rsid w:val="00F816E4"/>
    <w:rsid w:val="00F8171C"/>
    <w:rsid w:val="00F8175D"/>
    <w:rsid w:val="00F81983"/>
    <w:rsid w:val="00F81AB2"/>
    <w:rsid w:val="00F821A7"/>
    <w:rsid w:val="00F82523"/>
    <w:rsid w:val="00F82582"/>
    <w:rsid w:val="00F82621"/>
    <w:rsid w:val="00F829F5"/>
    <w:rsid w:val="00F82A65"/>
    <w:rsid w:val="00F82E48"/>
    <w:rsid w:val="00F83AFB"/>
    <w:rsid w:val="00F83E1E"/>
    <w:rsid w:val="00F83E40"/>
    <w:rsid w:val="00F846F4"/>
    <w:rsid w:val="00F847F6"/>
    <w:rsid w:val="00F84CEE"/>
    <w:rsid w:val="00F84FD4"/>
    <w:rsid w:val="00F8565E"/>
    <w:rsid w:val="00F85D1D"/>
    <w:rsid w:val="00F85D58"/>
    <w:rsid w:val="00F86401"/>
    <w:rsid w:val="00F86C41"/>
    <w:rsid w:val="00F87945"/>
    <w:rsid w:val="00F8798F"/>
    <w:rsid w:val="00F87ADA"/>
    <w:rsid w:val="00F87CCD"/>
    <w:rsid w:val="00F87E8C"/>
    <w:rsid w:val="00F90069"/>
    <w:rsid w:val="00F9025C"/>
    <w:rsid w:val="00F90570"/>
    <w:rsid w:val="00F9073C"/>
    <w:rsid w:val="00F90B5D"/>
    <w:rsid w:val="00F90C52"/>
    <w:rsid w:val="00F90EB5"/>
    <w:rsid w:val="00F91974"/>
    <w:rsid w:val="00F91A26"/>
    <w:rsid w:val="00F91EE4"/>
    <w:rsid w:val="00F9208D"/>
    <w:rsid w:val="00F92201"/>
    <w:rsid w:val="00F92515"/>
    <w:rsid w:val="00F9271F"/>
    <w:rsid w:val="00F92EC9"/>
    <w:rsid w:val="00F93605"/>
    <w:rsid w:val="00F939CF"/>
    <w:rsid w:val="00F93FF7"/>
    <w:rsid w:val="00F9449D"/>
    <w:rsid w:val="00F94930"/>
    <w:rsid w:val="00F94E42"/>
    <w:rsid w:val="00F94E6C"/>
    <w:rsid w:val="00F94EB4"/>
    <w:rsid w:val="00F94F6A"/>
    <w:rsid w:val="00F95032"/>
    <w:rsid w:val="00F953B2"/>
    <w:rsid w:val="00F9576E"/>
    <w:rsid w:val="00F958B6"/>
    <w:rsid w:val="00F960F0"/>
    <w:rsid w:val="00F966F9"/>
    <w:rsid w:val="00F96832"/>
    <w:rsid w:val="00F96AE8"/>
    <w:rsid w:val="00F97220"/>
    <w:rsid w:val="00F972C4"/>
    <w:rsid w:val="00F97818"/>
    <w:rsid w:val="00F9783A"/>
    <w:rsid w:val="00F978A7"/>
    <w:rsid w:val="00F97A42"/>
    <w:rsid w:val="00FA043F"/>
    <w:rsid w:val="00FA0C95"/>
    <w:rsid w:val="00FA1151"/>
    <w:rsid w:val="00FA1319"/>
    <w:rsid w:val="00FA140F"/>
    <w:rsid w:val="00FA178B"/>
    <w:rsid w:val="00FA1806"/>
    <w:rsid w:val="00FA22BD"/>
    <w:rsid w:val="00FA22BF"/>
    <w:rsid w:val="00FA262E"/>
    <w:rsid w:val="00FA26A5"/>
    <w:rsid w:val="00FA2CD6"/>
    <w:rsid w:val="00FA34CD"/>
    <w:rsid w:val="00FA362D"/>
    <w:rsid w:val="00FA3BA2"/>
    <w:rsid w:val="00FA42A4"/>
    <w:rsid w:val="00FA43C9"/>
    <w:rsid w:val="00FA4650"/>
    <w:rsid w:val="00FA473D"/>
    <w:rsid w:val="00FA4C76"/>
    <w:rsid w:val="00FA4FEE"/>
    <w:rsid w:val="00FA50D1"/>
    <w:rsid w:val="00FA5A4A"/>
    <w:rsid w:val="00FA5A5E"/>
    <w:rsid w:val="00FA5C29"/>
    <w:rsid w:val="00FA5E5D"/>
    <w:rsid w:val="00FA6784"/>
    <w:rsid w:val="00FA7E25"/>
    <w:rsid w:val="00FB0DB4"/>
    <w:rsid w:val="00FB193C"/>
    <w:rsid w:val="00FB1C8A"/>
    <w:rsid w:val="00FB1E2D"/>
    <w:rsid w:val="00FB303B"/>
    <w:rsid w:val="00FB3696"/>
    <w:rsid w:val="00FB393F"/>
    <w:rsid w:val="00FB3A61"/>
    <w:rsid w:val="00FB40CF"/>
    <w:rsid w:val="00FB448D"/>
    <w:rsid w:val="00FB471D"/>
    <w:rsid w:val="00FB48DC"/>
    <w:rsid w:val="00FB4DE7"/>
    <w:rsid w:val="00FB539C"/>
    <w:rsid w:val="00FB5ADF"/>
    <w:rsid w:val="00FB5D5D"/>
    <w:rsid w:val="00FB604C"/>
    <w:rsid w:val="00FB665A"/>
    <w:rsid w:val="00FB6718"/>
    <w:rsid w:val="00FB6A8C"/>
    <w:rsid w:val="00FB6EF7"/>
    <w:rsid w:val="00FB7332"/>
    <w:rsid w:val="00FB78B7"/>
    <w:rsid w:val="00FC08DD"/>
    <w:rsid w:val="00FC0D60"/>
    <w:rsid w:val="00FC154D"/>
    <w:rsid w:val="00FC162D"/>
    <w:rsid w:val="00FC1735"/>
    <w:rsid w:val="00FC17FC"/>
    <w:rsid w:val="00FC2272"/>
    <w:rsid w:val="00FC287B"/>
    <w:rsid w:val="00FC2C16"/>
    <w:rsid w:val="00FC2E4B"/>
    <w:rsid w:val="00FC3147"/>
    <w:rsid w:val="00FC32DC"/>
    <w:rsid w:val="00FC35B4"/>
    <w:rsid w:val="00FC3BBF"/>
    <w:rsid w:val="00FC3D9D"/>
    <w:rsid w:val="00FC401A"/>
    <w:rsid w:val="00FC40E7"/>
    <w:rsid w:val="00FC439E"/>
    <w:rsid w:val="00FC4866"/>
    <w:rsid w:val="00FC546E"/>
    <w:rsid w:val="00FC5A0F"/>
    <w:rsid w:val="00FC68D2"/>
    <w:rsid w:val="00FC6AE3"/>
    <w:rsid w:val="00FC6F61"/>
    <w:rsid w:val="00FC6FD7"/>
    <w:rsid w:val="00FC77EB"/>
    <w:rsid w:val="00FC7C22"/>
    <w:rsid w:val="00FC7FA6"/>
    <w:rsid w:val="00FD011E"/>
    <w:rsid w:val="00FD0158"/>
    <w:rsid w:val="00FD0371"/>
    <w:rsid w:val="00FD082F"/>
    <w:rsid w:val="00FD091E"/>
    <w:rsid w:val="00FD0923"/>
    <w:rsid w:val="00FD1177"/>
    <w:rsid w:val="00FD12D2"/>
    <w:rsid w:val="00FD1373"/>
    <w:rsid w:val="00FD17DB"/>
    <w:rsid w:val="00FD1819"/>
    <w:rsid w:val="00FD1DD5"/>
    <w:rsid w:val="00FD2054"/>
    <w:rsid w:val="00FD2079"/>
    <w:rsid w:val="00FD26AF"/>
    <w:rsid w:val="00FD2873"/>
    <w:rsid w:val="00FD289F"/>
    <w:rsid w:val="00FD2943"/>
    <w:rsid w:val="00FD2A0F"/>
    <w:rsid w:val="00FD2CEE"/>
    <w:rsid w:val="00FD3218"/>
    <w:rsid w:val="00FD3801"/>
    <w:rsid w:val="00FD3E92"/>
    <w:rsid w:val="00FD3EC7"/>
    <w:rsid w:val="00FD4355"/>
    <w:rsid w:val="00FD540D"/>
    <w:rsid w:val="00FD5701"/>
    <w:rsid w:val="00FD574A"/>
    <w:rsid w:val="00FD5E93"/>
    <w:rsid w:val="00FD5EC6"/>
    <w:rsid w:val="00FD614F"/>
    <w:rsid w:val="00FD642B"/>
    <w:rsid w:val="00FD6950"/>
    <w:rsid w:val="00FD6A6A"/>
    <w:rsid w:val="00FD6B8D"/>
    <w:rsid w:val="00FD6F4D"/>
    <w:rsid w:val="00FD712E"/>
    <w:rsid w:val="00FE045C"/>
    <w:rsid w:val="00FE0564"/>
    <w:rsid w:val="00FE0679"/>
    <w:rsid w:val="00FE06AB"/>
    <w:rsid w:val="00FE071D"/>
    <w:rsid w:val="00FE095F"/>
    <w:rsid w:val="00FE0B84"/>
    <w:rsid w:val="00FE0B8C"/>
    <w:rsid w:val="00FE0BC8"/>
    <w:rsid w:val="00FE0FE8"/>
    <w:rsid w:val="00FE136B"/>
    <w:rsid w:val="00FE145C"/>
    <w:rsid w:val="00FE2012"/>
    <w:rsid w:val="00FE2879"/>
    <w:rsid w:val="00FE33FF"/>
    <w:rsid w:val="00FE3501"/>
    <w:rsid w:val="00FE381A"/>
    <w:rsid w:val="00FE413F"/>
    <w:rsid w:val="00FE4381"/>
    <w:rsid w:val="00FE4431"/>
    <w:rsid w:val="00FE541E"/>
    <w:rsid w:val="00FE6071"/>
    <w:rsid w:val="00FE60C9"/>
    <w:rsid w:val="00FE6C1B"/>
    <w:rsid w:val="00FE6C88"/>
    <w:rsid w:val="00FE6FE6"/>
    <w:rsid w:val="00FE702F"/>
    <w:rsid w:val="00FE717E"/>
    <w:rsid w:val="00FE74BD"/>
    <w:rsid w:val="00FE769D"/>
    <w:rsid w:val="00FE7C91"/>
    <w:rsid w:val="00FE7D4A"/>
    <w:rsid w:val="00FE7FD4"/>
    <w:rsid w:val="00FF00B8"/>
    <w:rsid w:val="00FF076F"/>
    <w:rsid w:val="00FF1DF8"/>
    <w:rsid w:val="00FF291B"/>
    <w:rsid w:val="00FF2C34"/>
    <w:rsid w:val="00FF32AC"/>
    <w:rsid w:val="00FF341B"/>
    <w:rsid w:val="00FF34C6"/>
    <w:rsid w:val="00FF3C4C"/>
    <w:rsid w:val="00FF3F8B"/>
    <w:rsid w:val="00FF3FA4"/>
    <w:rsid w:val="00FF4AE3"/>
    <w:rsid w:val="00FF589D"/>
    <w:rsid w:val="00FF5A73"/>
    <w:rsid w:val="00FF5E60"/>
    <w:rsid w:val="00FF5F15"/>
    <w:rsid w:val="00FF63CE"/>
    <w:rsid w:val="00FF6866"/>
    <w:rsid w:val="00FF6993"/>
    <w:rsid w:val="00FF75D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1E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E6B"/>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01122C"/>
    <w:pPr>
      <w:tabs>
        <w:tab w:val="right" w:leader="dot" w:pos="9061"/>
      </w:tabs>
      <w:ind w:firstLine="0"/>
      <w:jc w:val="left"/>
    </w:pPr>
    <w:rPr>
      <w:rFonts w:cs="Times New Roman"/>
      <w:noProof/>
      <w:szCs w:val="24"/>
    </w:rPr>
  </w:style>
  <w:style w:type="paragraph" w:styleId="T2">
    <w:name w:val="toc 2"/>
    <w:basedOn w:val="Normal"/>
    <w:next w:val="Normal"/>
    <w:autoRedefine/>
    <w:uiPriority w:val="39"/>
    <w:unhideWhenUsed/>
    <w:qFormat/>
    <w:rsid w:val="0001122C"/>
    <w:pPr>
      <w:tabs>
        <w:tab w:val="right" w:leader="dot" w:pos="9061"/>
      </w:tabs>
      <w:ind w:firstLine="0"/>
      <w:jc w:val="left"/>
    </w:pPr>
    <w:rPr>
      <w:rFonts w:cs="Times New Roman"/>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Table6Colorful1"/>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
    <w:name w:val="Liste Tablo 6 Renkli3"/>
    <w:basedOn w:val="NormalTablo"/>
    <w:next w:val="ListTable6Colorful1"/>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Table6Colorful1"/>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Table6Colorful1"/>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Table6Colorful1"/>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Table6Colorful1"/>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uiPriority w:val="59"/>
    <w:rsid w:val="007E55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8A6787"/>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8A6787"/>
    <w:rPr>
      <w:rFonts w:ascii="Times New Roman" w:eastAsia="Times New Roman" w:hAnsi="Times New Roman" w:cs="Times New Roman"/>
      <w:b/>
      <w:bCs/>
      <w:sz w:val="20"/>
      <w:szCs w:val="20"/>
      <w:lang w:eastAsia="tr-TR"/>
    </w:rPr>
  </w:style>
  <w:style w:type="paragraph" w:styleId="ResimYazs">
    <w:name w:val="caption"/>
    <w:basedOn w:val="Normal"/>
    <w:next w:val="Normal"/>
    <w:uiPriority w:val="35"/>
    <w:unhideWhenUsed/>
    <w:qFormat/>
    <w:rsid w:val="00653277"/>
    <w:pPr>
      <w:spacing w:after="200" w:line="240" w:lineRule="auto"/>
      <w:jc w:val="center"/>
    </w:pPr>
    <w:rPr>
      <w:b/>
      <w:bCs/>
      <w:color w:val="4F81BD" w:themeColor="accent1"/>
      <w:sz w:val="18"/>
      <w:szCs w:val="18"/>
    </w:rPr>
  </w:style>
  <w:style w:type="table" w:customStyle="1" w:styleId="TabloKlavuzu2">
    <w:name w:val="Tablo Kılavuzu2"/>
    <w:basedOn w:val="NormalTablo"/>
    <w:next w:val="TabloKlavuzu"/>
    <w:uiPriority w:val="39"/>
    <w:rsid w:val="009B2AA4"/>
    <w:pPr>
      <w:spacing w:after="0" w:line="240" w:lineRule="auto"/>
      <w:jc w:val="both"/>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30314B"/>
  </w:style>
  <w:style w:type="character" w:customStyle="1" w:styleId="metadata--source-title">
    <w:name w:val="metadata--source-title"/>
    <w:basedOn w:val="VarsaylanParagrafYazTipi"/>
    <w:rsid w:val="00B84BA1"/>
  </w:style>
  <w:style w:type="character" w:customStyle="1" w:styleId="button-link-text">
    <w:name w:val="button-link-text"/>
    <w:basedOn w:val="VarsaylanParagrafYazTipi"/>
    <w:rsid w:val="00F422F8"/>
  </w:style>
  <w:style w:type="character" w:customStyle="1" w:styleId="react-xocs-alternative-link">
    <w:name w:val="react-xocs-alternative-link"/>
    <w:basedOn w:val="VarsaylanParagrafYazTipi"/>
    <w:rsid w:val="00F422F8"/>
  </w:style>
  <w:style w:type="character" w:customStyle="1" w:styleId="given-name">
    <w:name w:val="given-name"/>
    <w:basedOn w:val="VarsaylanParagrafYazTipi"/>
    <w:rsid w:val="00F422F8"/>
  </w:style>
  <w:style w:type="character" w:customStyle="1" w:styleId="text">
    <w:name w:val="text"/>
    <w:basedOn w:val="VarsaylanParagrafYazTipi"/>
    <w:rsid w:val="00F422F8"/>
  </w:style>
  <w:style w:type="character" w:customStyle="1" w:styleId="author-ref">
    <w:name w:val="author-ref"/>
    <w:basedOn w:val="VarsaylanParagrafYazTipi"/>
    <w:rsid w:val="00F422F8"/>
  </w:style>
  <w:style w:type="paragraph" w:styleId="NormalWeb">
    <w:name w:val="Normal (Web)"/>
    <w:basedOn w:val="Normal"/>
    <w:uiPriority w:val="99"/>
    <w:unhideWhenUsed/>
    <w:rsid w:val="00710E3E"/>
    <w:pPr>
      <w:spacing w:before="100" w:beforeAutospacing="1" w:after="100" w:afterAutospacing="1" w:line="240" w:lineRule="auto"/>
      <w:ind w:firstLine="0"/>
      <w:jc w:val="left"/>
    </w:pPr>
    <w:rPr>
      <w:rFonts w:eastAsia="Times New Roman" w:cs="Times New Roman"/>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E6B"/>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01122C"/>
    <w:pPr>
      <w:tabs>
        <w:tab w:val="right" w:leader="dot" w:pos="9061"/>
      </w:tabs>
      <w:ind w:firstLine="0"/>
      <w:jc w:val="left"/>
    </w:pPr>
    <w:rPr>
      <w:rFonts w:cs="Times New Roman"/>
      <w:noProof/>
      <w:szCs w:val="24"/>
    </w:rPr>
  </w:style>
  <w:style w:type="paragraph" w:styleId="T2">
    <w:name w:val="toc 2"/>
    <w:basedOn w:val="Normal"/>
    <w:next w:val="Normal"/>
    <w:autoRedefine/>
    <w:uiPriority w:val="39"/>
    <w:unhideWhenUsed/>
    <w:qFormat/>
    <w:rsid w:val="0001122C"/>
    <w:pPr>
      <w:tabs>
        <w:tab w:val="right" w:leader="dot" w:pos="9061"/>
      </w:tabs>
      <w:ind w:firstLine="0"/>
      <w:jc w:val="left"/>
    </w:pPr>
    <w:rPr>
      <w:rFonts w:cs="Times New Roman"/>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Table6Colorful1"/>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
    <w:name w:val="Liste Tablo 6 Renkli3"/>
    <w:basedOn w:val="NormalTablo"/>
    <w:next w:val="ListTable6Colorful1"/>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Table6Colorful1"/>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Table6Colorful1"/>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Table6Colorful1"/>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Table6Colorful1"/>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uiPriority w:val="59"/>
    <w:rsid w:val="007E55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8A6787"/>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8A6787"/>
    <w:rPr>
      <w:rFonts w:ascii="Times New Roman" w:eastAsia="Times New Roman" w:hAnsi="Times New Roman" w:cs="Times New Roman"/>
      <w:b/>
      <w:bCs/>
      <w:sz w:val="20"/>
      <w:szCs w:val="20"/>
      <w:lang w:eastAsia="tr-TR"/>
    </w:rPr>
  </w:style>
  <w:style w:type="paragraph" w:styleId="ResimYazs">
    <w:name w:val="caption"/>
    <w:basedOn w:val="Normal"/>
    <w:next w:val="Normal"/>
    <w:uiPriority w:val="35"/>
    <w:unhideWhenUsed/>
    <w:qFormat/>
    <w:rsid w:val="00653277"/>
    <w:pPr>
      <w:spacing w:after="200" w:line="240" w:lineRule="auto"/>
      <w:jc w:val="center"/>
    </w:pPr>
    <w:rPr>
      <w:b/>
      <w:bCs/>
      <w:color w:val="4F81BD" w:themeColor="accent1"/>
      <w:sz w:val="18"/>
      <w:szCs w:val="18"/>
    </w:rPr>
  </w:style>
  <w:style w:type="table" w:customStyle="1" w:styleId="TabloKlavuzu2">
    <w:name w:val="Tablo Kılavuzu2"/>
    <w:basedOn w:val="NormalTablo"/>
    <w:next w:val="TabloKlavuzu"/>
    <w:uiPriority w:val="39"/>
    <w:rsid w:val="009B2AA4"/>
    <w:pPr>
      <w:spacing w:after="0" w:line="240" w:lineRule="auto"/>
      <w:jc w:val="both"/>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30314B"/>
  </w:style>
  <w:style w:type="character" w:customStyle="1" w:styleId="metadata--source-title">
    <w:name w:val="metadata--source-title"/>
    <w:basedOn w:val="VarsaylanParagrafYazTipi"/>
    <w:rsid w:val="00B84BA1"/>
  </w:style>
  <w:style w:type="character" w:customStyle="1" w:styleId="button-link-text">
    <w:name w:val="button-link-text"/>
    <w:basedOn w:val="VarsaylanParagrafYazTipi"/>
    <w:rsid w:val="00F422F8"/>
  </w:style>
  <w:style w:type="character" w:customStyle="1" w:styleId="react-xocs-alternative-link">
    <w:name w:val="react-xocs-alternative-link"/>
    <w:basedOn w:val="VarsaylanParagrafYazTipi"/>
    <w:rsid w:val="00F422F8"/>
  </w:style>
  <w:style w:type="character" w:customStyle="1" w:styleId="given-name">
    <w:name w:val="given-name"/>
    <w:basedOn w:val="VarsaylanParagrafYazTipi"/>
    <w:rsid w:val="00F422F8"/>
  </w:style>
  <w:style w:type="character" w:customStyle="1" w:styleId="text">
    <w:name w:val="text"/>
    <w:basedOn w:val="VarsaylanParagrafYazTipi"/>
    <w:rsid w:val="00F422F8"/>
  </w:style>
  <w:style w:type="character" w:customStyle="1" w:styleId="author-ref">
    <w:name w:val="author-ref"/>
    <w:basedOn w:val="VarsaylanParagrafYazTipi"/>
    <w:rsid w:val="00F422F8"/>
  </w:style>
  <w:style w:type="paragraph" w:styleId="NormalWeb">
    <w:name w:val="Normal (Web)"/>
    <w:basedOn w:val="Normal"/>
    <w:uiPriority w:val="99"/>
    <w:unhideWhenUsed/>
    <w:rsid w:val="00710E3E"/>
    <w:pPr>
      <w:spacing w:before="100" w:beforeAutospacing="1" w:after="100" w:afterAutospacing="1" w:line="240" w:lineRule="auto"/>
      <w:ind w:firstLine="0"/>
      <w:jc w:val="left"/>
    </w:pPr>
    <w:rPr>
      <w:rFonts w:eastAsia="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12836057">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03732411">
      <w:bodyDiv w:val="1"/>
      <w:marLeft w:val="0"/>
      <w:marRight w:val="0"/>
      <w:marTop w:val="0"/>
      <w:marBottom w:val="0"/>
      <w:divBdr>
        <w:top w:val="none" w:sz="0" w:space="0" w:color="auto"/>
        <w:left w:val="none" w:sz="0" w:space="0" w:color="auto"/>
        <w:bottom w:val="none" w:sz="0" w:space="0" w:color="auto"/>
        <w:right w:val="none" w:sz="0" w:space="0" w:color="auto"/>
      </w:divBdr>
    </w:div>
    <w:div w:id="621502943">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52596698">
      <w:bodyDiv w:val="1"/>
      <w:marLeft w:val="0"/>
      <w:marRight w:val="0"/>
      <w:marTop w:val="0"/>
      <w:marBottom w:val="0"/>
      <w:divBdr>
        <w:top w:val="none" w:sz="0" w:space="0" w:color="auto"/>
        <w:left w:val="none" w:sz="0" w:space="0" w:color="auto"/>
        <w:bottom w:val="none" w:sz="0" w:space="0" w:color="auto"/>
        <w:right w:val="none" w:sz="0" w:space="0" w:color="auto"/>
      </w:divBdr>
      <w:divsChild>
        <w:div w:id="1215777906">
          <w:marLeft w:val="0"/>
          <w:marRight w:val="0"/>
          <w:marTop w:val="150"/>
          <w:marBottom w:val="0"/>
          <w:divBdr>
            <w:top w:val="none" w:sz="0" w:space="0" w:color="auto"/>
            <w:left w:val="none" w:sz="0" w:space="0" w:color="auto"/>
            <w:bottom w:val="none" w:sz="0" w:space="0" w:color="auto"/>
            <w:right w:val="none" w:sz="0" w:space="0" w:color="auto"/>
          </w:divBdr>
          <w:divsChild>
            <w:div w:id="85800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01570843">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795225">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88383891">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CA0FC-7843-4C9E-A4F4-E9DADD1EA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32373</Words>
  <Characters>184527</Characters>
  <Application>Microsoft Office Word</Application>
  <DocSecurity>0</DocSecurity>
  <Lines>1537</Lines>
  <Paragraphs>432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216468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Windows Kullanıcısı</cp:lastModifiedBy>
  <cp:revision>2</cp:revision>
  <cp:lastPrinted>2023-08-07T07:25:00Z</cp:lastPrinted>
  <dcterms:created xsi:type="dcterms:W3CDTF">2023-08-19T15:31:00Z</dcterms:created>
  <dcterms:modified xsi:type="dcterms:W3CDTF">2023-08-19T15:31:00Z</dcterms:modified>
</cp:coreProperties>
</file>