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55F" w:rsidRDefault="00A649A4" w:rsidP="00846244">
      <w:pPr>
        <w:jc w:val="center"/>
        <w:rPr>
          <w:b/>
          <w:bCs/>
          <w:sz w:val="28"/>
          <w:szCs w:val="28"/>
        </w:rPr>
      </w:pPr>
      <w:bookmarkStart w:id="0" w:name="_Toc80041059"/>
      <w:r>
        <w:rPr>
          <w:b/>
          <w:bCs/>
          <w:noProof/>
          <w:sz w:val="28"/>
          <w:szCs w:val="28"/>
          <w:lang w:eastAsia="tr-TR"/>
        </w:rPr>
        <w:drawing>
          <wp:inline distT="0" distB="0" distL="0" distR="0" wp14:anchorId="05127187" wp14:editId="2F9A027D">
            <wp:extent cx="1327785" cy="1336040"/>
            <wp:effectExtent l="0" t="0" r="5715" b="0"/>
            <wp:docPr id="3" name="Resim 1" descr="adu_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_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7785" cy="1336040"/>
                    </a:xfrm>
                    <a:prstGeom prst="rect">
                      <a:avLst/>
                    </a:prstGeom>
                    <a:noFill/>
                    <a:ln>
                      <a:noFill/>
                    </a:ln>
                  </pic:spPr>
                </pic:pic>
              </a:graphicData>
            </a:graphic>
          </wp:inline>
        </w:drawing>
      </w:r>
    </w:p>
    <w:p w:rsidR="00003895" w:rsidRDefault="00003895" w:rsidP="003B439C">
      <w:pPr>
        <w:jc w:val="center"/>
        <w:rPr>
          <w:b/>
          <w:bCs/>
        </w:rPr>
      </w:pPr>
    </w:p>
    <w:p w:rsidR="0044255F" w:rsidRPr="00785ECE" w:rsidRDefault="0044255F" w:rsidP="003B439C">
      <w:pPr>
        <w:jc w:val="center"/>
        <w:rPr>
          <w:b/>
          <w:bCs/>
        </w:rPr>
      </w:pPr>
      <w:r w:rsidRPr="00785ECE">
        <w:rPr>
          <w:b/>
          <w:bCs/>
        </w:rPr>
        <w:t>T.C.</w:t>
      </w:r>
    </w:p>
    <w:p w:rsidR="0044255F" w:rsidRPr="00785ECE" w:rsidRDefault="0044255F" w:rsidP="003B439C">
      <w:pPr>
        <w:jc w:val="center"/>
        <w:rPr>
          <w:b/>
          <w:bCs/>
        </w:rPr>
      </w:pPr>
      <w:r w:rsidRPr="00785ECE">
        <w:rPr>
          <w:b/>
          <w:bCs/>
        </w:rPr>
        <w:t>ADNAN MENDERES ÜNİVERSİTESİ</w:t>
      </w:r>
    </w:p>
    <w:p w:rsidR="0044255F" w:rsidRPr="00785ECE" w:rsidRDefault="0044255F" w:rsidP="003B439C">
      <w:pPr>
        <w:jc w:val="center"/>
        <w:rPr>
          <w:b/>
          <w:bCs/>
        </w:rPr>
      </w:pPr>
      <w:r w:rsidRPr="00785ECE">
        <w:rPr>
          <w:b/>
          <w:bCs/>
        </w:rPr>
        <w:t>SOSYAL BİLİMLER ENSTİTÜSÜ</w:t>
      </w:r>
    </w:p>
    <w:p w:rsidR="0044255F" w:rsidRPr="00785ECE" w:rsidRDefault="0044255F" w:rsidP="003B439C">
      <w:pPr>
        <w:jc w:val="center"/>
        <w:rPr>
          <w:b/>
          <w:bCs/>
        </w:rPr>
      </w:pPr>
      <w:r w:rsidRPr="00785ECE">
        <w:rPr>
          <w:b/>
          <w:bCs/>
        </w:rPr>
        <w:t>İKTİSAT ANABİLİM DALI</w:t>
      </w:r>
    </w:p>
    <w:p w:rsidR="0044255F" w:rsidRDefault="0044255F" w:rsidP="003B439C">
      <w:pPr>
        <w:jc w:val="center"/>
        <w:rPr>
          <w:b/>
          <w:bCs/>
        </w:rPr>
      </w:pPr>
      <w:r w:rsidRPr="00785ECE">
        <w:rPr>
          <w:b/>
          <w:bCs/>
        </w:rPr>
        <w:t>İK</w:t>
      </w:r>
      <w:r w:rsidR="00D31864">
        <w:rPr>
          <w:b/>
          <w:bCs/>
        </w:rPr>
        <w:t>T - DR - 2014 -</w:t>
      </w:r>
      <w:r w:rsidR="0075220D">
        <w:rPr>
          <w:b/>
          <w:bCs/>
        </w:rPr>
        <w:t xml:space="preserve"> 0002</w:t>
      </w:r>
    </w:p>
    <w:p w:rsidR="0044255F" w:rsidRDefault="0044255F" w:rsidP="00553D31">
      <w:pPr>
        <w:jc w:val="center"/>
        <w:rPr>
          <w:b/>
          <w:bCs/>
        </w:rPr>
      </w:pPr>
    </w:p>
    <w:p w:rsidR="0069755B" w:rsidRDefault="0069755B" w:rsidP="00553D31">
      <w:pPr>
        <w:jc w:val="center"/>
        <w:rPr>
          <w:b/>
          <w:bCs/>
        </w:rPr>
      </w:pPr>
    </w:p>
    <w:p w:rsidR="0069755B" w:rsidRDefault="0069755B" w:rsidP="00553D31">
      <w:pPr>
        <w:jc w:val="center"/>
        <w:rPr>
          <w:b/>
          <w:bCs/>
        </w:rPr>
      </w:pPr>
    </w:p>
    <w:p w:rsidR="0044255F" w:rsidRDefault="0044255F" w:rsidP="00553D31">
      <w:pPr>
        <w:jc w:val="center"/>
        <w:rPr>
          <w:b/>
          <w:bCs/>
        </w:rPr>
      </w:pPr>
    </w:p>
    <w:p w:rsidR="0044255F" w:rsidRDefault="0044255F" w:rsidP="00553D31">
      <w:pPr>
        <w:jc w:val="center"/>
        <w:rPr>
          <w:b/>
          <w:bCs/>
        </w:rPr>
      </w:pPr>
    </w:p>
    <w:p w:rsidR="0044255F" w:rsidRDefault="0044255F" w:rsidP="00553D31">
      <w:pPr>
        <w:jc w:val="center"/>
        <w:rPr>
          <w:b/>
          <w:bCs/>
        </w:rPr>
      </w:pPr>
    </w:p>
    <w:p w:rsidR="0069755B" w:rsidRDefault="0069755B" w:rsidP="00553D31">
      <w:pPr>
        <w:jc w:val="center"/>
        <w:rPr>
          <w:b/>
          <w:bCs/>
        </w:rPr>
      </w:pPr>
    </w:p>
    <w:p w:rsidR="0044255F" w:rsidRDefault="0044255F" w:rsidP="00553D31">
      <w:pPr>
        <w:jc w:val="center"/>
        <w:rPr>
          <w:b/>
          <w:bCs/>
        </w:rPr>
      </w:pPr>
    </w:p>
    <w:p w:rsidR="0044255F" w:rsidRDefault="003463A8" w:rsidP="006177CF">
      <w:pPr>
        <w:spacing w:line="360" w:lineRule="auto"/>
        <w:jc w:val="center"/>
        <w:rPr>
          <w:b/>
          <w:bCs/>
          <w:sz w:val="32"/>
          <w:szCs w:val="32"/>
        </w:rPr>
      </w:pPr>
      <w:bookmarkStart w:id="1" w:name="OLE_LINK7"/>
      <w:bookmarkStart w:id="2" w:name="OLE_LINK8"/>
      <w:bookmarkStart w:id="3" w:name="OLE_LINK11"/>
      <w:r>
        <w:rPr>
          <w:b/>
          <w:bCs/>
          <w:sz w:val="32"/>
          <w:szCs w:val="32"/>
        </w:rPr>
        <w:t>SERA GAZI</w:t>
      </w:r>
      <w:r w:rsidR="00F33D19">
        <w:rPr>
          <w:b/>
          <w:bCs/>
          <w:sz w:val="32"/>
          <w:szCs w:val="32"/>
        </w:rPr>
        <w:t xml:space="preserve"> </w:t>
      </w:r>
      <w:r w:rsidR="006E2676">
        <w:rPr>
          <w:b/>
          <w:bCs/>
          <w:sz w:val="32"/>
          <w:szCs w:val="32"/>
        </w:rPr>
        <w:t>EMİSYONLARI</w:t>
      </w:r>
      <w:r w:rsidR="00F33D19">
        <w:rPr>
          <w:b/>
          <w:bCs/>
          <w:sz w:val="32"/>
          <w:szCs w:val="32"/>
        </w:rPr>
        <w:t>NIN MAKRO</w:t>
      </w:r>
      <w:r w:rsidR="0044255F" w:rsidRPr="00FC2F31">
        <w:rPr>
          <w:b/>
          <w:bCs/>
          <w:sz w:val="32"/>
          <w:szCs w:val="32"/>
        </w:rPr>
        <w:t>EKONOMİK DEĞİŞKENLER</w:t>
      </w:r>
      <w:r w:rsidR="00235295">
        <w:rPr>
          <w:b/>
          <w:bCs/>
          <w:sz w:val="32"/>
          <w:szCs w:val="32"/>
        </w:rPr>
        <w:t>LE</w:t>
      </w:r>
      <w:r w:rsidR="005C54EA">
        <w:rPr>
          <w:b/>
          <w:bCs/>
          <w:sz w:val="32"/>
          <w:szCs w:val="32"/>
        </w:rPr>
        <w:t xml:space="preserve"> </w:t>
      </w:r>
      <w:r w:rsidR="001E5DF3">
        <w:rPr>
          <w:b/>
          <w:bCs/>
          <w:sz w:val="32"/>
          <w:szCs w:val="32"/>
        </w:rPr>
        <w:t>İLİŞKİSİ</w:t>
      </w:r>
      <w:r w:rsidR="0044255F" w:rsidRPr="00FC2F31">
        <w:rPr>
          <w:b/>
          <w:bCs/>
          <w:sz w:val="32"/>
          <w:szCs w:val="32"/>
        </w:rPr>
        <w:t>: OECD ÜLKELERİ İÇİN PANEL VERİ ANALİZİ</w:t>
      </w:r>
    </w:p>
    <w:bookmarkEnd w:id="1"/>
    <w:bookmarkEnd w:id="2"/>
    <w:bookmarkEnd w:id="3"/>
    <w:p w:rsidR="0044255F" w:rsidRPr="00553D31" w:rsidRDefault="0044255F" w:rsidP="00553D31">
      <w:pPr>
        <w:jc w:val="center"/>
        <w:rPr>
          <w:b/>
          <w:bCs/>
        </w:rPr>
      </w:pPr>
    </w:p>
    <w:p w:rsidR="0044255F" w:rsidRPr="00553D31" w:rsidRDefault="0044255F" w:rsidP="00553D31">
      <w:pPr>
        <w:jc w:val="center"/>
        <w:rPr>
          <w:b/>
          <w:bCs/>
        </w:rPr>
      </w:pPr>
    </w:p>
    <w:p w:rsidR="0044255F" w:rsidRDefault="0044255F" w:rsidP="00553D31">
      <w:pPr>
        <w:jc w:val="center"/>
        <w:rPr>
          <w:b/>
          <w:bCs/>
        </w:rPr>
      </w:pPr>
    </w:p>
    <w:p w:rsidR="00553D31" w:rsidRDefault="00553D31" w:rsidP="00553D31">
      <w:pPr>
        <w:jc w:val="center"/>
        <w:rPr>
          <w:b/>
          <w:bCs/>
        </w:rPr>
      </w:pPr>
    </w:p>
    <w:p w:rsidR="00553D31" w:rsidRPr="00553D31" w:rsidRDefault="00553D31" w:rsidP="00553D31">
      <w:pPr>
        <w:jc w:val="center"/>
        <w:rPr>
          <w:b/>
          <w:bCs/>
        </w:rPr>
      </w:pPr>
    </w:p>
    <w:p w:rsidR="0044255F" w:rsidRPr="00553D31" w:rsidRDefault="0044255F" w:rsidP="00553D31">
      <w:pPr>
        <w:jc w:val="center"/>
        <w:rPr>
          <w:b/>
          <w:bCs/>
        </w:rPr>
      </w:pPr>
    </w:p>
    <w:p w:rsidR="0044255F" w:rsidRPr="00553D31" w:rsidRDefault="0044255F" w:rsidP="00553D31">
      <w:pPr>
        <w:jc w:val="center"/>
        <w:rPr>
          <w:b/>
          <w:bCs/>
        </w:rPr>
      </w:pPr>
    </w:p>
    <w:p w:rsidR="00005278" w:rsidRPr="00974C10" w:rsidRDefault="0044255F" w:rsidP="00003895">
      <w:pPr>
        <w:spacing w:after="120"/>
        <w:jc w:val="center"/>
        <w:rPr>
          <w:b/>
          <w:bCs/>
        </w:rPr>
      </w:pPr>
      <w:r w:rsidRPr="00974C10">
        <w:rPr>
          <w:b/>
          <w:bCs/>
        </w:rPr>
        <w:t>HAZIRLAYAN</w:t>
      </w:r>
    </w:p>
    <w:p w:rsidR="0044255F" w:rsidRDefault="0044255F" w:rsidP="00003895">
      <w:pPr>
        <w:spacing w:after="120"/>
        <w:jc w:val="center"/>
        <w:rPr>
          <w:b/>
          <w:bCs/>
        </w:rPr>
      </w:pPr>
      <w:r>
        <w:rPr>
          <w:b/>
          <w:bCs/>
        </w:rPr>
        <w:t>Mehmet Metin DAM</w:t>
      </w:r>
    </w:p>
    <w:p w:rsidR="0044255F" w:rsidRDefault="0044255F" w:rsidP="00785ECE">
      <w:pPr>
        <w:jc w:val="center"/>
        <w:rPr>
          <w:b/>
          <w:bCs/>
        </w:rPr>
      </w:pPr>
    </w:p>
    <w:p w:rsidR="0044255F" w:rsidRDefault="0044255F" w:rsidP="00785ECE">
      <w:pPr>
        <w:jc w:val="center"/>
        <w:rPr>
          <w:b/>
          <w:bCs/>
        </w:rPr>
      </w:pPr>
    </w:p>
    <w:p w:rsidR="0044255F" w:rsidRDefault="0044255F" w:rsidP="00785ECE">
      <w:pPr>
        <w:jc w:val="center"/>
        <w:rPr>
          <w:b/>
          <w:bCs/>
        </w:rPr>
      </w:pPr>
    </w:p>
    <w:p w:rsidR="00005278" w:rsidRDefault="0044255F" w:rsidP="00003895">
      <w:pPr>
        <w:spacing w:after="120"/>
        <w:jc w:val="center"/>
        <w:rPr>
          <w:b/>
          <w:bCs/>
        </w:rPr>
      </w:pPr>
      <w:r>
        <w:rPr>
          <w:b/>
          <w:bCs/>
        </w:rPr>
        <w:t>TEZ DANIŞMANI</w:t>
      </w:r>
    </w:p>
    <w:p w:rsidR="0044255F" w:rsidRDefault="00200BB5" w:rsidP="00003895">
      <w:pPr>
        <w:spacing w:after="120"/>
        <w:jc w:val="center"/>
        <w:rPr>
          <w:b/>
          <w:bCs/>
        </w:rPr>
      </w:pPr>
      <w:r>
        <w:rPr>
          <w:b/>
          <w:bCs/>
        </w:rPr>
        <w:t>Doç</w:t>
      </w:r>
      <w:r w:rsidR="0044255F">
        <w:rPr>
          <w:b/>
          <w:bCs/>
        </w:rPr>
        <w:t>.</w:t>
      </w:r>
      <w:r w:rsidR="002C05EC">
        <w:rPr>
          <w:b/>
          <w:bCs/>
        </w:rPr>
        <w:t xml:space="preserve"> </w:t>
      </w:r>
      <w:r w:rsidR="0044255F">
        <w:rPr>
          <w:b/>
          <w:bCs/>
        </w:rPr>
        <w:t>Dr. Etem KARAKAYA</w:t>
      </w:r>
    </w:p>
    <w:p w:rsidR="0044255F" w:rsidRDefault="0044255F" w:rsidP="00785ECE">
      <w:pPr>
        <w:jc w:val="center"/>
        <w:rPr>
          <w:b/>
          <w:bCs/>
        </w:rPr>
      </w:pPr>
    </w:p>
    <w:p w:rsidR="0044255F" w:rsidRDefault="0044255F" w:rsidP="00785ECE">
      <w:pPr>
        <w:jc w:val="center"/>
        <w:rPr>
          <w:b/>
          <w:bCs/>
        </w:rPr>
      </w:pPr>
    </w:p>
    <w:p w:rsidR="0044255F" w:rsidRDefault="0044255F" w:rsidP="00785ECE">
      <w:pPr>
        <w:jc w:val="center"/>
        <w:rPr>
          <w:b/>
          <w:bCs/>
        </w:rPr>
      </w:pPr>
    </w:p>
    <w:p w:rsidR="0044255F" w:rsidRDefault="0044255F" w:rsidP="00785ECE">
      <w:pPr>
        <w:jc w:val="center"/>
        <w:rPr>
          <w:b/>
          <w:bCs/>
        </w:rPr>
      </w:pPr>
    </w:p>
    <w:p w:rsidR="0044255F" w:rsidRDefault="0044255F" w:rsidP="00785ECE">
      <w:pPr>
        <w:jc w:val="center"/>
        <w:rPr>
          <w:b/>
          <w:bCs/>
        </w:rPr>
      </w:pPr>
    </w:p>
    <w:p w:rsidR="0044255F" w:rsidRDefault="0044255F" w:rsidP="00846244">
      <w:pPr>
        <w:jc w:val="center"/>
        <w:rPr>
          <w:b/>
          <w:bCs/>
        </w:rPr>
      </w:pPr>
    </w:p>
    <w:p w:rsidR="0044255F" w:rsidRDefault="00553D31" w:rsidP="00846244">
      <w:pPr>
        <w:jc w:val="center"/>
        <w:rPr>
          <w:b/>
          <w:bCs/>
        </w:rPr>
        <w:sectPr w:rsidR="0044255F" w:rsidSect="008522AA">
          <w:headerReference w:type="default" r:id="rId10"/>
          <w:footerReference w:type="default" r:id="rId11"/>
          <w:pgSz w:w="11906" w:h="16838"/>
          <w:pgMar w:top="1701" w:right="1134" w:bottom="1134" w:left="2268" w:header="709" w:footer="709" w:gutter="0"/>
          <w:pgNumType w:fmt="lowerRoman" w:start="1"/>
          <w:cols w:space="708"/>
          <w:titlePg/>
          <w:docGrid w:linePitch="360"/>
        </w:sectPr>
      </w:pPr>
      <w:r>
        <w:rPr>
          <w:b/>
          <w:bCs/>
        </w:rPr>
        <w:t>AYDIN</w:t>
      </w:r>
      <w:r w:rsidR="00FA23CB">
        <w:rPr>
          <w:b/>
          <w:bCs/>
        </w:rPr>
        <w:t>- 2014</w:t>
      </w:r>
    </w:p>
    <w:p w:rsidR="0044255F" w:rsidRPr="00785ECE" w:rsidRDefault="0044255F" w:rsidP="00C05AB9">
      <w:pPr>
        <w:jc w:val="center"/>
        <w:rPr>
          <w:b/>
          <w:bCs/>
        </w:rPr>
      </w:pPr>
      <w:r w:rsidRPr="00785ECE">
        <w:rPr>
          <w:b/>
          <w:bCs/>
        </w:rPr>
        <w:lastRenderedPageBreak/>
        <w:t>T.C.</w:t>
      </w:r>
    </w:p>
    <w:p w:rsidR="0044255F" w:rsidRPr="00785ECE" w:rsidRDefault="0044255F" w:rsidP="00C05AB9">
      <w:pPr>
        <w:jc w:val="center"/>
        <w:rPr>
          <w:b/>
          <w:bCs/>
        </w:rPr>
      </w:pPr>
      <w:r w:rsidRPr="00785ECE">
        <w:rPr>
          <w:b/>
          <w:bCs/>
        </w:rPr>
        <w:t>ADNAN MENDERES ÜNİVERSİTESİ</w:t>
      </w:r>
    </w:p>
    <w:p w:rsidR="0044255F" w:rsidRPr="00785ECE" w:rsidRDefault="0044255F" w:rsidP="00C05AB9">
      <w:pPr>
        <w:jc w:val="center"/>
        <w:rPr>
          <w:b/>
          <w:bCs/>
        </w:rPr>
      </w:pPr>
      <w:r w:rsidRPr="00785ECE">
        <w:rPr>
          <w:b/>
          <w:bCs/>
        </w:rPr>
        <w:t>SOSYAL BİLİMLER ENSTİTÜSÜ</w:t>
      </w:r>
    </w:p>
    <w:p w:rsidR="0044255F" w:rsidRPr="00785ECE" w:rsidRDefault="0044255F" w:rsidP="00C05AB9">
      <w:pPr>
        <w:jc w:val="center"/>
        <w:rPr>
          <w:b/>
          <w:bCs/>
        </w:rPr>
      </w:pPr>
      <w:r w:rsidRPr="00785ECE">
        <w:rPr>
          <w:b/>
          <w:bCs/>
        </w:rPr>
        <w:t>İKTİSAT ANABİLİM DALI</w:t>
      </w:r>
    </w:p>
    <w:p w:rsidR="0044255F" w:rsidRDefault="0044255F" w:rsidP="00C05AB9">
      <w:pPr>
        <w:jc w:val="center"/>
        <w:rPr>
          <w:b/>
          <w:bCs/>
        </w:rPr>
      </w:pPr>
      <w:r w:rsidRPr="00785ECE">
        <w:rPr>
          <w:b/>
          <w:bCs/>
        </w:rPr>
        <w:t>İK</w:t>
      </w:r>
      <w:r w:rsidR="0075220D">
        <w:rPr>
          <w:b/>
          <w:bCs/>
        </w:rPr>
        <w:t>T - DR - 2014 - 0002</w:t>
      </w:r>
    </w:p>
    <w:p w:rsidR="0044255F" w:rsidRDefault="0044255F" w:rsidP="00C05AB9">
      <w:pPr>
        <w:jc w:val="center"/>
        <w:rPr>
          <w:b/>
          <w:bCs/>
        </w:rPr>
      </w:pPr>
    </w:p>
    <w:p w:rsidR="00C05AB9" w:rsidRDefault="00C05AB9" w:rsidP="00C05AB9">
      <w:pPr>
        <w:jc w:val="center"/>
        <w:rPr>
          <w:b/>
          <w:bCs/>
        </w:rPr>
      </w:pPr>
    </w:p>
    <w:p w:rsidR="00C05AB9" w:rsidRDefault="00C05AB9" w:rsidP="00C05AB9">
      <w:pPr>
        <w:jc w:val="center"/>
        <w:rPr>
          <w:b/>
          <w:bCs/>
        </w:rPr>
      </w:pPr>
    </w:p>
    <w:p w:rsidR="00C05AB9" w:rsidRDefault="00C05AB9" w:rsidP="00C05AB9">
      <w:pPr>
        <w:jc w:val="center"/>
        <w:rPr>
          <w:b/>
          <w:bCs/>
        </w:rPr>
      </w:pPr>
    </w:p>
    <w:p w:rsidR="00C05AB9" w:rsidRDefault="00C05AB9" w:rsidP="00C05AB9">
      <w:pPr>
        <w:jc w:val="center"/>
        <w:rPr>
          <w:b/>
          <w:bCs/>
        </w:rPr>
      </w:pPr>
    </w:p>
    <w:p w:rsidR="00C05AB9" w:rsidRDefault="00C05AB9" w:rsidP="00C05AB9">
      <w:pPr>
        <w:jc w:val="center"/>
        <w:rPr>
          <w:b/>
          <w:bCs/>
        </w:rPr>
      </w:pPr>
    </w:p>
    <w:p w:rsidR="00C05AB9" w:rsidRDefault="00C05AB9" w:rsidP="00C05AB9">
      <w:pPr>
        <w:jc w:val="center"/>
        <w:rPr>
          <w:b/>
          <w:bCs/>
        </w:rPr>
      </w:pPr>
    </w:p>
    <w:p w:rsidR="0044255F" w:rsidRDefault="0044255F" w:rsidP="00C05AB9">
      <w:pPr>
        <w:jc w:val="center"/>
        <w:rPr>
          <w:b/>
          <w:bCs/>
        </w:rPr>
      </w:pPr>
    </w:p>
    <w:p w:rsidR="00BD7589" w:rsidRDefault="00BD7589" w:rsidP="00C05AB9">
      <w:pPr>
        <w:spacing w:line="360" w:lineRule="auto"/>
        <w:jc w:val="center"/>
        <w:rPr>
          <w:b/>
          <w:bCs/>
          <w:sz w:val="32"/>
          <w:szCs w:val="32"/>
        </w:rPr>
      </w:pPr>
      <w:bookmarkStart w:id="4" w:name="OLE_LINK9"/>
      <w:bookmarkStart w:id="5" w:name="OLE_LINK10"/>
      <w:r w:rsidRPr="00BD7589">
        <w:rPr>
          <w:b/>
          <w:bCs/>
          <w:sz w:val="32"/>
          <w:szCs w:val="32"/>
        </w:rPr>
        <w:t>SERA GAZI EMİSYONLARININ MAKROEKONOMİK DEĞİŞKENLERLE İLİŞKİSİ: OECD ÜLKELERİ İÇİN PANEL VERİ ANALİZİ</w:t>
      </w:r>
    </w:p>
    <w:bookmarkEnd w:id="4"/>
    <w:bookmarkEnd w:id="5"/>
    <w:p w:rsidR="0044255F" w:rsidRDefault="0044255F" w:rsidP="00C05AB9">
      <w:pPr>
        <w:jc w:val="center"/>
        <w:rPr>
          <w:b/>
          <w:bCs/>
          <w:sz w:val="28"/>
          <w:szCs w:val="28"/>
        </w:rPr>
      </w:pPr>
    </w:p>
    <w:p w:rsidR="0044255F" w:rsidRDefault="0044255F" w:rsidP="00C05AB9">
      <w:pPr>
        <w:jc w:val="center"/>
        <w:rPr>
          <w:b/>
          <w:bCs/>
          <w:sz w:val="28"/>
          <w:szCs w:val="28"/>
        </w:rPr>
      </w:pPr>
    </w:p>
    <w:p w:rsidR="0044255F" w:rsidRDefault="0044255F" w:rsidP="00C05AB9">
      <w:pPr>
        <w:jc w:val="center"/>
        <w:rPr>
          <w:b/>
          <w:bCs/>
          <w:sz w:val="28"/>
          <w:szCs w:val="28"/>
        </w:rPr>
      </w:pPr>
    </w:p>
    <w:p w:rsidR="0044255F" w:rsidRDefault="0044255F" w:rsidP="00C05AB9">
      <w:pPr>
        <w:jc w:val="center"/>
        <w:rPr>
          <w:b/>
          <w:bCs/>
          <w:sz w:val="28"/>
          <w:szCs w:val="28"/>
        </w:rPr>
      </w:pPr>
    </w:p>
    <w:p w:rsidR="0044255F" w:rsidRDefault="0044255F" w:rsidP="00C05AB9">
      <w:pPr>
        <w:jc w:val="center"/>
        <w:rPr>
          <w:b/>
          <w:bCs/>
          <w:sz w:val="28"/>
          <w:szCs w:val="28"/>
        </w:rPr>
      </w:pPr>
    </w:p>
    <w:p w:rsidR="0044255F" w:rsidRDefault="0044255F" w:rsidP="00C05AB9">
      <w:pPr>
        <w:jc w:val="center"/>
        <w:rPr>
          <w:b/>
          <w:bCs/>
          <w:sz w:val="28"/>
          <w:szCs w:val="28"/>
        </w:rPr>
      </w:pPr>
    </w:p>
    <w:p w:rsidR="0044255F" w:rsidRDefault="0044255F" w:rsidP="00C05AB9">
      <w:pPr>
        <w:jc w:val="center"/>
        <w:rPr>
          <w:b/>
          <w:bCs/>
          <w:sz w:val="28"/>
          <w:szCs w:val="28"/>
        </w:rPr>
      </w:pPr>
    </w:p>
    <w:p w:rsidR="006177CF" w:rsidRDefault="0044255F" w:rsidP="00E50775">
      <w:pPr>
        <w:spacing w:after="120"/>
        <w:jc w:val="center"/>
        <w:rPr>
          <w:b/>
          <w:bCs/>
        </w:rPr>
      </w:pPr>
      <w:r w:rsidRPr="00974C10">
        <w:rPr>
          <w:b/>
          <w:bCs/>
        </w:rPr>
        <w:t>HAZIRLAYAN</w:t>
      </w:r>
    </w:p>
    <w:p w:rsidR="0044255F" w:rsidRDefault="0044255F" w:rsidP="00E50775">
      <w:pPr>
        <w:spacing w:after="120"/>
        <w:jc w:val="center"/>
        <w:rPr>
          <w:b/>
          <w:bCs/>
        </w:rPr>
      </w:pPr>
      <w:r>
        <w:rPr>
          <w:b/>
          <w:bCs/>
        </w:rPr>
        <w:t>Mehmet Metin DAM</w:t>
      </w:r>
    </w:p>
    <w:p w:rsidR="0044255F" w:rsidRDefault="0044255F" w:rsidP="00C05AB9">
      <w:pPr>
        <w:jc w:val="center"/>
        <w:rPr>
          <w:b/>
          <w:bCs/>
        </w:rPr>
      </w:pPr>
    </w:p>
    <w:p w:rsidR="0044255F" w:rsidRDefault="0044255F" w:rsidP="00C05AB9">
      <w:pPr>
        <w:jc w:val="center"/>
        <w:rPr>
          <w:b/>
          <w:bCs/>
        </w:rPr>
      </w:pPr>
    </w:p>
    <w:p w:rsidR="004D79FE" w:rsidRDefault="004D79FE" w:rsidP="00C05AB9">
      <w:pPr>
        <w:jc w:val="center"/>
        <w:rPr>
          <w:b/>
          <w:bCs/>
        </w:rPr>
      </w:pPr>
    </w:p>
    <w:p w:rsidR="006177CF" w:rsidRDefault="0044255F" w:rsidP="00E50775">
      <w:pPr>
        <w:spacing w:after="120"/>
        <w:jc w:val="center"/>
        <w:rPr>
          <w:b/>
          <w:bCs/>
        </w:rPr>
      </w:pPr>
      <w:r>
        <w:rPr>
          <w:b/>
          <w:bCs/>
        </w:rPr>
        <w:t>TEZ DANIŞMANI</w:t>
      </w:r>
    </w:p>
    <w:p w:rsidR="0044255F" w:rsidRDefault="009F2E96" w:rsidP="00E50775">
      <w:pPr>
        <w:spacing w:after="120"/>
        <w:jc w:val="center"/>
        <w:rPr>
          <w:b/>
          <w:bCs/>
        </w:rPr>
      </w:pPr>
      <w:r>
        <w:rPr>
          <w:b/>
          <w:bCs/>
        </w:rPr>
        <w:t>Doç</w:t>
      </w:r>
      <w:r w:rsidR="0044255F">
        <w:rPr>
          <w:b/>
          <w:bCs/>
        </w:rPr>
        <w:t>.</w:t>
      </w:r>
      <w:r w:rsidR="002C05EC">
        <w:rPr>
          <w:b/>
          <w:bCs/>
        </w:rPr>
        <w:t xml:space="preserve"> </w:t>
      </w:r>
      <w:r w:rsidR="0044255F">
        <w:rPr>
          <w:b/>
          <w:bCs/>
        </w:rPr>
        <w:t>Dr. Etem KARAKAYA</w:t>
      </w:r>
    </w:p>
    <w:p w:rsidR="0044255F" w:rsidRDefault="0044255F" w:rsidP="00C05AB9">
      <w:pPr>
        <w:jc w:val="center"/>
        <w:rPr>
          <w:b/>
          <w:bCs/>
        </w:rPr>
      </w:pPr>
    </w:p>
    <w:p w:rsidR="0044255F" w:rsidRDefault="0044255F" w:rsidP="00C05AB9">
      <w:pPr>
        <w:jc w:val="center"/>
        <w:rPr>
          <w:b/>
          <w:bCs/>
        </w:rPr>
      </w:pPr>
    </w:p>
    <w:p w:rsidR="0044255F" w:rsidRDefault="0044255F" w:rsidP="00C05AB9">
      <w:pPr>
        <w:jc w:val="center"/>
        <w:rPr>
          <w:b/>
          <w:bCs/>
        </w:rPr>
      </w:pPr>
    </w:p>
    <w:p w:rsidR="0044255F" w:rsidRDefault="0044255F" w:rsidP="00C05AB9">
      <w:pPr>
        <w:jc w:val="center"/>
        <w:rPr>
          <w:b/>
          <w:bCs/>
        </w:rPr>
      </w:pPr>
    </w:p>
    <w:p w:rsidR="0044255F" w:rsidRDefault="0044255F" w:rsidP="00C05AB9">
      <w:pPr>
        <w:jc w:val="center"/>
        <w:rPr>
          <w:b/>
          <w:bCs/>
        </w:rPr>
      </w:pPr>
    </w:p>
    <w:p w:rsidR="0044255F" w:rsidRDefault="0044255F" w:rsidP="00C05AB9">
      <w:pPr>
        <w:jc w:val="center"/>
        <w:rPr>
          <w:b/>
          <w:bCs/>
        </w:rPr>
      </w:pPr>
    </w:p>
    <w:p w:rsidR="0044255F" w:rsidRDefault="00C05AB9" w:rsidP="00B345C1">
      <w:pPr>
        <w:jc w:val="center"/>
        <w:rPr>
          <w:b/>
          <w:bCs/>
        </w:rPr>
        <w:sectPr w:rsidR="0044255F" w:rsidSect="008522AA">
          <w:pgSz w:w="11906" w:h="16838"/>
          <w:pgMar w:top="1701" w:right="1134" w:bottom="1134" w:left="2268" w:header="709" w:footer="709" w:gutter="0"/>
          <w:pgNumType w:start="1"/>
          <w:cols w:space="708"/>
          <w:titlePg/>
          <w:docGrid w:linePitch="360"/>
        </w:sectPr>
      </w:pPr>
      <w:r>
        <w:rPr>
          <w:b/>
          <w:bCs/>
        </w:rPr>
        <w:t>AYDIN</w:t>
      </w:r>
      <w:r w:rsidR="0044255F">
        <w:rPr>
          <w:b/>
          <w:bCs/>
        </w:rPr>
        <w:t>- 2014</w:t>
      </w:r>
    </w:p>
    <w:p w:rsidR="0044255F" w:rsidRDefault="0044255F" w:rsidP="00846244">
      <w:pPr>
        <w:jc w:val="center"/>
        <w:rPr>
          <w:b/>
          <w:bCs/>
          <w:sz w:val="28"/>
          <w:szCs w:val="28"/>
        </w:rPr>
      </w:pPr>
      <w:r>
        <w:rPr>
          <w:b/>
          <w:bCs/>
          <w:sz w:val="28"/>
          <w:szCs w:val="28"/>
        </w:rPr>
        <w:lastRenderedPageBreak/>
        <w:t>T.C.</w:t>
      </w:r>
    </w:p>
    <w:p w:rsidR="0044255F" w:rsidRDefault="0044255F" w:rsidP="00846244">
      <w:pPr>
        <w:jc w:val="center"/>
        <w:rPr>
          <w:b/>
          <w:bCs/>
          <w:sz w:val="28"/>
          <w:szCs w:val="28"/>
        </w:rPr>
      </w:pPr>
      <w:r>
        <w:rPr>
          <w:b/>
          <w:bCs/>
          <w:sz w:val="28"/>
          <w:szCs w:val="28"/>
        </w:rPr>
        <w:t>ADNAN MENDERES ÜNİVERSİTESİ</w:t>
      </w:r>
    </w:p>
    <w:p w:rsidR="0044255F" w:rsidRDefault="0044255F" w:rsidP="00846244">
      <w:pPr>
        <w:jc w:val="center"/>
        <w:rPr>
          <w:b/>
          <w:bCs/>
          <w:sz w:val="28"/>
          <w:szCs w:val="28"/>
        </w:rPr>
      </w:pPr>
      <w:r>
        <w:rPr>
          <w:b/>
          <w:bCs/>
          <w:sz w:val="28"/>
          <w:szCs w:val="28"/>
        </w:rPr>
        <w:t>SOSYAL BİLİMLER ENSTİTÜSÜ MÜDÜRLÜĞÜNE</w:t>
      </w:r>
    </w:p>
    <w:p w:rsidR="0044255F" w:rsidRDefault="0044255F" w:rsidP="0036618F">
      <w:pPr>
        <w:jc w:val="center"/>
        <w:rPr>
          <w:b/>
          <w:bCs/>
          <w:sz w:val="28"/>
          <w:szCs w:val="28"/>
        </w:rPr>
      </w:pPr>
      <w:r>
        <w:rPr>
          <w:b/>
          <w:bCs/>
          <w:sz w:val="28"/>
          <w:szCs w:val="28"/>
        </w:rPr>
        <w:t>AYDIN</w:t>
      </w:r>
    </w:p>
    <w:p w:rsidR="0044255F" w:rsidRDefault="0044255F" w:rsidP="00FA3E4F">
      <w:pPr>
        <w:spacing w:before="240" w:after="240" w:line="360" w:lineRule="auto"/>
        <w:ind w:firstLine="709"/>
        <w:jc w:val="both"/>
      </w:pPr>
      <w:r w:rsidRPr="00BA0710">
        <w:t xml:space="preserve">İktisat anabilim dalı doktora programı öğrencisi </w:t>
      </w:r>
      <w:r w:rsidRPr="00BA0710">
        <w:rPr>
          <w:b/>
          <w:bCs/>
        </w:rPr>
        <w:t>M</w:t>
      </w:r>
      <w:r>
        <w:rPr>
          <w:b/>
          <w:bCs/>
        </w:rPr>
        <w:t>ehmet</w:t>
      </w:r>
      <w:r w:rsidR="001F32EC">
        <w:rPr>
          <w:b/>
          <w:bCs/>
        </w:rPr>
        <w:t xml:space="preserve"> </w:t>
      </w:r>
      <w:r>
        <w:rPr>
          <w:b/>
          <w:bCs/>
        </w:rPr>
        <w:t>Metin DAM</w:t>
      </w:r>
      <w:r>
        <w:t xml:space="preserve"> tarafından hazırlanan </w:t>
      </w:r>
      <w:r w:rsidRPr="00BA0710">
        <w:rPr>
          <w:b/>
          <w:bCs/>
        </w:rPr>
        <w:t>“</w:t>
      </w:r>
      <w:r w:rsidR="003463A8">
        <w:rPr>
          <w:b/>
          <w:bCs/>
        </w:rPr>
        <w:t>Sera Gazı</w:t>
      </w:r>
      <w:r>
        <w:rPr>
          <w:b/>
          <w:bCs/>
        </w:rPr>
        <w:t xml:space="preserve"> </w:t>
      </w:r>
      <w:r w:rsidR="006E2676">
        <w:rPr>
          <w:b/>
          <w:bCs/>
        </w:rPr>
        <w:t>Emisyonlarının</w:t>
      </w:r>
      <w:r>
        <w:rPr>
          <w:b/>
          <w:bCs/>
        </w:rPr>
        <w:t xml:space="preserve"> </w:t>
      </w:r>
      <w:r w:rsidR="00D650A4">
        <w:rPr>
          <w:b/>
          <w:bCs/>
        </w:rPr>
        <w:t>Makroekonomik</w:t>
      </w:r>
      <w:r>
        <w:rPr>
          <w:b/>
          <w:bCs/>
        </w:rPr>
        <w:t xml:space="preserve"> Değişkenler</w:t>
      </w:r>
      <w:r w:rsidR="00BD7589">
        <w:rPr>
          <w:b/>
          <w:bCs/>
        </w:rPr>
        <w:t>le</w:t>
      </w:r>
      <w:r>
        <w:rPr>
          <w:b/>
          <w:bCs/>
        </w:rPr>
        <w:t xml:space="preserve"> </w:t>
      </w:r>
      <w:r w:rsidR="00BD7589">
        <w:rPr>
          <w:b/>
          <w:bCs/>
        </w:rPr>
        <w:t>İlişkisi</w:t>
      </w:r>
      <w:r>
        <w:rPr>
          <w:b/>
          <w:bCs/>
        </w:rPr>
        <w:t>: OECD Ülkeleri İçin Panel Veri Analizi</w:t>
      </w:r>
      <w:r w:rsidRPr="00BA0710">
        <w:rPr>
          <w:b/>
          <w:bCs/>
        </w:rPr>
        <w:t>”</w:t>
      </w:r>
      <w:r w:rsidR="006A653A">
        <w:t xml:space="preserve"> başlıklı tez </w:t>
      </w:r>
      <w:r w:rsidR="0053068D">
        <w:t>28.03.</w:t>
      </w:r>
      <w:r>
        <w:t>2014 tarihinde yapılan savunma sonucunda aşağıda isimleri bulunan jüri üyelerince kabul edilmiştir.</w:t>
      </w:r>
    </w:p>
    <w:p w:rsidR="0044255F" w:rsidRDefault="0044255F" w:rsidP="00BA0710">
      <w:pPr>
        <w:jc w:val="both"/>
      </w:pPr>
    </w:p>
    <w:p w:rsidR="0044255F" w:rsidRDefault="0044255F" w:rsidP="00254F39">
      <w:pPr>
        <w:ind w:right="-676"/>
        <w:jc w:val="both"/>
        <w:rPr>
          <w:b/>
          <w:bCs/>
          <w:u w:val="single"/>
        </w:rPr>
      </w:pPr>
      <w:r w:rsidRPr="00BA0710">
        <w:rPr>
          <w:b/>
          <w:bCs/>
          <w:u w:val="single"/>
        </w:rPr>
        <w:t>Ünvanı, Adı ve Soyadı</w:t>
      </w:r>
      <w:r w:rsidRPr="00BA0710">
        <w:rPr>
          <w:b/>
          <w:bCs/>
          <w:u w:val="single"/>
        </w:rPr>
        <w:tab/>
      </w:r>
      <w:r w:rsidRPr="00BA0710">
        <w:rPr>
          <w:b/>
          <w:bCs/>
        </w:rPr>
        <w:tab/>
      </w:r>
      <w:r w:rsidRPr="00BA0710">
        <w:rPr>
          <w:b/>
          <w:bCs/>
        </w:rPr>
        <w:tab/>
      </w:r>
      <w:r w:rsidRPr="00BA0710">
        <w:rPr>
          <w:b/>
          <w:bCs/>
          <w:u w:val="single"/>
        </w:rPr>
        <w:t>Kurumu</w:t>
      </w:r>
      <w:r w:rsidRPr="00BA0710">
        <w:rPr>
          <w:b/>
          <w:bCs/>
          <w:u w:val="single"/>
        </w:rPr>
        <w:tab/>
      </w:r>
      <w:r w:rsidRPr="00BA0710">
        <w:rPr>
          <w:b/>
          <w:bCs/>
          <w:u w:val="single"/>
        </w:rPr>
        <w:tab/>
      </w:r>
      <w:r w:rsidRPr="00BA0710">
        <w:rPr>
          <w:b/>
          <w:bCs/>
        </w:rPr>
        <w:tab/>
      </w:r>
      <w:r w:rsidR="00576BA8">
        <w:rPr>
          <w:b/>
          <w:bCs/>
        </w:rPr>
        <w:tab/>
      </w:r>
      <w:r w:rsidRPr="00BA0710">
        <w:rPr>
          <w:b/>
          <w:bCs/>
          <w:u w:val="single"/>
        </w:rPr>
        <w:t>İmzası</w:t>
      </w:r>
      <w:r>
        <w:rPr>
          <w:b/>
          <w:bCs/>
          <w:u w:val="single"/>
        </w:rPr>
        <w:t>_____</w:t>
      </w:r>
    </w:p>
    <w:p w:rsidR="0044255F" w:rsidRDefault="0044255F" w:rsidP="00BA0710">
      <w:pPr>
        <w:jc w:val="both"/>
        <w:rPr>
          <w:b/>
          <w:bCs/>
          <w:u w:val="single"/>
        </w:rPr>
      </w:pPr>
    </w:p>
    <w:p w:rsidR="008339C1" w:rsidRDefault="008339C1" w:rsidP="008339C1">
      <w:pPr>
        <w:spacing w:before="240" w:after="240" w:line="360" w:lineRule="auto"/>
        <w:ind w:right="-676"/>
        <w:jc w:val="both"/>
      </w:pPr>
      <w:r>
        <w:t>Prof. Dr. Mesut ALBENİ</w:t>
      </w:r>
      <w:r w:rsidR="0036618F">
        <w:t xml:space="preserve"> (Başkan)</w:t>
      </w:r>
      <w:r>
        <w:tab/>
      </w:r>
      <w:r>
        <w:tab/>
        <w:t xml:space="preserve">Süleyman Demirel Üniversitesi </w:t>
      </w:r>
      <w:r>
        <w:tab/>
      </w:r>
      <w:proofErr w:type="gramStart"/>
      <w:r>
        <w:t>…..………</w:t>
      </w:r>
      <w:proofErr w:type="gramEnd"/>
    </w:p>
    <w:p w:rsidR="0044255F" w:rsidRDefault="009F2E96" w:rsidP="00893223">
      <w:pPr>
        <w:spacing w:before="240" w:after="240" w:line="360" w:lineRule="auto"/>
        <w:ind w:right="-676"/>
        <w:jc w:val="both"/>
      </w:pPr>
      <w:r>
        <w:t>Doç</w:t>
      </w:r>
      <w:r w:rsidR="0044255F">
        <w:t>.</w:t>
      </w:r>
      <w:r w:rsidR="00925CE3">
        <w:t xml:space="preserve"> </w:t>
      </w:r>
      <w:r w:rsidR="0044255F">
        <w:t>Dr.</w:t>
      </w:r>
      <w:r w:rsidR="000E7CE0">
        <w:t xml:space="preserve"> </w:t>
      </w:r>
      <w:r w:rsidR="0044255F">
        <w:t>Etem KARAKAYA</w:t>
      </w:r>
      <w:r w:rsidR="008339C1">
        <w:t>(Tez D.)</w:t>
      </w:r>
      <w:r w:rsidR="00716E3E">
        <w:tab/>
      </w:r>
      <w:r w:rsidR="00925CE3">
        <w:t xml:space="preserve">Adnan Menderes Üniversitesi </w:t>
      </w:r>
      <w:r w:rsidR="00942561">
        <w:tab/>
      </w:r>
      <w:proofErr w:type="gramStart"/>
      <w:r w:rsidR="00925CE3">
        <w:t>…………</w:t>
      </w:r>
      <w:r w:rsidR="0044255F">
        <w:t>..</w:t>
      </w:r>
      <w:proofErr w:type="gramEnd"/>
    </w:p>
    <w:p w:rsidR="00750336" w:rsidRDefault="00750336" w:rsidP="00750336">
      <w:pPr>
        <w:spacing w:before="240" w:after="240" w:line="360" w:lineRule="auto"/>
        <w:ind w:right="-676"/>
        <w:jc w:val="both"/>
      </w:pPr>
      <w:r>
        <w:t>Yrd. Doç. Dr. Abdullah ÖZDEMİR</w:t>
      </w:r>
      <w:r>
        <w:tab/>
      </w:r>
      <w:r>
        <w:tab/>
        <w:t xml:space="preserve">Adnan Menderes Üniversitesi </w:t>
      </w:r>
      <w:r>
        <w:tab/>
      </w:r>
      <w:proofErr w:type="gramStart"/>
      <w:r>
        <w:t>……..……</w:t>
      </w:r>
      <w:proofErr w:type="gramEnd"/>
    </w:p>
    <w:p w:rsidR="0044255F" w:rsidRPr="00BA0710" w:rsidRDefault="00750336" w:rsidP="009209AF">
      <w:pPr>
        <w:spacing w:before="240" w:after="240" w:line="360" w:lineRule="auto"/>
        <w:ind w:right="-676"/>
        <w:jc w:val="both"/>
      </w:pPr>
      <w:r>
        <w:t xml:space="preserve">Yrd. Doç. </w:t>
      </w:r>
      <w:r w:rsidR="006A653A">
        <w:t>Dr.</w:t>
      </w:r>
      <w:r w:rsidR="000E7CE0">
        <w:t xml:space="preserve"> </w:t>
      </w:r>
      <w:r>
        <w:t>Mustafa ÖZÇAĞ</w:t>
      </w:r>
      <w:r w:rsidR="0044255F">
        <w:tab/>
      </w:r>
      <w:r w:rsidR="00942561">
        <w:tab/>
        <w:t xml:space="preserve">Adnan Menderes Üniversitesi </w:t>
      </w:r>
      <w:r w:rsidR="00942561">
        <w:tab/>
      </w:r>
      <w:proofErr w:type="gramStart"/>
      <w:r w:rsidR="00942561">
        <w:t>…</w:t>
      </w:r>
      <w:r w:rsidR="0044255F">
        <w:t>……</w:t>
      </w:r>
      <w:r w:rsidR="00942561">
        <w:t>….</w:t>
      </w:r>
      <w:proofErr w:type="gramEnd"/>
    </w:p>
    <w:p w:rsidR="0044255F" w:rsidRDefault="0044255F" w:rsidP="00BA0710">
      <w:pPr>
        <w:spacing w:before="240" w:after="240" w:line="360" w:lineRule="auto"/>
        <w:ind w:right="-676"/>
        <w:jc w:val="both"/>
      </w:pPr>
      <w:r>
        <w:t>Yrd.</w:t>
      </w:r>
      <w:r w:rsidR="00925CE3">
        <w:t xml:space="preserve"> </w:t>
      </w:r>
      <w:r>
        <w:t>Doç.</w:t>
      </w:r>
      <w:r w:rsidR="00925CE3">
        <w:t xml:space="preserve"> </w:t>
      </w:r>
      <w:r>
        <w:t>Dr.</w:t>
      </w:r>
      <w:r w:rsidR="00925CE3">
        <w:t xml:space="preserve"> </w:t>
      </w:r>
      <w:r w:rsidR="009F2E96">
        <w:t>Mesut</w:t>
      </w:r>
      <w:r w:rsidR="00942561">
        <w:t xml:space="preserve"> </w:t>
      </w:r>
      <w:r w:rsidR="009F2E96">
        <w:t>ÇAKIR</w:t>
      </w:r>
      <w:r>
        <w:tab/>
      </w:r>
      <w:r>
        <w:tab/>
      </w:r>
      <w:r w:rsidR="009F2E96">
        <w:tab/>
      </w:r>
      <w:r>
        <w:t>Adn</w:t>
      </w:r>
      <w:r w:rsidR="00942561">
        <w:t xml:space="preserve">an Menderes Üniversitesi </w:t>
      </w:r>
      <w:r w:rsidR="00942561">
        <w:tab/>
      </w:r>
      <w:proofErr w:type="gramStart"/>
      <w:r w:rsidR="00942561">
        <w:t>…………..</w:t>
      </w:r>
      <w:proofErr w:type="gramEnd"/>
    </w:p>
    <w:p w:rsidR="0044255F" w:rsidRDefault="0044255F" w:rsidP="0028639A">
      <w:pPr>
        <w:tabs>
          <w:tab w:val="left" w:pos="1515"/>
        </w:tabs>
        <w:spacing w:before="240" w:after="240" w:line="360" w:lineRule="auto"/>
        <w:ind w:right="-676"/>
        <w:jc w:val="both"/>
      </w:pPr>
      <w:r>
        <w:tab/>
      </w:r>
    </w:p>
    <w:p w:rsidR="0044255F" w:rsidRDefault="0044255F" w:rsidP="00BA0710">
      <w:pPr>
        <w:spacing w:before="240" w:after="240" w:line="360" w:lineRule="auto"/>
        <w:ind w:right="-676"/>
        <w:jc w:val="both"/>
      </w:pPr>
    </w:p>
    <w:p w:rsidR="0044255F" w:rsidRDefault="0044255F" w:rsidP="00791276">
      <w:pPr>
        <w:spacing w:before="240" w:after="240" w:line="480" w:lineRule="auto"/>
        <w:ind w:right="45" w:firstLine="709"/>
        <w:jc w:val="both"/>
      </w:pPr>
      <w:r>
        <w:t xml:space="preserve">Jüri üyeleri tarafından kabul edilen bu doktora tezi, Enstitü Yönetim Kurulu’nun </w:t>
      </w:r>
      <w:proofErr w:type="gramStart"/>
      <w:r>
        <w:t>….............................</w:t>
      </w:r>
      <w:proofErr w:type="gramEnd"/>
      <w:r>
        <w:t xml:space="preserve"> sayılı kararıyla </w:t>
      </w:r>
      <w:proofErr w:type="gramStart"/>
      <w:r>
        <w:t>……………………….….</w:t>
      </w:r>
      <w:proofErr w:type="gramEnd"/>
      <w:r>
        <w:t>tarihinde onaylanmıştır.</w:t>
      </w:r>
    </w:p>
    <w:p w:rsidR="0044255F" w:rsidRDefault="0044255F" w:rsidP="00BA0710">
      <w:pPr>
        <w:spacing w:before="240" w:after="240" w:line="360" w:lineRule="auto"/>
        <w:ind w:right="45"/>
        <w:jc w:val="both"/>
      </w:pPr>
    </w:p>
    <w:p w:rsidR="0044255F" w:rsidRDefault="0044255F" w:rsidP="00BA0710">
      <w:pPr>
        <w:spacing w:before="240" w:after="240" w:line="360" w:lineRule="auto"/>
        <w:ind w:right="45"/>
        <w:jc w:val="both"/>
      </w:pPr>
    </w:p>
    <w:p w:rsidR="0044255F" w:rsidRDefault="0044255F" w:rsidP="00BA0710">
      <w:pPr>
        <w:ind w:left="4956" w:right="45" w:firstLine="708"/>
        <w:jc w:val="both"/>
      </w:pPr>
    </w:p>
    <w:p w:rsidR="0044255F" w:rsidRDefault="0044255F" w:rsidP="003270ED">
      <w:pPr>
        <w:jc w:val="center"/>
      </w:pPr>
      <w:r>
        <w:tab/>
      </w:r>
      <w:r>
        <w:tab/>
      </w:r>
      <w:r>
        <w:tab/>
      </w:r>
      <w:r>
        <w:tab/>
      </w:r>
      <w:r>
        <w:tab/>
      </w:r>
      <w:r>
        <w:tab/>
      </w:r>
      <w:r>
        <w:tab/>
      </w:r>
      <w:r w:rsidR="00576BA8">
        <w:t>Doç.</w:t>
      </w:r>
      <w:r w:rsidR="008C292E">
        <w:t xml:space="preserve"> </w:t>
      </w:r>
      <w:r w:rsidR="006E2676">
        <w:t xml:space="preserve">Dr. </w:t>
      </w:r>
      <w:r w:rsidR="00B149F0">
        <w:t xml:space="preserve">Fatma </w:t>
      </w:r>
      <w:r w:rsidR="00A73F18">
        <w:t>Ne</w:t>
      </w:r>
      <w:r w:rsidR="006E2676">
        <w:t>val GENÇ</w:t>
      </w:r>
    </w:p>
    <w:p w:rsidR="0036618F" w:rsidRDefault="0036618F" w:rsidP="003270ED">
      <w:pPr>
        <w:jc w:val="center"/>
      </w:pPr>
      <w:r>
        <w:t xml:space="preserve">                                                                                  Enstitü Müdürü</w:t>
      </w:r>
    </w:p>
    <w:p w:rsidR="0036618F" w:rsidRPr="003270ED" w:rsidRDefault="0036618F" w:rsidP="003270ED">
      <w:pPr>
        <w:jc w:val="center"/>
        <w:sectPr w:rsidR="0036618F" w:rsidRPr="003270ED" w:rsidSect="008522AA">
          <w:pgSz w:w="11906" w:h="16838"/>
          <w:pgMar w:top="1701" w:right="1134" w:bottom="1134" w:left="2268" w:header="709" w:footer="709" w:gutter="0"/>
          <w:pgNumType w:start="1"/>
          <w:cols w:space="708"/>
          <w:titlePg/>
          <w:docGrid w:linePitch="360"/>
        </w:sectPr>
      </w:pPr>
    </w:p>
    <w:p w:rsidR="001B2F87" w:rsidRDefault="001B2F87" w:rsidP="00850795">
      <w:pPr>
        <w:spacing w:line="360" w:lineRule="auto"/>
        <w:jc w:val="both"/>
      </w:pPr>
    </w:p>
    <w:p w:rsidR="001B2F87" w:rsidRDefault="001B2F87" w:rsidP="00850795">
      <w:pPr>
        <w:spacing w:line="360" w:lineRule="auto"/>
        <w:jc w:val="both"/>
      </w:pPr>
    </w:p>
    <w:p w:rsidR="001B2F87" w:rsidRDefault="001B2F87" w:rsidP="00850795">
      <w:pPr>
        <w:spacing w:line="360" w:lineRule="auto"/>
        <w:jc w:val="both"/>
      </w:pPr>
    </w:p>
    <w:p w:rsidR="001B2F87" w:rsidRDefault="001B2F87" w:rsidP="00850795">
      <w:pPr>
        <w:spacing w:line="360" w:lineRule="auto"/>
        <w:jc w:val="both"/>
      </w:pPr>
    </w:p>
    <w:p w:rsidR="001B2F87" w:rsidRDefault="001B2F87" w:rsidP="00850795">
      <w:pPr>
        <w:spacing w:line="360" w:lineRule="auto"/>
        <w:jc w:val="both"/>
      </w:pPr>
    </w:p>
    <w:p w:rsidR="001B2F87" w:rsidRDefault="001B2F87" w:rsidP="00850795">
      <w:pPr>
        <w:spacing w:line="360" w:lineRule="auto"/>
        <w:jc w:val="both"/>
      </w:pPr>
    </w:p>
    <w:p w:rsidR="001B2F87" w:rsidRDefault="001B2F87" w:rsidP="00850795">
      <w:pPr>
        <w:spacing w:line="360" w:lineRule="auto"/>
        <w:jc w:val="both"/>
      </w:pPr>
    </w:p>
    <w:p w:rsidR="001B2F87" w:rsidRDefault="001B2F87" w:rsidP="00850795">
      <w:pPr>
        <w:spacing w:line="360" w:lineRule="auto"/>
        <w:jc w:val="both"/>
      </w:pPr>
    </w:p>
    <w:p w:rsidR="001B2F87" w:rsidRDefault="001B2F87" w:rsidP="00850795">
      <w:pPr>
        <w:spacing w:line="360" w:lineRule="auto"/>
        <w:jc w:val="both"/>
      </w:pPr>
    </w:p>
    <w:p w:rsidR="0044255F" w:rsidRPr="00BF5E11" w:rsidRDefault="0044255F" w:rsidP="00850795">
      <w:pPr>
        <w:spacing w:line="360" w:lineRule="auto"/>
        <w:jc w:val="both"/>
      </w:pPr>
      <w:r w:rsidRPr="00BF5E11">
        <w:t>Bu tezde görsel, işitsel ve yazılı biçimde sunulan tüm bilgi ve sonuçların akademik ve etik kurallara uyularak tarafımdan elde edildiğini, tez içinde yer alan ancak bu çalışmaya özgü olmayan tüm sonuç ve bilgileri tezde kaynak göstererek belirttiğimi beyan ederim.</w:t>
      </w:r>
    </w:p>
    <w:p w:rsidR="0044255F" w:rsidRPr="00BF5E11" w:rsidRDefault="0044255F" w:rsidP="00850795">
      <w:pPr>
        <w:spacing w:line="360" w:lineRule="auto"/>
      </w:pPr>
    </w:p>
    <w:p w:rsidR="0044255F" w:rsidRPr="00BF5E11" w:rsidRDefault="0044255F" w:rsidP="00850795"/>
    <w:p w:rsidR="0044255F" w:rsidRPr="00BF5E11" w:rsidRDefault="0044255F" w:rsidP="00850795">
      <w:r w:rsidRPr="004A3941">
        <w:rPr>
          <w:b/>
          <w:bCs/>
        </w:rPr>
        <w:t>Adı Soyadı</w:t>
      </w:r>
      <w:r w:rsidRPr="004A3941">
        <w:rPr>
          <w:b/>
          <w:bCs/>
        </w:rPr>
        <w:tab/>
      </w:r>
      <w:r>
        <w:rPr>
          <w:b/>
          <w:bCs/>
        </w:rPr>
        <w:t xml:space="preserve">: </w:t>
      </w:r>
      <w:r>
        <w:t>Mehmet Metin DAM</w:t>
      </w:r>
    </w:p>
    <w:p w:rsidR="0044255F" w:rsidRPr="00BF5E11" w:rsidRDefault="0044255F" w:rsidP="00850795"/>
    <w:p w:rsidR="0044255F" w:rsidRPr="00BF5E11" w:rsidRDefault="0044255F" w:rsidP="00850795"/>
    <w:p w:rsidR="0044255F" w:rsidRPr="004A3941" w:rsidRDefault="0044255F" w:rsidP="00850795">
      <w:pPr>
        <w:rPr>
          <w:b/>
          <w:bCs/>
        </w:rPr>
      </w:pPr>
      <w:r w:rsidRPr="004A3941">
        <w:rPr>
          <w:b/>
          <w:bCs/>
        </w:rPr>
        <w:t>İmza</w:t>
      </w:r>
      <w:r w:rsidRPr="004A3941">
        <w:rPr>
          <w:b/>
          <w:bCs/>
        </w:rPr>
        <w:tab/>
      </w:r>
      <w:r w:rsidRPr="004A3941">
        <w:rPr>
          <w:b/>
          <w:bCs/>
        </w:rPr>
        <w:tab/>
      </w:r>
      <w:r>
        <w:rPr>
          <w:b/>
          <w:bCs/>
        </w:rPr>
        <w:t xml:space="preserve">: </w:t>
      </w:r>
    </w:p>
    <w:p w:rsidR="0044255F" w:rsidRDefault="0044255F" w:rsidP="000E452F">
      <w:pPr>
        <w:spacing w:line="360" w:lineRule="auto"/>
        <w:rPr>
          <w:b/>
          <w:bCs/>
        </w:rPr>
      </w:pPr>
    </w:p>
    <w:p w:rsidR="0044255F" w:rsidRDefault="0044255F" w:rsidP="000E452F">
      <w:pPr>
        <w:spacing w:line="360" w:lineRule="auto"/>
        <w:rPr>
          <w:b/>
          <w:bCs/>
        </w:rPr>
      </w:pPr>
    </w:p>
    <w:p w:rsidR="0044255F" w:rsidRDefault="0044255F" w:rsidP="000E452F">
      <w:pPr>
        <w:spacing w:line="360" w:lineRule="auto"/>
        <w:rPr>
          <w:b/>
          <w:bCs/>
        </w:rPr>
        <w:sectPr w:rsidR="0044255F" w:rsidSect="008522AA">
          <w:pgSz w:w="11906" w:h="16838"/>
          <w:pgMar w:top="1701" w:right="1134" w:bottom="1134" w:left="2268" w:header="709" w:footer="709" w:gutter="0"/>
          <w:pgNumType w:start="1"/>
          <w:cols w:space="708"/>
          <w:titlePg/>
          <w:docGrid w:linePitch="360"/>
        </w:sectPr>
      </w:pPr>
    </w:p>
    <w:p w:rsidR="0044255F" w:rsidRPr="0028678A" w:rsidRDefault="0044255F" w:rsidP="0028678A">
      <w:pPr>
        <w:spacing w:line="360" w:lineRule="auto"/>
        <w:rPr>
          <w:b/>
          <w:bCs/>
        </w:rPr>
      </w:pPr>
    </w:p>
    <w:p w:rsidR="0044255F" w:rsidRDefault="0044255F" w:rsidP="0028678A">
      <w:pPr>
        <w:spacing w:line="360" w:lineRule="auto"/>
        <w:jc w:val="both"/>
      </w:pPr>
    </w:p>
    <w:p w:rsidR="0044255F" w:rsidRDefault="0044255F" w:rsidP="0028678A">
      <w:pPr>
        <w:spacing w:line="360" w:lineRule="auto"/>
        <w:jc w:val="both"/>
      </w:pPr>
    </w:p>
    <w:p w:rsidR="0044255F" w:rsidRDefault="0044255F" w:rsidP="0028678A">
      <w:pPr>
        <w:spacing w:line="360" w:lineRule="auto"/>
        <w:jc w:val="both"/>
      </w:pPr>
    </w:p>
    <w:p w:rsidR="0044255F" w:rsidRDefault="0044255F" w:rsidP="0028678A">
      <w:pPr>
        <w:spacing w:line="360" w:lineRule="auto"/>
        <w:jc w:val="both"/>
      </w:pPr>
    </w:p>
    <w:p w:rsidR="0044255F" w:rsidRDefault="0044255F" w:rsidP="0028678A">
      <w:pPr>
        <w:spacing w:line="360" w:lineRule="auto"/>
        <w:jc w:val="both"/>
      </w:pPr>
    </w:p>
    <w:p w:rsidR="0044255F" w:rsidRDefault="0044255F" w:rsidP="0028678A">
      <w:pPr>
        <w:spacing w:line="360" w:lineRule="auto"/>
        <w:jc w:val="both"/>
      </w:pPr>
    </w:p>
    <w:p w:rsidR="0044255F" w:rsidRDefault="0044255F" w:rsidP="0028678A">
      <w:pPr>
        <w:spacing w:line="360" w:lineRule="auto"/>
        <w:jc w:val="both"/>
      </w:pPr>
    </w:p>
    <w:p w:rsidR="0044255F" w:rsidRDefault="0044255F" w:rsidP="0028678A">
      <w:pPr>
        <w:spacing w:line="360" w:lineRule="auto"/>
        <w:jc w:val="both"/>
      </w:pPr>
    </w:p>
    <w:p w:rsidR="0044255F" w:rsidRDefault="0044255F" w:rsidP="0028678A">
      <w:pPr>
        <w:spacing w:line="360" w:lineRule="auto"/>
        <w:jc w:val="both"/>
      </w:pPr>
    </w:p>
    <w:p w:rsidR="0044255F" w:rsidRDefault="0044255F" w:rsidP="0028678A">
      <w:pPr>
        <w:spacing w:line="360" w:lineRule="auto"/>
        <w:jc w:val="both"/>
      </w:pPr>
    </w:p>
    <w:p w:rsidR="0044255F" w:rsidRDefault="0044255F" w:rsidP="00224132">
      <w:pPr>
        <w:spacing w:line="360" w:lineRule="auto"/>
        <w:ind w:firstLine="708"/>
        <w:jc w:val="both"/>
        <w:rPr>
          <w:b/>
          <w:bCs/>
        </w:rPr>
      </w:pPr>
      <w:r w:rsidRPr="0028678A">
        <w:t xml:space="preserve">Bu tez, </w:t>
      </w:r>
      <w:r w:rsidRPr="00DD6CF5">
        <w:rPr>
          <w:b/>
        </w:rPr>
        <w:t>Adnan Menderes Üniversitesi Bilimsel Araştırma Projeleri (BAP)</w:t>
      </w:r>
      <w:r>
        <w:t xml:space="preserve"> </w:t>
      </w:r>
      <w:r w:rsidRPr="0028678A">
        <w:t xml:space="preserve">Birimi tarafından desteklenmiş olup, proje numarası </w:t>
      </w:r>
      <w:r w:rsidRPr="0093536C">
        <w:rPr>
          <w:b/>
        </w:rPr>
        <w:t>NİİBF–1</w:t>
      </w:r>
      <w:r w:rsidR="00F2558F" w:rsidRPr="0093536C">
        <w:rPr>
          <w:b/>
        </w:rPr>
        <w:t>4</w:t>
      </w:r>
      <w:r w:rsidRPr="0093536C">
        <w:rPr>
          <w:b/>
        </w:rPr>
        <w:t>00</w:t>
      </w:r>
      <w:r w:rsidR="0093536C" w:rsidRPr="0093536C">
        <w:rPr>
          <w:b/>
        </w:rPr>
        <w:t>4</w:t>
      </w:r>
      <w:r w:rsidRPr="0028678A">
        <w:t>’dir.</w:t>
      </w:r>
    </w:p>
    <w:p w:rsidR="0044255F" w:rsidRDefault="0044255F" w:rsidP="000E452F">
      <w:pPr>
        <w:spacing w:line="360" w:lineRule="auto"/>
        <w:rPr>
          <w:b/>
          <w:bCs/>
        </w:rPr>
      </w:pPr>
      <w:r>
        <w:rPr>
          <w:b/>
          <w:bCs/>
        </w:rPr>
        <w:br w:type="page"/>
      </w:r>
    </w:p>
    <w:p w:rsidR="0044255F" w:rsidRPr="00F17F38" w:rsidRDefault="0044255F" w:rsidP="00097137">
      <w:pPr>
        <w:spacing w:before="120" w:after="120" w:line="360" w:lineRule="auto"/>
        <w:rPr>
          <w:b/>
          <w:bCs/>
        </w:rPr>
      </w:pPr>
      <w:r w:rsidRPr="00F17F38">
        <w:rPr>
          <w:b/>
          <w:bCs/>
        </w:rPr>
        <w:lastRenderedPageBreak/>
        <w:t>YAZAR ADI-SOYADI</w:t>
      </w:r>
      <w:r>
        <w:rPr>
          <w:b/>
          <w:bCs/>
        </w:rPr>
        <w:t>:  MEHMET METİN DAM</w:t>
      </w:r>
    </w:p>
    <w:p w:rsidR="0044255F" w:rsidRPr="00890D7B" w:rsidRDefault="0044255F" w:rsidP="00097137">
      <w:pPr>
        <w:spacing w:before="120" w:after="120" w:line="360" w:lineRule="auto"/>
        <w:rPr>
          <w:b/>
          <w:bCs/>
        </w:rPr>
      </w:pPr>
      <w:r w:rsidRPr="007C7D87">
        <w:rPr>
          <w:b/>
          <w:bCs/>
        </w:rPr>
        <w:t>BAŞLIK</w:t>
      </w:r>
      <w:r w:rsidR="00FE58B4">
        <w:rPr>
          <w:b/>
          <w:bCs/>
        </w:rPr>
        <w:t xml:space="preserve">: </w:t>
      </w:r>
      <w:r w:rsidR="003463A8">
        <w:rPr>
          <w:b/>
          <w:bCs/>
        </w:rPr>
        <w:t>SERA GAZI</w:t>
      </w:r>
      <w:r w:rsidR="00FE58B4">
        <w:rPr>
          <w:b/>
          <w:bCs/>
        </w:rPr>
        <w:t xml:space="preserve"> </w:t>
      </w:r>
      <w:r w:rsidR="006E2676">
        <w:rPr>
          <w:b/>
          <w:bCs/>
        </w:rPr>
        <w:t>EMİSYONLARININ</w:t>
      </w:r>
      <w:r w:rsidR="00FE58B4">
        <w:rPr>
          <w:b/>
          <w:bCs/>
        </w:rPr>
        <w:t xml:space="preserve"> MAKRO</w:t>
      </w:r>
      <w:r>
        <w:rPr>
          <w:b/>
          <w:bCs/>
        </w:rPr>
        <w:t>EKONOMİK DEĞİŞKENLER</w:t>
      </w:r>
      <w:r w:rsidR="00BD7589">
        <w:rPr>
          <w:b/>
          <w:bCs/>
        </w:rPr>
        <w:t>LE İLİŞKİSİ</w:t>
      </w:r>
      <w:r>
        <w:rPr>
          <w:b/>
          <w:bCs/>
        </w:rPr>
        <w:t>: OECD ÜLKELERİ İÇİN PANEL VERİ ANALİZİ</w:t>
      </w:r>
    </w:p>
    <w:p w:rsidR="0044255F" w:rsidRDefault="0044255F" w:rsidP="00E71421">
      <w:pPr>
        <w:pStyle w:val="Balk1"/>
      </w:pPr>
      <w:bookmarkStart w:id="6" w:name="_Toc384823964"/>
      <w:r w:rsidRPr="00210B48">
        <w:t>ÖZET</w:t>
      </w:r>
      <w:bookmarkEnd w:id="6"/>
    </w:p>
    <w:p w:rsidR="007C6E63" w:rsidRDefault="004405EC" w:rsidP="00483303">
      <w:pPr>
        <w:spacing w:before="240" w:after="240" w:line="360" w:lineRule="auto"/>
        <w:ind w:firstLine="706"/>
        <w:jc w:val="both"/>
      </w:pPr>
      <w:r>
        <w:t xml:space="preserve">Birleşmiş Milletlerin </w:t>
      </w:r>
      <w:r w:rsidR="003A6AD2">
        <w:t xml:space="preserve">son yıllarda önem verdiği </w:t>
      </w:r>
      <w:r>
        <w:t>konular</w:t>
      </w:r>
      <w:r w:rsidR="00735B69">
        <w:t xml:space="preserve"> arasında yer alan </w:t>
      </w:r>
      <w:r>
        <w:t xml:space="preserve">ve ciddi </w:t>
      </w:r>
      <w:r w:rsidR="00735B69">
        <w:t>bir tehdit</w:t>
      </w:r>
      <w:r>
        <w:t xml:space="preserve"> oluştur</w:t>
      </w:r>
      <w:r w:rsidR="00735B69">
        <w:t xml:space="preserve">an </w:t>
      </w:r>
      <w:r>
        <w:t>iklim değişikliği</w:t>
      </w:r>
      <w:r w:rsidR="003E0F65">
        <w:t xml:space="preserve">, insan faaliyetleri nedeniyle </w:t>
      </w:r>
      <w:r w:rsidR="003463A8">
        <w:t>sera gazı</w:t>
      </w:r>
      <w:r w:rsidR="003E0F65">
        <w:t xml:space="preserve"> emisyon miktarının artması ve doğal </w:t>
      </w:r>
      <w:r w:rsidR="003463A8">
        <w:t>sera gazı</w:t>
      </w:r>
      <w:r w:rsidR="003E0F65">
        <w:t xml:space="preserve"> konsantrasyonun değişmesi sonucu</w:t>
      </w:r>
      <w:r w:rsidR="00735B69">
        <w:t>nda</w:t>
      </w:r>
      <w:r w:rsidR="003E0F65">
        <w:t xml:space="preserve"> ortaya çıkmaktadır. </w:t>
      </w:r>
      <w:r w:rsidR="00735B69">
        <w:t>Birleşmiş Milletler çevresel kirlenmenin önüne geçmek için birtakım politikalar ve araç</w:t>
      </w:r>
      <w:r w:rsidR="00F22D90">
        <w:t xml:space="preserve">lar geliştirmiştir. Bu politika ve </w:t>
      </w:r>
      <w:r w:rsidR="00735B69">
        <w:t xml:space="preserve">araçlarla sera gazı emisyonlarının azaltılmasına çalışılmaktadır. </w:t>
      </w:r>
      <w:r w:rsidR="003E0F65">
        <w:t>Bu bağlamda</w:t>
      </w:r>
      <w:r w:rsidR="00EF34DC">
        <w:t xml:space="preserve">; </w:t>
      </w:r>
      <w:r w:rsidR="0044255F" w:rsidRPr="00FA1C4D">
        <w:t>21 Mart 1994 tarihinde yürürlüğe giren Birleşmiş Milletler İklim Değişikliği Çerçeve Sözleşmesi</w:t>
      </w:r>
      <w:r w:rsidR="00AD4321">
        <w:t xml:space="preserve"> ve </w:t>
      </w:r>
      <w:r w:rsidR="0044255F">
        <w:t>16 Şubat 2005’</w:t>
      </w:r>
      <w:r w:rsidR="00735B69">
        <w:t>t</w:t>
      </w:r>
      <w:r w:rsidR="0044255F">
        <w:t xml:space="preserve">e </w:t>
      </w:r>
      <w:r w:rsidR="00735B69">
        <w:t>imzalanan Kyoto P</w:t>
      </w:r>
      <w:r w:rsidR="0044255F">
        <w:t>rotokolü</w:t>
      </w:r>
      <w:r w:rsidR="00735B69">
        <w:t>,</w:t>
      </w:r>
      <w:r w:rsidR="0044255F">
        <w:t xml:space="preserve"> </w:t>
      </w:r>
      <w:r w:rsidR="003E0F65">
        <w:t xml:space="preserve">küresel ısınmanın </w:t>
      </w:r>
      <w:r w:rsidR="00735B69">
        <w:t xml:space="preserve">ve iklim değişikliğinin önüne geçmek için </w:t>
      </w:r>
      <w:r w:rsidR="003E0F65">
        <w:t xml:space="preserve">önüne geçmek için yapılan en önemli girişimlerdir. </w:t>
      </w:r>
      <w:r w:rsidR="00735B69">
        <w:t xml:space="preserve"> </w:t>
      </w:r>
    </w:p>
    <w:p w:rsidR="00CC031B" w:rsidRDefault="008225DF" w:rsidP="00483303">
      <w:pPr>
        <w:autoSpaceDE w:val="0"/>
        <w:autoSpaceDN w:val="0"/>
        <w:adjustRightInd w:val="0"/>
        <w:spacing w:before="240" w:after="240" w:line="360" w:lineRule="auto"/>
        <w:ind w:firstLine="706"/>
        <w:jc w:val="both"/>
      </w:pPr>
      <w:r>
        <w:t>Bu çalışmada</w:t>
      </w:r>
      <w:r w:rsidR="00752019">
        <w:t>; sera</w:t>
      </w:r>
      <w:r w:rsidR="00735B69">
        <w:t xml:space="preserve"> </w:t>
      </w:r>
      <w:r w:rsidR="00752019">
        <w:t>gazı emisyonlarının makro</w:t>
      </w:r>
      <w:r>
        <w:t>ekonomik değişkenlerle olan ilişkisi</w:t>
      </w:r>
      <w:r w:rsidR="001C5CE8">
        <w:t xml:space="preserve"> OECD ülkeleri için, 1971-2011 dönemi </w:t>
      </w:r>
      <w:r w:rsidR="009D4CD3">
        <w:t xml:space="preserve">yıllık </w:t>
      </w:r>
      <w:r w:rsidR="001C5CE8">
        <w:t xml:space="preserve">verileri </w:t>
      </w:r>
      <w:r>
        <w:t>kullanılarak</w:t>
      </w:r>
      <w:r w:rsidR="009D4CD3">
        <w:t xml:space="preserve"> panel veri analiziyle araştırılmıştır.  Bu aşamada ilk olarak kullanılacak testlerin belirlenmesi için; ü</w:t>
      </w:r>
      <w:r>
        <w:t>lkeler arasında yatay kesit bağımlılığ</w:t>
      </w:r>
      <w:r w:rsidR="009D4CD3">
        <w:t>ı</w:t>
      </w:r>
      <w:r>
        <w:t xml:space="preserve"> </w:t>
      </w:r>
      <w:r w:rsidR="00735B69">
        <w:t>araştırması yapılması</w:t>
      </w:r>
      <w:r w:rsidR="009D4CD3">
        <w:t xml:space="preserve"> gerekmektedir. Yapılan yatay kesit bağımlılığı testi sonucunda; ülkeler arasında yatay kesit bağımlılığının </w:t>
      </w:r>
      <w:r>
        <w:t>olduğu görülmüş</w:t>
      </w:r>
      <w:r w:rsidR="00960028">
        <w:t>tür.</w:t>
      </w:r>
      <w:r w:rsidR="00711E91">
        <w:t xml:space="preserve"> </w:t>
      </w:r>
      <w:r w:rsidR="00960028">
        <w:t>B</w:t>
      </w:r>
      <w:r w:rsidR="00711E91" w:rsidRPr="00BB3ADF">
        <w:t xml:space="preserve">u durumu dikkate alan ikinci kuşak birim kök testlerinden </w:t>
      </w:r>
      <w:r w:rsidR="009B2449">
        <w:t xml:space="preserve">CADF </w:t>
      </w:r>
      <w:r w:rsidR="00772CCB">
        <w:t>ve CIPS</w:t>
      </w:r>
      <w:r w:rsidR="00711E91">
        <w:t xml:space="preserve"> panel birim kök testleri</w:t>
      </w:r>
      <w:r w:rsidR="00735B69">
        <w:t xml:space="preserve"> kullanılmış </w:t>
      </w:r>
      <w:r>
        <w:t>ve serilerin düzey değerlerinde</w:t>
      </w:r>
      <w:r w:rsidR="00960028">
        <w:t xml:space="preserve"> </w:t>
      </w:r>
      <w:r w:rsidR="00735B69">
        <w:t>durağan olmadığı</w:t>
      </w:r>
      <w:r w:rsidR="00960028">
        <w:t xml:space="preserve"> </w:t>
      </w:r>
      <w:r>
        <w:t xml:space="preserve">görülmüştür. Seriler arasında eşbütünleşme ilişkisinin varlığı; </w:t>
      </w:r>
      <w:r w:rsidR="00203962">
        <w:t xml:space="preserve">Westerlund Durbin Hausman </w:t>
      </w:r>
      <w:r w:rsidR="002606F5">
        <w:t xml:space="preserve">(2008) </w:t>
      </w:r>
      <w:r w:rsidR="006E1EB3">
        <w:t xml:space="preserve">Testi ile </w:t>
      </w:r>
      <w:r>
        <w:t xml:space="preserve">incelenmiş ve seriler arasında eşbütünleşme ilişkisinin var olduğu belirlenmiştir. </w:t>
      </w:r>
      <w:r w:rsidR="009F07DF">
        <w:t>Son aşamada ise uzun dönem eşbütünleşme katsayıları</w:t>
      </w:r>
      <w:r w:rsidR="00462E39">
        <w:t>,</w:t>
      </w:r>
      <w:r w:rsidR="009F07DF">
        <w:t xml:space="preserve"> </w:t>
      </w:r>
      <w:r w:rsidR="009F07DF" w:rsidRPr="00BB3ADF">
        <w:t>Pesaran (2</w:t>
      </w:r>
      <w:r w:rsidR="009F07DF">
        <w:t xml:space="preserve">006b) tarafından geliştirilmiş olan </w:t>
      </w:r>
      <w:r w:rsidR="009F07DF" w:rsidRPr="00BB3ADF">
        <w:t>CCE</w:t>
      </w:r>
      <w:r w:rsidR="00462E39">
        <w:t xml:space="preserve"> </w:t>
      </w:r>
      <w:r w:rsidR="009F07DF" w:rsidRPr="00BB3ADF">
        <w:t>yöntemi</w:t>
      </w:r>
      <w:r w:rsidR="009F07DF">
        <w:t xml:space="preserve">yle tahmin edilmiştir. </w:t>
      </w:r>
    </w:p>
    <w:p w:rsidR="00A850E7" w:rsidRDefault="00A850E7" w:rsidP="00CC031B">
      <w:pPr>
        <w:autoSpaceDE w:val="0"/>
        <w:autoSpaceDN w:val="0"/>
        <w:adjustRightInd w:val="0"/>
        <w:spacing w:before="240" w:after="240" w:line="360" w:lineRule="auto"/>
        <w:ind w:firstLine="706"/>
        <w:jc w:val="both"/>
        <w:rPr>
          <w:b/>
          <w:bCs/>
        </w:rPr>
      </w:pPr>
    </w:p>
    <w:p w:rsidR="00A850E7" w:rsidRDefault="00A850E7" w:rsidP="00CC031B">
      <w:pPr>
        <w:autoSpaceDE w:val="0"/>
        <w:autoSpaceDN w:val="0"/>
        <w:adjustRightInd w:val="0"/>
        <w:spacing w:before="240" w:after="240" w:line="360" w:lineRule="auto"/>
        <w:ind w:firstLine="706"/>
        <w:jc w:val="both"/>
        <w:rPr>
          <w:b/>
          <w:bCs/>
        </w:rPr>
      </w:pPr>
    </w:p>
    <w:p w:rsidR="0044255F" w:rsidRDefault="0044255F" w:rsidP="00CC031B">
      <w:pPr>
        <w:autoSpaceDE w:val="0"/>
        <w:autoSpaceDN w:val="0"/>
        <w:adjustRightInd w:val="0"/>
        <w:spacing w:before="240" w:after="240" w:line="360" w:lineRule="auto"/>
        <w:ind w:firstLine="706"/>
        <w:jc w:val="both"/>
        <w:rPr>
          <w:b/>
          <w:bCs/>
        </w:rPr>
      </w:pPr>
      <w:r w:rsidRPr="00F17F38">
        <w:rPr>
          <w:b/>
          <w:bCs/>
        </w:rPr>
        <w:t>ANAHTAR SÖZCÜKLER</w:t>
      </w:r>
      <w:r>
        <w:rPr>
          <w:b/>
          <w:bCs/>
        </w:rPr>
        <w:t xml:space="preserve">: </w:t>
      </w:r>
      <w:bookmarkStart w:id="7" w:name="OLE_LINK16"/>
      <w:bookmarkStart w:id="8" w:name="OLE_LINK17"/>
      <w:r>
        <w:t>Küresel I</w:t>
      </w:r>
      <w:r w:rsidR="006E3580">
        <w:t>sınma, İklim Değişikliği, Sera</w:t>
      </w:r>
      <w:r w:rsidR="002C05EC">
        <w:t xml:space="preserve"> </w:t>
      </w:r>
      <w:r w:rsidR="00C70DEA">
        <w:t>G</w:t>
      </w:r>
      <w:r>
        <w:t>azları, Karbon Piyasaları, Emisyon Ticareti,</w:t>
      </w:r>
      <w:r w:rsidR="00C54143">
        <w:t xml:space="preserve"> Ekonomik Araçlar</w:t>
      </w:r>
      <w:r>
        <w:t>,</w:t>
      </w:r>
      <w:r w:rsidR="00C54143">
        <w:t xml:space="preserve"> </w:t>
      </w:r>
      <w:r w:rsidR="00A850E7">
        <w:t xml:space="preserve">Ekonomik Büyüme, İhracat, İthalat, </w:t>
      </w:r>
      <w:r>
        <w:t>Panel Veri Analizi</w:t>
      </w:r>
      <w:bookmarkEnd w:id="7"/>
      <w:bookmarkEnd w:id="8"/>
      <w:r>
        <w:t>, OECD Ülkeleri.</w:t>
      </w:r>
      <w:r>
        <w:rPr>
          <w:b/>
          <w:bCs/>
        </w:rPr>
        <w:br w:type="page"/>
      </w:r>
    </w:p>
    <w:p w:rsidR="0044255F" w:rsidRPr="00F17F38" w:rsidRDefault="0044255F" w:rsidP="00A67DEA">
      <w:pPr>
        <w:spacing w:line="360" w:lineRule="auto"/>
        <w:rPr>
          <w:b/>
          <w:bCs/>
        </w:rPr>
      </w:pPr>
      <w:r w:rsidRPr="00F17F38">
        <w:rPr>
          <w:b/>
          <w:bCs/>
        </w:rPr>
        <w:lastRenderedPageBreak/>
        <w:t>NAME</w:t>
      </w:r>
      <w:r>
        <w:rPr>
          <w:b/>
          <w:bCs/>
        </w:rPr>
        <w:t>:  MEHMET</w:t>
      </w:r>
      <w:r w:rsidR="00EA24A2">
        <w:rPr>
          <w:b/>
          <w:bCs/>
        </w:rPr>
        <w:t xml:space="preserve"> </w:t>
      </w:r>
      <w:r>
        <w:rPr>
          <w:b/>
          <w:bCs/>
        </w:rPr>
        <w:t>METİN DAM</w:t>
      </w:r>
    </w:p>
    <w:p w:rsidR="00541726" w:rsidRPr="0082306A" w:rsidRDefault="0044255F" w:rsidP="00A67DEA">
      <w:pPr>
        <w:spacing w:line="360" w:lineRule="auto"/>
        <w:rPr>
          <w:b/>
          <w:bCs/>
        </w:rPr>
      </w:pPr>
      <w:r w:rsidRPr="00F17F38">
        <w:rPr>
          <w:b/>
          <w:bCs/>
        </w:rPr>
        <w:t>TITLE</w:t>
      </w:r>
      <w:r>
        <w:t>:</w:t>
      </w:r>
      <w:r w:rsidR="00EA24A2">
        <w:t xml:space="preserve"> </w:t>
      </w:r>
      <w:r w:rsidR="00541726" w:rsidRPr="0082306A">
        <w:rPr>
          <w:b/>
          <w:bCs/>
        </w:rPr>
        <w:t>THE RELATIONSHIP BETWEEN GREENHOUSE GAS EMISSIONS AND MACROECONOMIC VARIABLES: PANEL DATA ANALYSIS FOR OECD COUNTRIES</w:t>
      </w:r>
    </w:p>
    <w:p w:rsidR="0044255F" w:rsidRPr="00210B48" w:rsidRDefault="0044255F" w:rsidP="00E71421">
      <w:pPr>
        <w:pStyle w:val="Balk1"/>
      </w:pPr>
      <w:bookmarkStart w:id="9" w:name="_Toc384823965"/>
      <w:r w:rsidRPr="00210B48">
        <w:t>ABSTRACT</w:t>
      </w:r>
      <w:bookmarkEnd w:id="9"/>
    </w:p>
    <w:p w:rsidR="00483303" w:rsidRPr="005E2AA8" w:rsidRDefault="00483303" w:rsidP="00483303">
      <w:pPr>
        <w:autoSpaceDE w:val="0"/>
        <w:autoSpaceDN w:val="0"/>
        <w:adjustRightInd w:val="0"/>
        <w:spacing w:before="240" w:after="240" w:line="360" w:lineRule="auto"/>
        <w:ind w:firstLine="706"/>
        <w:jc w:val="both"/>
        <w:rPr>
          <w:lang w:val="en-US"/>
        </w:rPr>
      </w:pPr>
      <w:r w:rsidRPr="00483303">
        <w:rPr>
          <w:lang w:val="en-US"/>
        </w:rPr>
        <w:t xml:space="preserve">Climate </w:t>
      </w:r>
      <w:proofErr w:type="gramStart"/>
      <w:r w:rsidRPr="00483303">
        <w:rPr>
          <w:lang w:val="en-US"/>
        </w:rPr>
        <w:t>change ,</w:t>
      </w:r>
      <w:proofErr w:type="gramEnd"/>
      <w:r w:rsidRPr="00483303">
        <w:rPr>
          <w:lang w:val="en-US"/>
        </w:rPr>
        <w:t xml:space="preserve"> which is considered as one of the greatest challenges the world faces today, results from increases in greenhouse gas emissions because of human activities and increases in greenhouse gas concentrations. UN developed a variety of policies and tools to mitigate this environmental issue, the aim of which is to reduce greenhouse gas emissions. In this context, The United Nations Framework Convention on Climate Change, which was put into force on 21st March and Kyoto Protocol on 16th February 2005, are the most important attempts to prevent global warming. A variety of policies and tools have been developed by KP and UNFCCC to cope with increasing ghg emissions.</w:t>
      </w:r>
    </w:p>
    <w:p w:rsidR="00381B9D" w:rsidRDefault="00B115AC" w:rsidP="001942DA">
      <w:pPr>
        <w:autoSpaceDE w:val="0"/>
        <w:autoSpaceDN w:val="0"/>
        <w:adjustRightInd w:val="0"/>
        <w:spacing w:before="240" w:after="240" w:line="360" w:lineRule="auto"/>
        <w:ind w:firstLine="706"/>
        <w:jc w:val="both"/>
        <w:rPr>
          <w:lang w:val="en-US"/>
        </w:rPr>
      </w:pPr>
      <w:r w:rsidRPr="005E2AA8">
        <w:rPr>
          <w:lang w:val="en-US"/>
        </w:rPr>
        <w:t xml:space="preserve"> In this study, the relationship between greenhouse emissions with macroeconomic variables was studied, for OECD countries, using 1971-2011 data through panel</w:t>
      </w:r>
      <w:r w:rsidRPr="005E2AA8">
        <w:rPr>
          <w:color w:val="FF0000"/>
          <w:lang w:val="en-US"/>
        </w:rPr>
        <w:t xml:space="preserve"> </w:t>
      </w:r>
      <w:r w:rsidRPr="005E2AA8">
        <w:rPr>
          <w:lang w:val="en-US"/>
        </w:rPr>
        <w:t xml:space="preserve">data analysis. At this stage it is necessary to do </w:t>
      </w:r>
      <w:r w:rsidR="00FE5AAE" w:rsidRPr="005E2AA8">
        <w:rPr>
          <w:lang w:val="en-US"/>
        </w:rPr>
        <w:t>cross-</w:t>
      </w:r>
      <w:r w:rsidRPr="005E2AA8">
        <w:rPr>
          <w:lang w:val="en-US"/>
        </w:rPr>
        <w:t xml:space="preserve">sectional </w:t>
      </w:r>
      <w:r w:rsidR="00FE5AAE" w:rsidRPr="005E2AA8">
        <w:rPr>
          <w:lang w:val="en-US"/>
        </w:rPr>
        <w:t>dependency</w:t>
      </w:r>
      <w:r w:rsidRPr="005E2AA8">
        <w:rPr>
          <w:lang w:val="en-US"/>
        </w:rPr>
        <w:t xml:space="preserve"> research to determine the tests to be used. As a result of the </w:t>
      </w:r>
      <w:r w:rsidR="00FE5AAE" w:rsidRPr="005E2AA8">
        <w:rPr>
          <w:lang w:val="en-US"/>
        </w:rPr>
        <w:t>cross-</w:t>
      </w:r>
      <w:r w:rsidRPr="005E2AA8">
        <w:rPr>
          <w:lang w:val="en-US"/>
        </w:rPr>
        <w:t xml:space="preserve">sectional </w:t>
      </w:r>
      <w:r w:rsidR="00FE5AAE" w:rsidRPr="005E2AA8">
        <w:rPr>
          <w:lang w:val="en-US"/>
        </w:rPr>
        <w:t>dependency</w:t>
      </w:r>
      <w:r w:rsidRPr="005E2AA8">
        <w:rPr>
          <w:lang w:val="en-US"/>
        </w:rPr>
        <w:t xml:space="preserve"> test, it was observed that there is </w:t>
      </w:r>
      <w:r w:rsidR="00FE5AAE" w:rsidRPr="005E2AA8">
        <w:rPr>
          <w:lang w:val="en-US"/>
        </w:rPr>
        <w:t>cross-</w:t>
      </w:r>
      <w:r w:rsidRPr="005E2AA8">
        <w:rPr>
          <w:lang w:val="en-US"/>
        </w:rPr>
        <w:t xml:space="preserve">sectional test between the countries. Of the second </w:t>
      </w:r>
      <w:r w:rsidR="005E2AA8" w:rsidRPr="005E2AA8">
        <w:rPr>
          <w:lang w:val="en-US"/>
        </w:rPr>
        <w:t>generation</w:t>
      </w:r>
      <w:r w:rsidRPr="005E2AA8">
        <w:rPr>
          <w:lang w:val="en-US"/>
        </w:rPr>
        <w:t xml:space="preserve"> unit root tests, CADF and CIPS, which takes this situation into consideration, was used to test it and it was observed that series are not sta</w:t>
      </w:r>
      <w:r w:rsidR="00B16D4F">
        <w:rPr>
          <w:lang w:val="en-US"/>
        </w:rPr>
        <w:t xml:space="preserve">tionary </w:t>
      </w:r>
      <w:r w:rsidRPr="005E2AA8">
        <w:rPr>
          <w:lang w:val="en-US"/>
        </w:rPr>
        <w:t xml:space="preserve">at the </w:t>
      </w:r>
      <w:r w:rsidR="00B16D4F">
        <w:rPr>
          <w:lang w:val="en-US"/>
        </w:rPr>
        <w:t>level</w:t>
      </w:r>
      <w:r w:rsidRPr="005E2AA8">
        <w:rPr>
          <w:lang w:val="en-US"/>
        </w:rPr>
        <w:t xml:space="preserve"> values. The </w:t>
      </w:r>
      <w:r w:rsidR="005E2AA8" w:rsidRPr="005E2AA8">
        <w:rPr>
          <w:lang w:val="en-US"/>
        </w:rPr>
        <w:t>existence</w:t>
      </w:r>
      <w:r w:rsidRPr="005E2AA8">
        <w:rPr>
          <w:lang w:val="en-US"/>
        </w:rPr>
        <w:t xml:space="preserve"> of cointegration relation between series was examined through Westerlund Durbin Hausman Test; and it was confirmed that there was cointegration relation between series. In the end, long-term cointegration coefficient of cointegrated model was estimated through estimation method based on the Common Correlated Effect developed by Pesaran (2006b).</w:t>
      </w:r>
    </w:p>
    <w:p w:rsidR="001942DA" w:rsidRPr="001942DA" w:rsidRDefault="001942DA" w:rsidP="001942DA">
      <w:pPr>
        <w:autoSpaceDE w:val="0"/>
        <w:autoSpaceDN w:val="0"/>
        <w:adjustRightInd w:val="0"/>
        <w:spacing w:before="240" w:after="240" w:line="360" w:lineRule="auto"/>
        <w:ind w:firstLine="706"/>
        <w:jc w:val="both"/>
        <w:rPr>
          <w:lang w:val="en-US"/>
        </w:rPr>
      </w:pPr>
    </w:p>
    <w:p w:rsidR="001942DA" w:rsidRDefault="0044255F" w:rsidP="00D52259">
      <w:pPr>
        <w:autoSpaceDE w:val="0"/>
        <w:autoSpaceDN w:val="0"/>
        <w:adjustRightInd w:val="0"/>
        <w:spacing w:line="360" w:lineRule="auto"/>
        <w:ind w:firstLine="706"/>
        <w:jc w:val="both"/>
      </w:pPr>
      <w:r w:rsidRPr="00B948C4">
        <w:rPr>
          <w:b/>
          <w:bCs/>
        </w:rPr>
        <w:t>KEYWORDS</w:t>
      </w:r>
      <w:r>
        <w:rPr>
          <w:b/>
          <w:bCs/>
        </w:rPr>
        <w:t xml:space="preserve">: </w:t>
      </w:r>
      <w:r w:rsidRPr="00530C86">
        <w:t>G</w:t>
      </w:r>
      <w:r>
        <w:t xml:space="preserve">lobal Warming, Climate Change, </w:t>
      </w:r>
      <w:r w:rsidRPr="00F00A4F">
        <w:t>Greenhause Gases</w:t>
      </w:r>
      <w:r>
        <w:t>,</w:t>
      </w:r>
      <w:r w:rsidR="00576BA8">
        <w:t xml:space="preserve"> </w:t>
      </w:r>
      <w:r>
        <w:t>Carbon Markets, Emissions Trading,</w:t>
      </w:r>
      <w:r w:rsidR="003E3122" w:rsidRPr="003E3122">
        <w:t xml:space="preserve"> </w:t>
      </w:r>
      <w:r w:rsidR="003E3122">
        <w:t>Economic I</w:t>
      </w:r>
      <w:r w:rsidR="003E3122" w:rsidRPr="003E3122">
        <w:t>nstruments</w:t>
      </w:r>
      <w:r>
        <w:t>,</w:t>
      </w:r>
      <w:r w:rsidR="003E3122" w:rsidRPr="003E3122">
        <w:t xml:space="preserve"> </w:t>
      </w:r>
      <w:r w:rsidR="001942DA">
        <w:t xml:space="preserve">EKC, Economic Growth, Export, Import, </w:t>
      </w:r>
      <w:r>
        <w:t>Panel Data Analysis, OECD Countries.</w:t>
      </w:r>
    </w:p>
    <w:p w:rsidR="0044255F" w:rsidRDefault="0044255F" w:rsidP="00D52259">
      <w:pPr>
        <w:autoSpaceDE w:val="0"/>
        <w:autoSpaceDN w:val="0"/>
        <w:adjustRightInd w:val="0"/>
        <w:spacing w:line="360" w:lineRule="auto"/>
        <w:ind w:firstLine="706"/>
        <w:jc w:val="both"/>
      </w:pPr>
      <w:r>
        <w:br w:type="page"/>
      </w:r>
    </w:p>
    <w:p w:rsidR="0044255F" w:rsidRDefault="0044255F" w:rsidP="00E71421">
      <w:pPr>
        <w:pStyle w:val="Balk1"/>
      </w:pPr>
      <w:bookmarkStart w:id="10" w:name="_Toc384823966"/>
      <w:r w:rsidRPr="00F06761">
        <w:lastRenderedPageBreak/>
        <w:t>ÖNSÖZ</w:t>
      </w:r>
      <w:bookmarkEnd w:id="10"/>
    </w:p>
    <w:p w:rsidR="00A05121" w:rsidRDefault="0044255F" w:rsidP="006D4A40">
      <w:pPr>
        <w:spacing w:before="240" w:after="240" w:line="360" w:lineRule="auto"/>
        <w:ind w:firstLine="709"/>
        <w:jc w:val="both"/>
        <w:rPr>
          <w:sz w:val="28"/>
          <w:szCs w:val="28"/>
        </w:rPr>
      </w:pPr>
      <w:r>
        <w:t>Akademik hayatımın başından itibaren bana her türlü desteği</w:t>
      </w:r>
      <w:r w:rsidR="00FA6833">
        <w:t>ni</w:t>
      </w:r>
      <w:r>
        <w:t xml:space="preserve"> </w:t>
      </w:r>
      <w:r w:rsidR="00FA6833">
        <w:t>esirgemey</w:t>
      </w:r>
      <w:r>
        <w:t>en ve iktisat bilim</w:t>
      </w:r>
      <w:r w:rsidR="00FA6833">
        <w:t xml:space="preserve">ini bana sevdiren danışmanım </w:t>
      </w:r>
      <w:r w:rsidR="00A9019D">
        <w:t>Doç</w:t>
      </w:r>
      <w:r>
        <w:t>.</w:t>
      </w:r>
      <w:r w:rsidR="002E584B">
        <w:t xml:space="preserve"> </w:t>
      </w:r>
      <w:r>
        <w:t xml:space="preserve">Dr. Etem KARAKAYA başta olmak üzere, </w:t>
      </w:r>
      <w:r w:rsidR="00375538">
        <w:t>tez izleme kurulundaki Yrd. Doç. Dr. Abdullah ÖZDEMİR ve Yrd. Doç. Dr. Mustafa ÖZÇAĞ’a desteklerinden dolayı teşekkür ederim. T</w:t>
      </w:r>
      <w:r>
        <w:t>ez çalışmasının başlangıç dönemlerinde desteğini gördüğüm Yrd.</w:t>
      </w:r>
      <w:r w:rsidR="002E584B">
        <w:t xml:space="preserve"> </w:t>
      </w:r>
      <w:r>
        <w:t>Doç.</w:t>
      </w:r>
      <w:r w:rsidR="002E584B">
        <w:t xml:space="preserve"> </w:t>
      </w:r>
      <w:r>
        <w:t>Dr. Mehmet MERCAN’a</w:t>
      </w:r>
      <w:r w:rsidR="001129A1">
        <w:t xml:space="preserve"> </w:t>
      </w:r>
      <w:r w:rsidR="00375538">
        <w:t>ve</w:t>
      </w:r>
      <w:r w:rsidR="00375538" w:rsidRPr="00375538">
        <w:t xml:space="preserve"> </w:t>
      </w:r>
      <w:r w:rsidR="00375538">
        <w:t xml:space="preserve">Prof. Dr. Murat TÜRKEŞ ayrıca </w:t>
      </w:r>
      <w:r w:rsidR="001129A1">
        <w:t>teşekkür ederim.</w:t>
      </w:r>
      <w:r w:rsidR="00375538">
        <w:t xml:space="preserve"> Tez yazımı boyunca b</w:t>
      </w:r>
      <w:r w:rsidR="00A9019D">
        <w:t>a</w:t>
      </w:r>
      <w:r w:rsidR="00375538">
        <w:t xml:space="preserve">na desteğini hiç esirgemeyen Yrd. Doç. </w:t>
      </w:r>
      <w:r w:rsidR="005E56BC">
        <w:t xml:space="preserve">Dr. </w:t>
      </w:r>
      <w:r w:rsidR="00375538">
        <w:t xml:space="preserve">Ali FİLİZ ve </w:t>
      </w:r>
      <w:r w:rsidR="00BD7FD5">
        <w:t xml:space="preserve">Yrd. Doç. Dr. </w:t>
      </w:r>
      <w:r w:rsidR="00375538">
        <w:t>İsmet GÖÇER’e</w:t>
      </w:r>
      <w:r w:rsidR="005E56BC">
        <w:t xml:space="preserve"> </w:t>
      </w:r>
      <w:r>
        <w:t xml:space="preserve">çalışmanın yönlendirilmesinde yapmış oldukları katkılardan dolayı teşekkürü borç bilirim. Çalışmanın özellikle ekonometrik uygulama bölümlerinde yardımcı olan </w:t>
      </w:r>
      <w:r w:rsidR="00375538">
        <w:t xml:space="preserve">Yrd. </w:t>
      </w:r>
      <w:r>
        <w:t>Doç.</w:t>
      </w:r>
      <w:r w:rsidR="002E584B">
        <w:t xml:space="preserve"> </w:t>
      </w:r>
      <w:r>
        <w:t xml:space="preserve">Dr. </w:t>
      </w:r>
      <w:r w:rsidR="00375538">
        <w:t>Şahin BULUT’a</w:t>
      </w:r>
      <w:r>
        <w:t xml:space="preserve"> da şükranlarımı sunuyorum. Bunun yanında, çalışma süresince </w:t>
      </w:r>
      <w:r w:rsidR="00FC3063">
        <w:t>bana manevi desteklerini esirgemeyen</w:t>
      </w:r>
      <w:r w:rsidR="00AA7650">
        <w:t xml:space="preserve"> </w:t>
      </w:r>
      <w:r>
        <w:t xml:space="preserve">annem, babam ve </w:t>
      </w:r>
      <w:r w:rsidR="00FC3063">
        <w:t>en zor zamanlarda yanımda olan</w:t>
      </w:r>
      <w:r w:rsidR="00AA7650">
        <w:t xml:space="preserve"> </w:t>
      </w:r>
      <w:r>
        <w:t>sevgili eşim Emine’ye minnettarım. Haya</w:t>
      </w:r>
      <w:r w:rsidR="00C069EA">
        <w:t xml:space="preserve">tımın neşe kaynağı olan üç oğlum; İbrahim Yusuf, Yasin ve Fatih’in </w:t>
      </w:r>
      <w:r>
        <w:t>vermiş olduğu pozitif enerji ve çalışma azmi için de sonsuz teşekkürler.</w:t>
      </w:r>
      <w:r>
        <w:rPr>
          <w:sz w:val="28"/>
          <w:szCs w:val="28"/>
        </w:rPr>
        <w:tab/>
      </w:r>
    </w:p>
    <w:p w:rsidR="00A05121" w:rsidRDefault="00A05121" w:rsidP="006D4A40">
      <w:pPr>
        <w:spacing w:before="240" w:after="240" w:line="360" w:lineRule="auto"/>
        <w:ind w:firstLine="709"/>
        <w:jc w:val="both"/>
        <w:rPr>
          <w:sz w:val="28"/>
          <w:szCs w:val="28"/>
        </w:rPr>
      </w:pPr>
    </w:p>
    <w:p w:rsidR="00A05121" w:rsidRDefault="0044255F" w:rsidP="006D4A40">
      <w:pPr>
        <w:spacing w:before="240" w:after="240" w:line="360" w:lineRule="auto"/>
        <w:ind w:firstLine="709"/>
        <w:jc w:val="both"/>
        <w:rPr>
          <w:sz w:val="28"/>
          <w:szCs w:val="28"/>
        </w:rPr>
      </w:pPr>
      <w:r>
        <w:rPr>
          <w:sz w:val="28"/>
          <w:szCs w:val="28"/>
        </w:rPr>
        <w:tab/>
      </w:r>
    </w:p>
    <w:p w:rsidR="0044255F" w:rsidRPr="00B643FC" w:rsidRDefault="00A05121" w:rsidP="00A05121">
      <w:pPr>
        <w:spacing w:before="240" w:after="240" w:line="360" w:lineRule="auto"/>
        <w:jc w:val="right"/>
        <w:rPr>
          <w:b/>
        </w:rPr>
      </w:pPr>
      <w:r w:rsidRPr="00B643FC">
        <w:rPr>
          <w:b/>
        </w:rPr>
        <w:t>Mehmet Metin DAM</w:t>
      </w:r>
      <w:r w:rsidR="0044255F" w:rsidRPr="00B643FC">
        <w:rPr>
          <w:b/>
        </w:rPr>
        <w:br w:type="page"/>
      </w:r>
    </w:p>
    <w:p w:rsidR="00FA4BF2" w:rsidRPr="00F12D11" w:rsidRDefault="00FA4BF2" w:rsidP="00E71421">
      <w:pPr>
        <w:pStyle w:val="Balk1"/>
      </w:pPr>
      <w:bookmarkStart w:id="11" w:name="_Toc384823967"/>
      <w:r w:rsidRPr="00F12D11">
        <w:lastRenderedPageBreak/>
        <w:t>İÇİNDEKİLER</w:t>
      </w:r>
      <w:bookmarkEnd w:id="11"/>
    </w:p>
    <w:bookmarkStart w:id="12" w:name="OLE_LINK12"/>
    <w:bookmarkStart w:id="13" w:name="OLE_LINK13"/>
    <w:p w:rsidR="007374E0" w:rsidRPr="00214601" w:rsidRDefault="009A6636">
      <w:pPr>
        <w:pStyle w:val="T1"/>
        <w:rPr>
          <w:rFonts w:asciiTheme="minorHAnsi" w:eastAsiaTheme="minorEastAsia" w:hAnsiTheme="minorHAnsi" w:cstheme="minorBidi"/>
          <w:sz w:val="22"/>
          <w:szCs w:val="22"/>
          <w:lang w:eastAsia="tr-TR"/>
        </w:rPr>
      </w:pPr>
      <w:r>
        <w:rPr>
          <w:sz w:val="28"/>
          <w:szCs w:val="28"/>
        </w:rPr>
        <w:fldChar w:fldCharType="begin"/>
      </w:r>
      <w:r w:rsidR="00FA4BF2">
        <w:rPr>
          <w:sz w:val="28"/>
          <w:szCs w:val="28"/>
        </w:rPr>
        <w:instrText xml:space="preserve"> TOC \o "1-5" \h \z \u </w:instrText>
      </w:r>
      <w:r>
        <w:rPr>
          <w:sz w:val="28"/>
          <w:szCs w:val="28"/>
        </w:rPr>
        <w:fldChar w:fldCharType="separate"/>
      </w:r>
      <w:hyperlink w:anchor="_Toc384823964" w:history="1">
        <w:r w:rsidR="007374E0" w:rsidRPr="00214601">
          <w:rPr>
            <w:rStyle w:val="Kpr"/>
            <w:b/>
          </w:rPr>
          <w:t>ÖZET</w:t>
        </w:r>
        <w:r w:rsidR="007374E0" w:rsidRPr="00214601">
          <w:rPr>
            <w:webHidden/>
          </w:rPr>
          <w:tab/>
        </w:r>
        <w:r w:rsidR="007374E0" w:rsidRPr="00214601">
          <w:rPr>
            <w:webHidden/>
          </w:rPr>
          <w:fldChar w:fldCharType="begin"/>
        </w:r>
        <w:r w:rsidR="007374E0" w:rsidRPr="00214601">
          <w:rPr>
            <w:webHidden/>
          </w:rPr>
          <w:instrText xml:space="preserve"> PAGEREF _Toc384823964 \h </w:instrText>
        </w:r>
        <w:r w:rsidR="007374E0" w:rsidRPr="00214601">
          <w:rPr>
            <w:webHidden/>
          </w:rPr>
        </w:r>
        <w:r w:rsidR="007374E0" w:rsidRPr="00214601">
          <w:rPr>
            <w:webHidden/>
          </w:rPr>
          <w:fldChar w:fldCharType="separate"/>
        </w:r>
        <w:r w:rsidR="007C769A">
          <w:rPr>
            <w:webHidden/>
          </w:rPr>
          <w:t>ii</w:t>
        </w:r>
        <w:r w:rsidR="007374E0" w:rsidRPr="00214601">
          <w:rPr>
            <w:webHidden/>
          </w:rPr>
          <w:fldChar w:fldCharType="end"/>
        </w:r>
      </w:hyperlink>
    </w:p>
    <w:p w:rsidR="007374E0" w:rsidRPr="00214601" w:rsidRDefault="00E56A11">
      <w:pPr>
        <w:pStyle w:val="T1"/>
        <w:rPr>
          <w:rFonts w:asciiTheme="minorHAnsi" w:eastAsiaTheme="minorEastAsia" w:hAnsiTheme="minorHAnsi" w:cstheme="minorBidi"/>
          <w:sz w:val="22"/>
          <w:szCs w:val="22"/>
          <w:lang w:eastAsia="tr-TR"/>
        </w:rPr>
      </w:pPr>
      <w:hyperlink w:anchor="_Toc384823965" w:history="1">
        <w:r w:rsidR="007374E0" w:rsidRPr="00214601">
          <w:rPr>
            <w:rStyle w:val="Kpr"/>
            <w:b/>
          </w:rPr>
          <w:t>ABSTRACT</w:t>
        </w:r>
        <w:r w:rsidR="007374E0" w:rsidRPr="00214601">
          <w:rPr>
            <w:webHidden/>
          </w:rPr>
          <w:tab/>
        </w:r>
        <w:r w:rsidR="007374E0" w:rsidRPr="00214601">
          <w:rPr>
            <w:webHidden/>
          </w:rPr>
          <w:fldChar w:fldCharType="begin"/>
        </w:r>
        <w:r w:rsidR="007374E0" w:rsidRPr="00214601">
          <w:rPr>
            <w:webHidden/>
          </w:rPr>
          <w:instrText xml:space="preserve"> PAGEREF _Toc384823965 \h </w:instrText>
        </w:r>
        <w:r w:rsidR="007374E0" w:rsidRPr="00214601">
          <w:rPr>
            <w:webHidden/>
          </w:rPr>
        </w:r>
        <w:r w:rsidR="007374E0" w:rsidRPr="00214601">
          <w:rPr>
            <w:webHidden/>
          </w:rPr>
          <w:fldChar w:fldCharType="separate"/>
        </w:r>
        <w:r w:rsidR="007C769A">
          <w:rPr>
            <w:webHidden/>
          </w:rPr>
          <w:t>iii</w:t>
        </w:r>
        <w:r w:rsidR="007374E0" w:rsidRPr="00214601">
          <w:rPr>
            <w:webHidden/>
          </w:rPr>
          <w:fldChar w:fldCharType="end"/>
        </w:r>
      </w:hyperlink>
    </w:p>
    <w:p w:rsidR="007374E0" w:rsidRPr="00214601" w:rsidRDefault="00E56A11">
      <w:pPr>
        <w:pStyle w:val="T1"/>
        <w:rPr>
          <w:rFonts w:asciiTheme="minorHAnsi" w:eastAsiaTheme="minorEastAsia" w:hAnsiTheme="minorHAnsi" w:cstheme="minorBidi"/>
          <w:sz w:val="22"/>
          <w:szCs w:val="22"/>
          <w:lang w:eastAsia="tr-TR"/>
        </w:rPr>
      </w:pPr>
      <w:hyperlink w:anchor="_Toc384823966" w:history="1">
        <w:r w:rsidR="007374E0" w:rsidRPr="00214601">
          <w:rPr>
            <w:rStyle w:val="Kpr"/>
            <w:b/>
          </w:rPr>
          <w:t>ÖNSÖZ</w:t>
        </w:r>
        <w:r w:rsidR="007374E0" w:rsidRPr="00214601">
          <w:rPr>
            <w:webHidden/>
          </w:rPr>
          <w:tab/>
        </w:r>
        <w:r w:rsidR="007374E0" w:rsidRPr="00214601">
          <w:rPr>
            <w:webHidden/>
          </w:rPr>
          <w:fldChar w:fldCharType="begin"/>
        </w:r>
        <w:r w:rsidR="007374E0" w:rsidRPr="00214601">
          <w:rPr>
            <w:webHidden/>
          </w:rPr>
          <w:instrText xml:space="preserve"> PAGEREF _Toc384823966 \h </w:instrText>
        </w:r>
        <w:r w:rsidR="007374E0" w:rsidRPr="00214601">
          <w:rPr>
            <w:webHidden/>
          </w:rPr>
        </w:r>
        <w:r w:rsidR="007374E0" w:rsidRPr="00214601">
          <w:rPr>
            <w:webHidden/>
          </w:rPr>
          <w:fldChar w:fldCharType="separate"/>
        </w:r>
        <w:r w:rsidR="007C769A">
          <w:rPr>
            <w:webHidden/>
          </w:rPr>
          <w:t>iv</w:t>
        </w:r>
        <w:r w:rsidR="007374E0" w:rsidRPr="00214601">
          <w:rPr>
            <w:webHidden/>
          </w:rPr>
          <w:fldChar w:fldCharType="end"/>
        </w:r>
      </w:hyperlink>
    </w:p>
    <w:p w:rsidR="007374E0" w:rsidRPr="00214601" w:rsidRDefault="00E56A11">
      <w:pPr>
        <w:pStyle w:val="T1"/>
        <w:rPr>
          <w:rFonts w:asciiTheme="minorHAnsi" w:eastAsiaTheme="minorEastAsia" w:hAnsiTheme="minorHAnsi" w:cstheme="minorBidi"/>
          <w:sz w:val="22"/>
          <w:szCs w:val="22"/>
          <w:lang w:eastAsia="tr-TR"/>
        </w:rPr>
      </w:pPr>
      <w:hyperlink w:anchor="_Toc384823967" w:history="1">
        <w:r w:rsidR="007374E0" w:rsidRPr="00214601">
          <w:rPr>
            <w:rStyle w:val="Kpr"/>
            <w:b/>
          </w:rPr>
          <w:t>İÇİNDEKİLER</w:t>
        </w:r>
        <w:r w:rsidR="007374E0" w:rsidRPr="00214601">
          <w:rPr>
            <w:webHidden/>
          </w:rPr>
          <w:tab/>
        </w:r>
        <w:r w:rsidR="007374E0" w:rsidRPr="00214601">
          <w:rPr>
            <w:webHidden/>
          </w:rPr>
          <w:fldChar w:fldCharType="begin"/>
        </w:r>
        <w:r w:rsidR="007374E0" w:rsidRPr="00214601">
          <w:rPr>
            <w:webHidden/>
          </w:rPr>
          <w:instrText xml:space="preserve"> PAGEREF _Toc384823967 \h </w:instrText>
        </w:r>
        <w:r w:rsidR="007374E0" w:rsidRPr="00214601">
          <w:rPr>
            <w:webHidden/>
          </w:rPr>
        </w:r>
        <w:r w:rsidR="007374E0" w:rsidRPr="00214601">
          <w:rPr>
            <w:webHidden/>
          </w:rPr>
          <w:fldChar w:fldCharType="separate"/>
        </w:r>
        <w:r w:rsidR="007C769A">
          <w:rPr>
            <w:webHidden/>
          </w:rPr>
          <w:t>v</w:t>
        </w:r>
        <w:r w:rsidR="007374E0" w:rsidRPr="00214601">
          <w:rPr>
            <w:webHidden/>
          </w:rPr>
          <w:fldChar w:fldCharType="end"/>
        </w:r>
      </w:hyperlink>
    </w:p>
    <w:p w:rsidR="007374E0" w:rsidRPr="00214601" w:rsidRDefault="00E56A11">
      <w:pPr>
        <w:pStyle w:val="T1"/>
        <w:rPr>
          <w:rFonts w:asciiTheme="minorHAnsi" w:eastAsiaTheme="minorEastAsia" w:hAnsiTheme="minorHAnsi" w:cstheme="minorBidi"/>
          <w:sz w:val="22"/>
          <w:szCs w:val="22"/>
          <w:lang w:eastAsia="tr-TR"/>
        </w:rPr>
      </w:pPr>
      <w:hyperlink w:anchor="_Toc384823968" w:history="1">
        <w:r w:rsidR="007374E0" w:rsidRPr="00214601">
          <w:rPr>
            <w:rStyle w:val="Kpr"/>
            <w:b/>
          </w:rPr>
          <w:t>KISALTMALAR VE SİMGELER</w:t>
        </w:r>
        <w:r w:rsidR="007374E0" w:rsidRPr="00214601">
          <w:rPr>
            <w:webHidden/>
          </w:rPr>
          <w:tab/>
        </w:r>
        <w:r w:rsidR="007374E0" w:rsidRPr="00214601">
          <w:rPr>
            <w:webHidden/>
          </w:rPr>
          <w:fldChar w:fldCharType="begin"/>
        </w:r>
        <w:r w:rsidR="007374E0" w:rsidRPr="00214601">
          <w:rPr>
            <w:webHidden/>
          </w:rPr>
          <w:instrText xml:space="preserve"> PAGEREF _Toc384823968 \h </w:instrText>
        </w:r>
        <w:r w:rsidR="007374E0" w:rsidRPr="00214601">
          <w:rPr>
            <w:webHidden/>
          </w:rPr>
        </w:r>
        <w:r w:rsidR="007374E0" w:rsidRPr="00214601">
          <w:rPr>
            <w:webHidden/>
          </w:rPr>
          <w:fldChar w:fldCharType="separate"/>
        </w:r>
        <w:r w:rsidR="007C769A">
          <w:rPr>
            <w:webHidden/>
          </w:rPr>
          <w:t>viii</w:t>
        </w:r>
        <w:r w:rsidR="007374E0" w:rsidRPr="00214601">
          <w:rPr>
            <w:webHidden/>
          </w:rPr>
          <w:fldChar w:fldCharType="end"/>
        </w:r>
      </w:hyperlink>
    </w:p>
    <w:p w:rsidR="007374E0" w:rsidRPr="00214601" w:rsidRDefault="00E56A11">
      <w:pPr>
        <w:pStyle w:val="T1"/>
        <w:rPr>
          <w:rFonts w:asciiTheme="minorHAnsi" w:eastAsiaTheme="minorEastAsia" w:hAnsiTheme="minorHAnsi" w:cstheme="minorBidi"/>
          <w:sz w:val="22"/>
          <w:szCs w:val="22"/>
          <w:lang w:eastAsia="tr-TR"/>
        </w:rPr>
      </w:pPr>
      <w:hyperlink w:anchor="_Toc384823969" w:history="1">
        <w:r w:rsidR="007374E0" w:rsidRPr="00214601">
          <w:rPr>
            <w:rStyle w:val="Kpr"/>
            <w:b/>
          </w:rPr>
          <w:t>ŞEKİLLER LİSTESİ</w:t>
        </w:r>
        <w:r w:rsidR="007374E0" w:rsidRPr="00214601">
          <w:rPr>
            <w:webHidden/>
          </w:rPr>
          <w:tab/>
        </w:r>
        <w:r w:rsidR="007374E0" w:rsidRPr="00214601">
          <w:rPr>
            <w:webHidden/>
          </w:rPr>
          <w:fldChar w:fldCharType="begin"/>
        </w:r>
        <w:r w:rsidR="007374E0" w:rsidRPr="00214601">
          <w:rPr>
            <w:webHidden/>
          </w:rPr>
          <w:instrText xml:space="preserve"> PAGEREF _Toc384823969 \h </w:instrText>
        </w:r>
        <w:r w:rsidR="007374E0" w:rsidRPr="00214601">
          <w:rPr>
            <w:webHidden/>
          </w:rPr>
        </w:r>
        <w:r w:rsidR="007374E0" w:rsidRPr="00214601">
          <w:rPr>
            <w:webHidden/>
          </w:rPr>
          <w:fldChar w:fldCharType="separate"/>
        </w:r>
        <w:r w:rsidR="007C769A">
          <w:rPr>
            <w:webHidden/>
          </w:rPr>
          <w:t>xiii</w:t>
        </w:r>
        <w:r w:rsidR="007374E0" w:rsidRPr="00214601">
          <w:rPr>
            <w:webHidden/>
          </w:rPr>
          <w:fldChar w:fldCharType="end"/>
        </w:r>
      </w:hyperlink>
    </w:p>
    <w:p w:rsidR="007374E0" w:rsidRPr="00214601" w:rsidRDefault="00E56A11">
      <w:pPr>
        <w:pStyle w:val="T1"/>
        <w:rPr>
          <w:rFonts w:asciiTheme="minorHAnsi" w:eastAsiaTheme="minorEastAsia" w:hAnsiTheme="minorHAnsi" w:cstheme="minorBidi"/>
          <w:sz w:val="22"/>
          <w:szCs w:val="22"/>
          <w:lang w:eastAsia="tr-TR"/>
        </w:rPr>
      </w:pPr>
      <w:hyperlink w:anchor="_Toc384823970" w:history="1">
        <w:r w:rsidR="007374E0" w:rsidRPr="00214601">
          <w:rPr>
            <w:rStyle w:val="Kpr"/>
            <w:b/>
          </w:rPr>
          <w:t>ÇİZELGE LİSTESİ</w:t>
        </w:r>
        <w:r w:rsidR="007374E0" w:rsidRPr="00214601">
          <w:rPr>
            <w:webHidden/>
          </w:rPr>
          <w:tab/>
        </w:r>
        <w:r w:rsidR="007374E0" w:rsidRPr="00214601">
          <w:rPr>
            <w:webHidden/>
          </w:rPr>
          <w:fldChar w:fldCharType="begin"/>
        </w:r>
        <w:r w:rsidR="007374E0" w:rsidRPr="00214601">
          <w:rPr>
            <w:webHidden/>
          </w:rPr>
          <w:instrText xml:space="preserve"> PAGEREF _Toc384823970 \h </w:instrText>
        </w:r>
        <w:r w:rsidR="007374E0" w:rsidRPr="00214601">
          <w:rPr>
            <w:webHidden/>
          </w:rPr>
        </w:r>
        <w:r w:rsidR="007374E0" w:rsidRPr="00214601">
          <w:rPr>
            <w:webHidden/>
          </w:rPr>
          <w:fldChar w:fldCharType="separate"/>
        </w:r>
        <w:r w:rsidR="007C769A">
          <w:rPr>
            <w:webHidden/>
          </w:rPr>
          <w:t>xv</w:t>
        </w:r>
        <w:r w:rsidR="007374E0" w:rsidRPr="00214601">
          <w:rPr>
            <w:webHidden/>
          </w:rPr>
          <w:fldChar w:fldCharType="end"/>
        </w:r>
      </w:hyperlink>
    </w:p>
    <w:p w:rsidR="007374E0" w:rsidRPr="00214601" w:rsidRDefault="00E56A11">
      <w:pPr>
        <w:pStyle w:val="T1"/>
        <w:rPr>
          <w:rFonts w:asciiTheme="minorHAnsi" w:eastAsiaTheme="minorEastAsia" w:hAnsiTheme="minorHAnsi" w:cstheme="minorBidi"/>
          <w:sz w:val="22"/>
          <w:szCs w:val="22"/>
          <w:lang w:eastAsia="tr-TR"/>
        </w:rPr>
      </w:pPr>
      <w:hyperlink w:anchor="_Toc384823971" w:history="1">
        <w:r w:rsidR="007374E0" w:rsidRPr="00214601">
          <w:rPr>
            <w:rStyle w:val="Kpr"/>
            <w:b/>
          </w:rPr>
          <w:t>GİRİŞ</w:t>
        </w:r>
        <w:r w:rsidR="007374E0" w:rsidRPr="00214601">
          <w:rPr>
            <w:webHidden/>
          </w:rPr>
          <w:tab/>
        </w:r>
        <w:r w:rsidR="007374E0" w:rsidRPr="00214601">
          <w:rPr>
            <w:webHidden/>
          </w:rPr>
          <w:fldChar w:fldCharType="begin"/>
        </w:r>
        <w:r w:rsidR="007374E0" w:rsidRPr="00214601">
          <w:rPr>
            <w:webHidden/>
          </w:rPr>
          <w:instrText xml:space="preserve"> PAGEREF _Toc384823971 \h </w:instrText>
        </w:r>
        <w:r w:rsidR="007374E0" w:rsidRPr="00214601">
          <w:rPr>
            <w:webHidden/>
          </w:rPr>
        </w:r>
        <w:r w:rsidR="007374E0" w:rsidRPr="00214601">
          <w:rPr>
            <w:webHidden/>
          </w:rPr>
          <w:fldChar w:fldCharType="separate"/>
        </w:r>
        <w:r w:rsidR="007C769A">
          <w:rPr>
            <w:webHidden/>
          </w:rPr>
          <w:t>1</w:t>
        </w:r>
        <w:r w:rsidR="007374E0" w:rsidRPr="00214601">
          <w:rPr>
            <w:webHidden/>
          </w:rPr>
          <w:fldChar w:fldCharType="end"/>
        </w:r>
      </w:hyperlink>
    </w:p>
    <w:p w:rsidR="00A13830" w:rsidRDefault="00A13830">
      <w:pPr>
        <w:pStyle w:val="T1"/>
      </w:pPr>
    </w:p>
    <w:p w:rsidR="007374E0" w:rsidRDefault="00E56A11">
      <w:pPr>
        <w:pStyle w:val="T1"/>
        <w:rPr>
          <w:rFonts w:asciiTheme="minorHAnsi" w:eastAsiaTheme="minorEastAsia" w:hAnsiTheme="minorHAnsi" w:cstheme="minorBidi"/>
          <w:sz w:val="22"/>
          <w:szCs w:val="22"/>
          <w:lang w:eastAsia="tr-TR"/>
        </w:rPr>
      </w:pPr>
      <w:hyperlink w:anchor="_Toc384823972" w:history="1">
        <w:r w:rsidR="007374E0" w:rsidRPr="00214601">
          <w:rPr>
            <w:rStyle w:val="Kpr"/>
            <w:b/>
          </w:rPr>
          <w:t>BİRİNCİ BÖLÜM</w:t>
        </w:r>
        <w:r w:rsidR="007374E0">
          <w:rPr>
            <w:webHidden/>
          </w:rPr>
          <w:tab/>
        </w:r>
        <w:r w:rsidR="007374E0">
          <w:rPr>
            <w:webHidden/>
          </w:rPr>
          <w:fldChar w:fldCharType="begin"/>
        </w:r>
        <w:r w:rsidR="007374E0">
          <w:rPr>
            <w:webHidden/>
          </w:rPr>
          <w:instrText xml:space="preserve"> PAGEREF _Toc384823972 \h </w:instrText>
        </w:r>
        <w:r w:rsidR="007374E0">
          <w:rPr>
            <w:webHidden/>
          </w:rPr>
        </w:r>
        <w:r w:rsidR="007374E0">
          <w:rPr>
            <w:webHidden/>
          </w:rPr>
          <w:fldChar w:fldCharType="separate"/>
        </w:r>
        <w:r w:rsidR="007C769A">
          <w:rPr>
            <w:webHidden/>
          </w:rPr>
          <w:t>4</w:t>
        </w:r>
        <w:r w:rsidR="007374E0">
          <w:rPr>
            <w:webHidden/>
          </w:rPr>
          <w:fldChar w:fldCharType="end"/>
        </w:r>
      </w:hyperlink>
    </w:p>
    <w:p w:rsidR="007374E0" w:rsidRDefault="00E56A11">
      <w:pPr>
        <w:pStyle w:val="T1"/>
        <w:rPr>
          <w:rFonts w:asciiTheme="minorHAnsi" w:eastAsiaTheme="minorEastAsia" w:hAnsiTheme="minorHAnsi" w:cstheme="minorBidi"/>
          <w:sz w:val="22"/>
          <w:szCs w:val="22"/>
          <w:lang w:eastAsia="tr-TR"/>
        </w:rPr>
      </w:pPr>
      <w:hyperlink w:anchor="_Toc384823973" w:history="1">
        <w:r w:rsidR="007374E0" w:rsidRPr="00214601">
          <w:rPr>
            <w:rStyle w:val="Kpr"/>
            <w:b/>
          </w:rPr>
          <w:t>SERA GAZLARI VE İKLİM DEĞİŞİKLİĞİ</w:t>
        </w:r>
        <w:r w:rsidR="007374E0">
          <w:rPr>
            <w:webHidden/>
          </w:rPr>
          <w:tab/>
        </w:r>
        <w:r w:rsidR="007374E0">
          <w:rPr>
            <w:webHidden/>
          </w:rPr>
          <w:fldChar w:fldCharType="begin"/>
        </w:r>
        <w:r w:rsidR="007374E0">
          <w:rPr>
            <w:webHidden/>
          </w:rPr>
          <w:instrText xml:space="preserve"> PAGEREF _Toc384823973 \h </w:instrText>
        </w:r>
        <w:r w:rsidR="007374E0">
          <w:rPr>
            <w:webHidden/>
          </w:rPr>
        </w:r>
        <w:r w:rsidR="007374E0">
          <w:rPr>
            <w:webHidden/>
          </w:rPr>
          <w:fldChar w:fldCharType="separate"/>
        </w:r>
        <w:r w:rsidR="007C769A">
          <w:rPr>
            <w:webHidden/>
          </w:rPr>
          <w:t>4</w:t>
        </w:r>
        <w:r w:rsidR="007374E0">
          <w:rPr>
            <w:webHidden/>
          </w:rPr>
          <w:fldChar w:fldCharType="end"/>
        </w:r>
      </w:hyperlink>
    </w:p>
    <w:p w:rsidR="007374E0" w:rsidRDefault="00E56A11" w:rsidP="000218A6">
      <w:pPr>
        <w:pStyle w:val="T2"/>
        <w:spacing w:after="120" w:line="240" w:lineRule="auto"/>
        <w:rPr>
          <w:rFonts w:asciiTheme="minorHAnsi" w:eastAsiaTheme="minorEastAsia" w:hAnsiTheme="minorHAnsi" w:cstheme="minorBidi"/>
          <w:sz w:val="22"/>
          <w:szCs w:val="22"/>
          <w:lang w:eastAsia="tr-TR"/>
        </w:rPr>
      </w:pPr>
      <w:hyperlink w:anchor="_Toc384823974" w:history="1">
        <w:r w:rsidR="007374E0" w:rsidRPr="000D2519">
          <w:rPr>
            <w:rStyle w:val="Kpr"/>
          </w:rPr>
          <w:t>1.1.</w:t>
        </w:r>
        <w:r w:rsidR="007374E0">
          <w:rPr>
            <w:rFonts w:asciiTheme="minorHAnsi" w:eastAsiaTheme="minorEastAsia" w:hAnsiTheme="minorHAnsi" w:cstheme="minorBidi"/>
            <w:sz w:val="22"/>
            <w:szCs w:val="22"/>
            <w:lang w:eastAsia="tr-TR"/>
          </w:rPr>
          <w:tab/>
        </w:r>
        <w:r w:rsidR="007374E0" w:rsidRPr="000D2519">
          <w:rPr>
            <w:rStyle w:val="Kpr"/>
          </w:rPr>
          <w:t>KÜRESEL ISINMA VE SERA GAZLARI</w:t>
        </w:r>
        <w:r w:rsidR="007374E0">
          <w:rPr>
            <w:webHidden/>
          </w:rPr>
          <w:tab/>
        </w:r>
        <w:r w:rsidR="007374E0">
          <w:rPr>
            <w:webHidden/>
          </w:rPr>
          <w:fldChar w:fldCharType="begin"/>
        </w:r>
        <w:r w:rsidR="007374E0">
          <w:rPr>
            <w:webHidden/>
          </w:rPr>
          <w:instrText xml:space="preserve"> PAGEREF _Toc384823974 \h </w:instrText>
        </w:r>
        <w:r w:rsidR="007374E0">
          <w:rPr>
            <w:webHidden/>
          </w:rPr>
        </w:r>
        <w:r w:rsidR="007374E0">
          <w:rPr>
            <w:webHidden/>
          </w:rPr>
          <w:fldChar w:fldCharType="separate"/>
        </w:r>
        <w:r w:rsidR="007C769A">
          <w:rPr>
            <w:webHidden/>
          </w:rPr>
          <w:t>5</w:t>
        </w:r>
        <w:r w:rsidR="007374E0">
          <w:rPr>
            <w:webHidden/>
          </w:rPr>
          <w:fldChar w:fldCharType="end"/>
        </w:r>
      </w:hyperlink>
    </w:p>
    <w:p w:rsidR="007374E0" w:rsidRDefault="00E56A11" w:rsidP="000218A6">
      <w:pPr>
        <w:pStyle w:val="T2"/>
        <w:spacing w:after="120" w:line="240" w:lineRule="auto"/>
        <w:rPr>
          <w:rFonts w:asciiTheme="minorHAnsi" w:eastAsiaTheme="minorEastAsia" w:hAnsiTheme="minorHAnsi" w:cstheme="minorBidi"/>
          <w:sz w:val="22"/>
          <w:szCs w:val="22"/>
          <w:lang w:eastAsia="tr-TR"/>
        </w:rPr>
      </w:pPr>
      <w:hyperlink w:anchor="_Toc384823975" w:history="1">
        <w:r w:rsidR="007374E0" w:rsidRPr="000D2519">
          <w:rPr>
            <w:rStyle w:val="Kpr"/>
          </w:rPr>
          <w:t>1.2 İNSAN KAYNAKLI İKLİM DEĞİŞİKLİĞİ</w:t>
        </w:r>
        <w:r w:rsidR="007374E0">
          <w:rPr>
            <w:webHidden/>
          </w:rPr>
          <w:tab/>
        </w:r>
        <w:r w:rsidR="007374E0">
          <w:rPr>
            <w:webHidden/>
          </w:rPr>
          <w:fldChar w:fldCharType="begin"/>
        </w:r>
        <w:r w:rsidR="007374E0">
          <w:rPr>
            <w:webHidden/>
          </w:rPr>
          <w:instrText xml:space="preserve"> PAGEREF _Toc384823975 \h </w:instrText>
        </w:r>
        <w:r w:rsidR="007374E0">
          <w:rPr>
            <w:webHidden/>
          </w:rPr>
        </w:r>
        <w:r w:rsidR="007374E0">
          <w:rPr>
            <w:webHidden/>
          </w:rPr>
          <w:fldChar w:fldCharType="separate"/>
        </w:r>
        <w:r w:rsidR="007C769A">
          <w:rPr>
            <w:webHidden/>
          </w:rPr>
          <w:t>15</w:t>
        </w:r>
        <w:r w:rsidR="007374E0">
          <w:rPr>
            <w:webHidden/>
          </w:rPr>
          <w:fldChar w:fldCharType="end"/>
        </w:r>
      </w:hyperlink>
    </w:p>
    <w:p w:rsidR="007374E0" w:rsidRDefault="00E56A11" w:rsidP="000218A6">
      <w:pPr>
        <w:pStyle w:val="T2"/>
        <w:spacing w:after="120" w:line="240" w:lineRule="auto"/>
        <w:rPr>
          <w:rFonts w:asciiTheme="minorHAnsi" w:eastAsiaTheme="minorEastAsia" w:hAnsiTheme="minorHAnsi" w:cstheme="minorBidi"/>
          <w:sz w:val="22"/>
          <w:szCs w:val="22"/>
          <w:lang w:eastAsia="tr-TR"/>
        </w:rPr>
      </w:pPr>
      <w:hyperlink w:anchor="_Toc384823976" w:history="1">
        <w:r w:rsidR="007374E0" w:rsidRPr="000D2519">
          <w:rPr>
            <w:rStyle w:val="Kpr"/>
          </w:rPr>
          <w:t>1.3 İKLİM DEĞİŞİKLİĞİNE NEDEN OLAN SERA GAZLARINDAKİ ARTIŞ EĞİLİMLERİ VE NEDENLERİ</w:t>
        </w:r>
        <w:r w:rsidR="007374E0">
          <w:rPr>
            <w:webHidden/>
          </w:rPr>
          <w:tab/>
        </w:r>
        <w:r w:rsidR="007374E0">
          <w:rPr>
            <w:webHidden/>
          </w:rPr>
          <w:fldChar w:fldCharType="begin"/>
        </w:r>
        <w:r w:rsidR="007374E0">
          <w:rPr>
            <w:webHidden/>
          </w:rPr>
          <w:instrText xml:space="preserve"> PAGEREF _Toc384823976 \h </w:instrText>
        </w:r>
        <w:r w:rsidR="007374E0">
          <w:rPr>
            <w:webHidden/>
          </w:rPr>
        </w:r>
        <w:r w:rsidR="007374E0">
          <w:rPr>
            <w:webHidden/>
          </w:rPr>
          <w:fldChar w:fldCharType="separate"/>
        </w:r>
        <w:r w:rsidR="007C769A">
          <w:rPr>
            <w:webHidden/>
          </w:rPr>
          <w:t>17</w:t>
        </w:r>
        <w:r w:rsidR="007374E0">
          <w:rPr>
            <w:webHidden/>
          </w:rPr>
          <w:fldChar w:fldCharType="end"/>
        </w:r>
      </w:hyperlink>
    </w:p>
    <w:p w:rsidR="007374E0" w:rsidRDefault="00E56A11" w:rsidP="000218A6">
      <w:pPr>
        <w:pStyle w:val="T2"/>
        <w:spacing w:after="120" w:line="240" w:lineRule="auto"/>
        <w:rPr>
          <w:rFonts w:asciiTheme="minorHAnsi" w:eastAsiaTheme="minorEastAsia" w:hAnsiTheme="minorHAnsi" w:cstheme="minorBidi"/>
          <w:sz w:val="22"/>
          <w:szCs w:val="22"/>
          <w:lang w:eastAsia="tr-TR"/>
        </w:rPr>
      </w:pPr>
      <w:hyperlink w:anchor="_Toc384823977" w:history="1">
        <w:r w:rsidR="007374E0" w:rsidRPr="000D2519">
          <w:rPr>
            <w:rStyle w:val="Kpr"/>
          </w:rPr>
          <w:t>1.4 SERA GAZI EMİSYONLARININ EKONOMİK BELİRLEYİCİLERİ</w:t>
        </w:r>
        <w:r w:rsidR="007374E0">
          <w:rPr>
            <w:webHidden/>
          </w:rPr>
          <w:tab/>
        </w:r>
        <w:r w:rsidR="007374E0">
          <w:rPr>
            <w:webHidden/>
          </w:rPr>
          <w:fldChar w:fldCharType="begin"/>
        </w:r>
        <w:r w:rsidR="007374E0">
          <w:rPr>
            <w:webHidden/>
          </w:rPr>
          <w:instrText xml:space="preserve"> PAGEREF _Toc384823977 \h </w:instrText>
        </w:r>
        <w:r w:rsidR="007374E0">
          <w:rPr>
            <w:webHidden/>
          </w:rPr>
        </w:r>
        <w:r w:rsidR="007374E0">
          <w:rPr>
            <w:webHidden/>
          </w:rPr>
          <w:fldChar w:fldCharType="separate"/>
        </w:r>
        <w:r w:rsidR="007C769A">
          <w:rPr>
            <w:webHidden/>
          </w:rPr>
          <w:t>19</w:t>
        </w:r>
        <w:r w:rsidR="007374E0">
          <w:rPr>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3978" w:history="1">
        <w:r w:rsidR="007374E0" w:rsidRPr="000D2519">
          <w:rPr>
            <w:rStyle w:val="Kpr"/>
            <w:noProof/>
          </w:rPr>
          <w:t>1.4.1.</w:t>
        </w:r>
        <w:r w:rsidR="007374E0">
          <w:rPr>
            <w:rFonts w:asciiTheme="minorHAnsi" w:eastAsiaTheme="minorEastAsia" w:hAnsiTheme="minorHAnsi" w:cstheme="minorBidi"/>
            <w:noProof/>
            <w:sz w:val="22"/>
            <w:szCs w:val="22"/>
            <w:lang w:eastAsia="tr-TR"/>
          </w:rPr>
          <w:tab/>
        </w:r>
        <w:r w:rsidR="007374E0" w:rsidRPr="000D2519">
          <w:rPr>
            <w:rStyle w:val="Kpr"/>
            <w:noProof/>
          </w:rPr>
          <w:t>Enerji Kullanımı</w:t>
        </w:r>
        <w:r w:rsidR="007374E0">
          <w:rPr>
            <w:noProof/>
            <w:webHidden/>
          </w:rPr>
          <w:tab/>
        </w:r>
        <w:r w:rsidR="007374E0">
          <w:rPr>
            <w:noProof/>
            <w:webHidden/>
          </w:rPr>
          <w:fldChar w:fldCharType="begin"/>
        </w:r>
        <w:r w:rsidR="007374E0">
          <w:rPr>
            <w:noProof/>
            <w:webHidden/>
          </w:rPr>
          <w:instrText xml:space="preserve"> PAGEREF _Toc384823978 \h </w:instrText>
        </w:r>
        <w:r w:rsidR="007374E0">
          <w:rPr>
            <w:noProof/>
            <w:webHidden/>
          </w:rPr>
        </w:r>
        <w:r w:rsidR="007374E0">
          <w:rPr>
            <w:noProof/>
            <w:webHidden/>
          </w:rPr>
          <w:fldChar w:fldCharType="separate"/>
        </w:r>
        <w:r w:rsidR="007C769A">
          <w:rPr>
            <w:noProof/>
            <w:webHidden/>
          </w:rPr>
          <w:t>21</w:t>
        </w:r>
        <w:r w:rsidR="007374E0">
          <w:rPr>
            <w:noProof/>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3979" w:history="1">
        <w:r w:rsidR="007374E0" w:rsidRPr="000D2519">
          <w:rPr>
            <w:rStyle w:val="Kpr"/>
            <w:noProof/>
          </w:rPr>
          <w:t>1.4.2.</w:t>
        </w:r>
        <w:r w:rsidR="007374E0">
          <w:rPr>
            <w:rFonts w:asciiTheme="minorHAnsi" w:eastAsiaTheme="minorEastAsia" w:hAnsiTheme="minorHAnsi" w:cstheme="minorBidi"/>
            <w:noProof/>
            <w:sz w:val="22"/>
            <w:szCs w:val="22"/>
            <w:lang w:eastAsia="tr-TR"/>
          </w:rPr>
          <w:tab/>
        </w:r>
        <w:r w:rsidR="007374E0" w:rsidRPr="000D2519">
          <w:rPr>
            <w:rStyle w:val="Kpr"/>
            <w:noProof/>
          </w:rPr>
          <w:t>Sanayi Faaliyetleri</w:t>
        </w:r>
        <w:r w:rsidR="007374E0">
          <w:rPr>
            <w:noProof/>
            <w:webHidden/>
          </w:rPr>
          <w:tab/>
        </w:r>
        <w:r w:rsidR="007374E0">
          <w:rPr>
            <w:noProof/>
            <w:webHidden/>
          </w:rPr>
          <w:fldChar w:fldCharType="begin"/>
        </w:r>
        <w:r w:rsidR="007374E0">
          <w:rPr>
            <w:noProof/>
            <w:webHidden/>
          </w:rPr>
          <w:instrText xml:space="preserve"> PAGEREF _Toc384823979 \h </w:instrText>
        </w:r>
        <w:r w:rsidR="007374E0">
          <w:rPr>
            <w:noProof/>
            <w:webHidden/>
          </w:rPr>
        </w:r>
        <w:r w:rsidR="007374E0">
          <w:rPr>
            <w:noProof/>
            <w:webHidden/>
          </w:rPr>
          <w:fldChar w:fldCharType="separate"/>
        </w:r>
        <w:r w:rsidR="007C769A">
          <w:rPr>
            <w:noProof/>
            <w:webHidden/>
          </w:rPr>
          <w:t>23</w:t>
        </w:r>
        <w:r w:rsidR="007374E0">
          <w:rPr>
            <w:noProof/>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3980" w:history="1">
        <w:r w:rsidR="007374E0" w:rsidRPr="000D2519">
          <w:rPr>
            <w:rStyle w:val="Kpr"/>
            <w:noProof/>
          </w:rPr>
          <w:t>1.4.3.</w:t>
        </w:r>
        <w:r w:rsidR="007374E0">
          <w:rPr>
            <w:rFonts w:asciiTheme="minorHAnsi" w:eastAsiaTheme="minorEastAsia" w:hAnsiTheme="minorHAnsi" w:cstheme="minorBidi"/>
            <w:noProof/>
            <w:sz w:val="22"/>
            <w:szCs w:val="22"/>
            <w:lang w:eastAsia="tr-TR"/>
          </w:rPr>
          <w:tab/>
        </w:r>
        <w:r w:rsidR="007374E0" w:rsidRPr="000D2519">
          <w:rPr>
            <w:rStyle w:val="Kpr"/>
            <w:noProof/>
          </w:rPr>
          <w:t>Tarımsal Faaliyetler</w:t>
        </w:r>
        <w:r w:rsidR="007374E0">
          <w:rPr>
            <w:noProof/>
            <w:webHidden/>
          </w:rPr>
          <w:tab/>
        </w:r>
        <w:r w:rsidR="007374E0">
          <w:rPr>
            <w:noProof/>
            <w:webHidden/>
          </w:rPr>
          <w:fldChar w:fldCharType="begin"/>
        </w:r>
        <w:r w:rsidR="007374E0">
          <w:rPr>
            <w:noProof/>
            <w:webHidden/>
          </w:rPr>
          <w:instrText xml:space="preserve"> PAGEREF _Toc384823980 \h </w:instrText>
        </w:r>
        <w:r w:rsidR="007374E0">
          <w:rPr>
            <w:noProof/>
            <w:webHidden/>
          </w:rPr>
        </w:r>
        <w:r w:rsidR="007374E0">
          <w:rPr>
            <w:noProof/>
            <w:webHidden/>
          </w:rPr>
          <w:fldChar w:fldCharType="separate"/>
        </w:r>
        <w:r w:rsidR="007C769A">
          <w:rPr>
            <w:noProof/>
            <w:webHidden/>
          </w:rPr>
          <w:t>24</w:t>
        </w:r>
        <w:r w:rsidR="007374E0">
          <w:rPr>
            <w:noProof/>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3981" w:history="1">
        <w:r w:rsidR="007374E0" w:rsidRPr="000D2519">
          <w:rPr>
            <w:rStyle w:val="Kpr"/>
            <w:noProof/>
          </w:rPr>
          <w:t>1.4.4.</w:t>
        </w:r>
        <w:r w:rsidR="007374E0">
          <w:rPr>
            <w:rFonts w:asciiTheme="minorHAnsi" w:eastAsiaTheme="minorEastAsia" w:hAnsiTheme="minorHAnsi" w:cstheme="minorBidi"/>
            <w:noProof/>
            <w:sz w:val="22"/>
            <w:szCs w:val="22"/>
            <w:lang w:eastAsia="tr-TR"/>
          </w:rPr>
          <w:tab/>
        </w:r>
        <w:r w:rsidR="007374E0" w:rsidRPr="000D2519">
          <w:rPr>
            <w:rStyle w:val="Kpr"/>
            <w:noProof/>
          </w:rPr>
          <w:t>Ormancılık ve Toprak Kullanımı</w:t>
        </w:r>
        <w:r w:rsidR="007374E0">
          <w:rPr>
            <w:noProof/>
            <w:webHidden/>
          </w:rPr>
          <w:tab/>
        </w:r>
        <w:r w:rsidR="007374E0">
          <w:rPr>
            <w:noProof/>
            <w:webHidden/>
          </w:rPr>
          <w:fldChar w:fldCharType="begin"/>
        </w:r>
        <w:r w:rsidR="007374E0">
          <w:rPr>
            <w:noProof/>
            <w:webHidden/>
          </w:rPr>
          <w:instrText xml:space="preserve"> PAGEREF _Toc384823981 \h </w:instrText>
        </w:r>
        <w:r w:rsidR="007374E0">
          <w:rPr>
            <w:noProof/>
            <w:webHidden/>
          </w:rPr>
        </w:r>
        <w:r w:rsidR="007374E0">
          <w:rPr>
            <w:noProof/>
            <w:webHidden/>
          </w:rPr>
          <w:fldChar w:fldCharType="separate"/>
        </w:r>
        <w:r w:rsidR="007C769A">
          <w:rPr>
            <w:noProof/>
            <w:webHidden/>
          </w:rPr>
          <w:t>25</w:t>
        </w:r>
        <w:r w:rsidR="007374E0">
          <w:rPr>
            <w:noProof/>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3982" w:history="1">
        <w:r w:rsidR="007374E0" w:rsidRPr="000D2519">
          <w:rPr>
            <w:rStyle w:val="Kpr"/>
            <w:noProof/>
          </w:rPr>
          <w:t>1.4.5.</w:t>
        </w:r>
        <w:r w:rsidR="007374E0">
          <w:rPr>
            <w:rFonts w:asciiTheme="minorHAnsi" w:eastAsiaTheme="minorEastAsia" w:hAnsiTheme="minorHAnsi" w:cstheme="minorBidi"/>
            <w:noProof/>
            <w:sz w:val="22"/>
            <w:szCs w:val="22"/>
            <w:lang w:eastAsia="tr-TR"/>
          </w:rPr>
          <w:tab/>
        </w:r>
        <w:r w:rsidR="007374E0" w:rsidRPr="000D2519">
          <w:rPr>
            <w:rStyle w:val="Kpr"/>
            <w:noProof/>
          </w:rPr>
          <w:t>Atık Yönetimi</w:t>
        </w:r>
        <w:r w:rsidR="007374E0">
          <w:rPr>
            <w:noProof/>
            <w:webHidden/>
          </w:rPr>
          <w:tab/>
        </w:r>
        <w:r w:rsidR="007374E0">
          <w:rPr>
            <w:noProof/>
            <w:webHidden/>
          </w:rPr>
          <w:fldChar w:fldCharType="begin"/>
        </w:r>
        <w:r w:rsidR="007374E0">
          <w:rPr>
            <w:noProof/>
            <w:webHidden/>
          </w:rPr>
          <w:instrText xml:space="preserve"> PAGEREF _Toc384823982 \h </w:instrText>
        </w:r>
        <w:r w:rsidR="007374E0">
          <w:rPr>
            <w:noProof/>
            <w:webHidden/>
          </w:rPr>
        </w:r>
        <w:r w:rsidR="007374E0">
          <w:rPr>
            <w:noProof/>
            <w:webHidden/>
          </w:rPr>
          <w:fldChar w:fldCharType="separate"/>
        </w:r>
        <w:r w:rsidR="007C769A">
          <w:rPr>
            <w:noProof/>
            <w:webHidden/>
          </w:rPr>
          <w:t>26</w:t>
        </w:r>
        <w:r w:rsidR="007374E0">
          <w:rPr>
            <w:noProof/>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3983" w:history="1">
        <w:r w:rsidR="007374E0" w:rsidRPr="000D2519">
          <w:rPr>
            <w:rStyle w:val="Kpr"/>
            <w:noProof/>
          </w:rPr>
          <w:t>1.4.6.</w:t>
        </w:r>
        <w:r w:rsidR="007374E0">
          <w:rPr>
            <w:rFonts w:asciiTheme="minorHAnsi" w:eastAsiaTheme="minorEastAsia" w:hAnsiTheme="minorHAnsi" w:cstheme="minorBidi"/>
            <w:noProof/>
            <w:sz w:val="22"/>
            <w:szCs w:val="22"/>
            <w:lang w:eastAsia="tr-TR"/>
          </w:rPr>
          <w:tab/>
        </w:r>
        <w:r w:rsidR="007374E0" w:rsidRPr="000D2519">
          <w:rPr>
            <w:rStyle w:val="Kpr"/>
            <w:noProof/>
          </w:rPr>
          <w:t>Konut ve Ticaret Sektörü</w:t>
        </w:r>
        <w:r w:rsidR="007374E0">
          <w:rPr>
            <w:noProof/>
            <w:webHidden/>
          </w:rPr>
          <w:tab/>
        </w:r>
        <w:r w:rsidR="007374E0">
          <w:rPr>
            <w:noProof/>
            <w:webHidden/>
          </w:rPr>
          <w:fldChar w:fldCharType="begin"/>
        </w:r>
        <w:r w:rsidR="007374E0">
          <w:rPr>
            <w:noProof/>
            <w:webHidden/>
          </w:rPr>
          <w:instrText xml:space="preserve"> PAGEREF _Toc384823983 \h </w:instrText>
        </w:r>
        <w:r w:rsidR="007374E0">
          <w:rPr>
            <w:noProof/>
            <w:webHidden/>
          </w:rPr>
        </w:r>
        <w:r w:rsidR="007374E0">
          <w:rPr>
            <w:noProof/>
            <w:webHidden/>
          </w:rPr>
          <w:fldChar w:fldCharType="separate"/>
        </w:r>
        <w:r w:rsidR="007C769A">
          <w:rPr>
            <w:noProof/>
            <w:webHidden/>
          </w:rPr>
          <w:t>26</w:t>
        </w:r>
        <w:r w:rsidR="007374E0">
          <w:rPr>
            <w:noProof/>
            <w:webHidden/>
          </w:rPr>
          <w:fldChar w:fldCharType="end"/>
        </w:r>
      </w:hyperlink>
    </w:p>
    <w:p w:rsidR="007374E0" w:rsidRDefault="00E56A11" w:rsidP="000218A6">
      <w:pPr>
        <w:pStyle w:val="T2"/>
        <w:spacing w:after="120" w:line="240" w:lineRule="auto"/>
        <w:rPr>
          <w:rFonts w:asciiTheme="minorHAnsi" w:eastAsiaTheme="minorEastAsia" w:hAnsiTheme="minorHAnsi" w:cstheme="minorBidi"/>
          <w:sz w:val="22"/>
          <w:szCs w:val="22"/>
          <w:lang w:eastAsia="tr-TR"/>
        </w:rPr>
      </w:pPr>
      <w:hyperlink w:anchor="_Toc384823984" w:history="1">
        <w:r w:rsidR="007374E0" w:rsidRPr="000D2519">
          <w:rPr>
            <w:rStyle w:val="Kpr"/>
          </w:rPr>
          <w:t>1.5.</w:t>
        </w:r>
        <w:r w:rsidR="007374E0">
          <w:rPr>
            <w:rFonts w:asciiTheme="minorHAnsi" w:eastAsiaTheme="minorEastAsia" w:hAnsiTheme="minorHAnsi" w:cstheme="minorBidi"/>
            <w:sz w:val="22"/>
            <w:szCs w:val="22"/>
            <w:lang w:eastAsia="tr-TR"/>
          </w:rPr>
          <w:tab/>
        </w:r>
        <w:r w:rsidR="007374E0" w:rsidRPr="000D2519">
          <w:rPr>
            <w:rStyle w:val="Kpr"/>
          </w:rPr>
          <w:t>İKLİM DEĞİŞİKLİĞİ İLE İLGİLİ ULUSLARARASI BELGE VE ANTLAŞMALAR</w:t>
        </w:r>
        <w:bookmarkStart w:id="14" w:name="_GoBack"/>
        <w:bookmarkEnd w:id="14"/>
        <w:r w:rsidR="007374E0">
          <w:rPr>
            <w:webHidden/>
          </w:rPr>
          <w:tab/>
        </w:r>
        <w:r w:rsidR="007374E0">
          <w:rPr>
            <w:webHidden/>
          </w:rPr>
          <w:fldChar w:fldCharType="begin"/>
        </w:r>
        <w:r w:rsidR="007374E0">
          <w:rPr>
            <w:webHidden/>
          </w:rPr>
          <w:instrText xml:space="preserve"> PAGEREF _Toc384823984 \h </w:instrText>
        </w:r>
        <w:r w:rsidR="007374E0">
          <w:rPr>
            <w:webHidden/>
          </w:rPr>
        </w:r>
        <w:r w:rsidR="007374E0">
          <w:rPr>
            <w:webHidden/>
          </w:rPr>
          <w:fldChar w:fldCharType="separate"/>
        </w:r>
        <w:r w:rsidR="007C769A">
          <w:rPr>
            <w:webHidden/>
          </w:rPr>
          <w:t>27</w:t>
        </w:r>
        <w:r w:rsidR="007374E0">
          <w:rPr>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3985" w:history="1">
        <w:r w:rsidR="007374E0" w:rsidRPr="000D2519">
          <w:rPr>
            <w:rStyle w:val="Kpr"/>
            <w:noProof/>
          </w:rPr>
          <w:t>1.5.1.</w:t>
        </w:r>
        <w:r w:rsidR="007374E0">
          <w:rPr>
            <w:rFonts w:asciiTheme="minorHAnsi" w:eastAsiaTheme="minorEastAsia" w:hAnsiTheme="minorHAnsi" w:cstheme="minorBidi"/>
            <w:noProof/>
            <w:sz w:val="22"/>
            <w:szCs w:val="22"/>
            <w:lang w:eastAsia="tr-TR"/>
          </w:rPr>
          <w:tab/>
        </w:r>
        <w:r w:rsidR="007374E0" w:rsidRPr="000D2519">
          <w:rPr>
            <w:rStyle w:val="Kpr"/>
            <w:noProof/>
          </w:rPr>
          <w:t>Birleşmiş Milletler İklim Değişikliği Çerçeve Sözleşmesi</w:t>
        </w:r>
        <w:r w:rsidR="007374E0">
          <w:rPr>
            <w:noProof/>
            <w:webHidden/>
          </w:rPr>
          <w:tab/>
        </w:r>
        <w:r w:rsidR="007374E0">
          <w:rPr>
            <w:noProof/>
            <w:webHidden/>
          </w:rPr>
          <w:fldChar w:fldCharType="begin"/>
        </w:r>
        <w:r w:rsidR="007374E0">
          <w:rPr>
            <w:noProof/>
            <w:webHidden/>
          </w:rPr>
          <w:instrText xml:space="preserve"> PAGEREF _Toc384823985 \h </w:instrText>
        </w:r>
        <w:r w:rsidR="007374E0">
          <w:rPr>
            <w:noProof/>
            <w:webHidden/>
          </w:rPr>
        </w:r>
        <w:r w:rsidR="007374E0">
          <w:rPr>
            <w:noProof/>
            <w:webHidden/>
          </w:rPr>
          <w:fldChar w:fldCharType="separate"/>
        </w:r>
        <w:r w:rsidR="007C769A">
          <w:rPr>
            <w:noProof/>
            <w:webHidden/>
          </w:rPr>
          <w:t>29</w:t>
        </w:r>
        <w:r w:rsidR="007374E0">
          <w:rPr>
            <w:noProof/>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3986" w:history="1">
        <w:r w:rsidR="007374E0" w:rsidRPr="000D2519">
          <w:rPr>
            <w:rStyle w:val="Kpr"/>
            <w:noProof/>
          </w:rPr>
          <w:t>1.5.2.</w:t>
        </w:r>
        <w:r w:rsidR="007374E0">
          <w:rPr>
            <w:rFonts w:asciiTheme="minorHAnsi" w:eastAsiaTheme="minorEastAsia" w:hAnsiTheme="minorHAnsi" w:cstheme="minorBidi"/>
            <w:noProof/>
            <w:sz w:val="22"/>
            <w:szCs w:val="22"/>
            <w:lang w:eastAsia="tr-TR"/>
          </w:rPr>
          <w:tab/>
        </w:r>
        <w:r w:rsidR="007374E0" w:rsidRPr="000D2519">
          <w:rPr>
            <w:rStyle w:val="Kpr"/>
            <w:noProof/>
          </w:rPr>
          <w:t>Kyoto Protokolü</w:t>
        </w:r>
        <w:r w:rsidR="007374E0">
          <w:rPr>
            <w:noProof/>
            <w:webHidden/>
          </w:rPr>
          <w:tab/>
        </w:r>
        <w:r w:rsidR="007374E0">
          <w:rPr>
            <w:noProof/>
            <w:webHidden/>
          </w:rPr>
          <w:fldChar w:fldCharType="begin"/>
        </w:r>
        <w:r w:rsidR="007374E0">
          <w:rPr>
            <w:noProof/>
            <w:webHidden/>
          </w:rPr>
          <w:instrText xml:space="preserve"> PAGEREF _Toc384823986 \h </w:instrText>
        </w:r>
        <w:r w:rsidR="007374E0">
          <w:rPr>
            <w:noProof/>
            <w:webHidden/>
          </w:rPr>
        </w:r>
        <w:r w:rsidR="007374E0">
          <w:rPr>
            <w:noProof/>
            <w:webHidden/>
          </w:rPr>
          <w:fldChar w:fldCharType="separate"/>
        </w:r>
        <w:r w:rsidR="007C769A">
          <w:rPr>
            <w:noProof/>
            <w:webHidden/>
          </w:rPr>
          <w:t>30</w:t>
        </w:r>
        <w:r w:rsidR="007374E0">
          <w:rPr>
            <w:noProof/>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3987" w:history="1">
        <w:r w:rsidR="007374E0" w:rsidRPr="000D2519">
          <w:rPr>
            <w:rStyle w:val="Kpr"/>
            <w:noProof/>
          </w:rPr>
          <w:t>1.5.3.</w:t>
        </w:r>
        <w:r w:rsidR="007374E0">
          <w:rPr>
            <w:rFonts w:asciiTheme="minorHAnsi" w:eastAsiaTheme="minorEastAsia" w:hAnsiTheme="minorHAnsi" w:cstheme="minorBidi"/>
            <w:noProof/>
            <w:sz w:val="22"/>
            <w:szCs w:val="22"/>
            <w:lang w:eastAsia="tr-TR"/>
          </w:rPr>
          <w:tab/>
        </w:r>
        <w:r w:rsidR="007374E0" w:rsidRPr="000D2519">
          <w:rPr>
            <w:rStyle w:val="Kpr"/>
            <w:noProof/>
          </w:rPr>
          <w:t>Bali Eylem Planı</w:t>
        </w:r>
        <w:r w:rsidR="007374E0">
          <w:rPr>
            <w:noProof/>
            <w:webHidden/>
          </w:rPr>
          <w:tab/>
        </w:r>
        <w:r w:rsidR="007374E0">
          <w:rPr>
            <w:noProof/>
            <w:webHidden/>
          </w:rPr>
          <w:fldChar w:fldCharType="begin"/>
        </w:r>
        <w:r w:rsidR="007374E0">
          <w:rPr>
            <w:noProof/>
            <w:webHidden/>
          </w:rPr>
          <w:instrText xml:space="preserve"> PAGEREF _Toc384823987 \h </w:instrText>
        </w:r>
        <w:r w:rsidR="007374E0">
          <w:rPr>
            <w:noProof/>
            <w:webHidden/>
          </w:rPr>
        </w:r>
        <w:r w:rsidR="007374E0">
          <w:rPr>
            <w:noProof/>
            <w:webHidden/>
          </w:rPr>
          <w:fldChar w:fldCharType="separate"/>
        </w:r>
        <w:r w:rsidR="007C769A">
          <w:rPr>
            <w:noProof/>
            <w:webHidden/>
          </w:rPr>
          <w:t>30</w:t>
        </w:r>
        <w:r w:rsidR="007374E0">
          <w:rPr>
            <w:noProof/>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3988" w:history="1">
        <w:r w:rsidR="007374E0" w:rsidRPr="000D2519">
          <w:rPr>
            <w:rStyle w:val="Kpr"/>
            <w:noProof/>
          </w:rPr>
          <w:t>1.5.4.</w:t>
        </w:r>
        <w:r w:rsidR="007374E0">
          <w:rPr>
            <w:rFonts w:asciiTheme="minorHAnsi" w:eastAsiaTheme="minorEastAsia" w:hAnsiTheme="minorHAnsi" w:cstheme="minorBidi"/>
            <w:noProof/>
            <w:sz w:val="22"/>
            <w:szCs w:val="22"/>
            <w:lang w:eastAsia="tr-TR"/>
          </w:rPr>
          <w:tab/>
        </w:r>
        <w:r w:rsidR="007374E0" w:rsidRPr="000D2519">
          <w:rPr>
            <w:rStyle w:val="Kpr"/>
            <w:noProof/>
          </w:rPr>
          <w:t>Kopenhag Uzlaşması</w:t>
        </w:r>
        <w:r w:rsidR="007374E0">
          <w:rPr>
            <w:noProof/>
            <w:webHidden/>
          </w:rPr>
          <w:tab/>
        </w:r>
        <w:r w:rsidR="007374E0">
          <w:rPr>
            <w:noProof/>
            <w:webHidden/>
          </w:rPr>
          <w:fldChar w:fldCharType="begin"/>
        </w:r>
        <w:r w:rsidR="007374E0">
          <w:rPr>
            <w:noProof/>
            <w:webHidden/>
          </w:rPr>
          <w:instrText xml:space="preserve"> PAGEREF _Toc384823988 \h </w:instrText>
        </w:r>
        <w:r w:rsidR="007374E0">
          <w:rPr>
            <w:noProof/>
            <w:webHidden/>
          </w:rPr>
        </w:r>
        <w:r w:rsidR="007374E0">
          <w:rPr>
            <w:noProof/>
            <w:webHidden/>
          </w:rPr>
          <w:fldChar w:fldCharType="separate"/>
        </w:r>
        <w:r w:rsidR="007C769A">
          <w:rPr>
            <w:noProof/>
            <w:webHidden/>
          </w:rPr>
          <w:t>32</w:t>
        </w:r>
        <w:r w:rsidR="007374E0">
          <w:rPr>
            <w:noProof/>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3989" w:history="1">
        <w:r w:rsidR="007374E0" w:rsidRPr="000D2519">
          <w:rPr>
            <w:rStyle w:val="Kpr"/>
            <w:noProof/>
          </w:rPr>
          <w:t>1.5.5.</w:t>
        </w:r>
        <w:r w:rsidR="007374E0">
          <w:rPr>
            <w:rFonts w:asciiTheme="minorHAnsi" w:eastAsiaTheme="minorEastAsia" w:hAnsiTheme="minorHAnsi" w:cstheme="minorBidi"/>
            <w:noProof/>
            <w:sz w:val="22"/>
            <w:szCs w:val="22"/>
            <w:lang w:eastAsia="tr-TR"/>
          </w:rPr>
          <w:tab/>
        </w:r>
        <w:r w:rsidR="007374E0" w:rsidRPr="000D2519">
          <w:rPr>
            <w:rStyle w:val="Kpr"/>
            <w:noProof/>
          </w:rPr>
          <w:t>Cancun Uzlaşması</w:t>
        </w:r>
        <w:r w:rsidR="007374E0">
          <w:rPr>
            <w:noProof/>
            <w:webHidden/>
          </w:rPr>
          <w:tab/>
        </w:r>
        <w:r w:rsidR="007374E0">
          <w:rPr>
            <w:noProof/>
            <w:webHidden/>
          </w:rPr>
          <w:fldChar w:fldCharType="begin"/>
        </w:r>
        <w:r w:rsidR="007374E0">
          <w:rPr>
            <w:noProof/>
            <w:webHidden/>
          </w:rPr>
          <w:instrText xml:space="preserve"> PAGEREF _Toc384823989 \h </w:instrText>
        </w:r>
        <w:r w:rsidR="007374E0">
          <w:rPr>
            <w:noProof/>
            <w:webHidden/>
          </w:rPr>
        </w:r>
        <w:r w:rsidR="007374E0">
          <w:rPr>
            <w:noProof/>
            <w:webHidden/>
          </w:rPr>
          <w:fldChar w:fldCharType="separate"/>
        </w:r>
        <w:r w:rsidR="007C769A">
          <w:rPr>
            <w:noProof/>
            <w:webHidden/>
          </w:rPr>
          <w:t>33</w:t>
        </w:r>
        <w:r w:rsidR="007374E0">
          <w:rPr>
            <w:noProof/>
            <w:webHidden/>
          </w:rPr>
          <w:fldChar w:fldCharType="end"/>
        </w:r>
      </w:hyperlink>
    </w:p>
    <w:p w:rsidR="00A13830" w:rsidRDefault="00A13830">
      <w:pPr>
        <w:pStyle w:val="T1"/>
      </w:pPr>
    </w:p>
    <w:p w:rsidR="007374E0" w:rsidRDefault="00E56A11">
      <w:pPr>
        <w:pStyle w:val="T1"/>
        <w:rPr>
          <w:rFonts w:asciiTheme="minorHAnsi" w:eastAsiaTheme="minorEastAsia" w:hAnsiTheme="minorHAnsi" w:cstheme="minorBidi"/>
          <w:sz w:val="22"/>
          <w:szCs w:val="22"/>
          <w:lang w:eastAsia="tr-TR"/>
        </w:rPr>
      </w:pPr>
      <w:hyperlink w:anchor="_Toc384823990" w:history="1">
        <w:r w:rsidR="007374E0" w:rsidRPr="00214601">
          <w:rPr>
            <w:rStyle w:val="Kpr"/>
            <w:b/>
          </w:rPr>
          <w:t>İKİNCİ BÖLÜM</w:t>
        </w:r>
        <w:r w:rsidR="007374E0">
          <w:rPr>
            <w:webHidden/>
          </w:rPr>
          <w:tab/>
        </w:r>
        <w:r w:rsidR="007374E0">
          <w:rPr>
            <w:webHidden/>
          </w:rPr>
          <w:fldChar w:fldCharType="begin"/>
        </w:r>
        <w:r w:rsidR="007374E0">
          <w:rPr>
            <w:webHidden/>
          </w:rPr>
          <w:instrText xml:space="preserve"> PAGEREF _Toc384823990 \h </w:instrText>
        </w:r>
        <w:r w:rsidR="007374E0">
          <w:rPr>
            <w:webHidden/>
          </w:rPr>
        </w:r>
        <w:r w:rsidR="007374E0">
          <w:rPr>
            <w:webHidden/>
          </w:rPr>
          <w:fldChar w:fldCharType="separate"/>
        </w:r>
        <w:r w:rsidR="007C769A">
          <w:rPr>
            <w:webHidden/>
          </w:rPr>
          <w:t>35</w:t>
        </w:r>
        <w:r w:rsidR="007374E0">
          <w:rPr>
            <w:webHidden/>
          </w:rPr>
          <w:fldChar w:fldCharType="end"/>
        </w:r>
      </w:hyperlink>
    </w:p>
    <w:p w:rsidR="007374E0" w:rsidRDefault="00E56A11">
      <w:pPr>
        <w:pStyle w:val="T1"/>
        <w:rPr>
          <w:rFonts w:asciiTheme="minorHAnsi" w:eastAsiaTheme="minorEastAsia" w:hAnsiTheme="minorHAnsi" w:cstheme="minorBidi"/>
          <w:sz w:val="22"/>
          <w:szCs w:val="22"/>
          <w:lang w:eastAsia="tr-TR"/>
        </w:rPr>
      </w:pPr>
      <w:hyperlink w:anchor="_Toc384823991" w:history="1">
        <w:r w:rsidR="007374E0" w:rsidRPr="00214601">
          <w:rPr>
            <w:rStyle w:val="Kpr"/>
            <w:b/>
          </w:rPr>
          <w:t>SERA GAZI EMİSYONLARINI AZALTMAYA YÖNELİK POLİTİKALAR VE ARAÇLAR</w:t>
        </w:r>
        <w:r w:rsidR="007374E0">
          <w:rPr>
            <w:webHidden/>
          </w:rPr>
          <w:tab/>
        </w:r>
        <w:r w:rsidR="007374E0">
          <w:rPr>
            <w:webHidden/>
          </w:rPr>
          <w:fldChar w:fldCharType="begin"/>
        </w:r>
        <w:r w:rsidR="007374E0">
          <w:rPr>
            <w:webHidden/>
          </w:rPr>
          <w:instrText xml:space="preserve"> PAGEREF _Toc384823991 \h </w:instrText>
        </w:r>
        <w:r w:rsidR="007374E0">
          <w:rPr>
            <w:webHidden/>
          </w:rPr>
        </w:r>
        <w:r w:rsidR="007374E0">
          <w:rPr>
            <w:webHidden/>
          </w:rPr>
          <w:fldChar w:fldCharType="separate"/>
        </w:r>
        <w:r w:rsidR="007C769A">
          <w:rPr>
            <w:webHidden/>
          </w:rPr>
          <w:t>35</w:t>
        </w:r>
        <w:r w:rsidR="007374E0">
          <w:rPr>
            <w:webHidden/>
          </w:rPr>
          <w:fldChar w:fldCharType="end"/>
        </w:r>
      </w:hyperlink>
    </w:p>
    <w:p w:rsidR="007374E0" w:rsidRDefault="00E56A11" w:rsidP="000218A6">
      <w:pPr>
        <w:pStyle w:val="T2"/>
        <w:spacing w:after="120" w:line="240" w:lineRule="auto"/>
        <w:rPr>
          <w:rFonts w:asciiTheme="minorHAnsi" w:eastAsiaTheme="minorEastAsia" w:hAnsiTheme="minorHAnsi" w:cstheme="minorBidi"/>
          <w:sz w:val="22"/>
          <w:szCs w:val="22"/>
          <w:lang w:eastAsia="tr-TR"/>
        </w:rPr>
      </w:pPr>
      <w:hyperlink w:anchor="_Toc384823992" w:history="1">
        <w:r w:rsidR="007374E0" w:rsidRPr="000D2519">
          <w:rPr>
            <w:rStyle w:val="Kpr"/>
          </w:rPr>
          <w:t>2.1. POLİTİKALAR</w:t>
        </w:r>
        <w:r w:rsidR="007374E0">
          <w:rPr>
            <w:webHidden/>
          </w:rPr>
          <w:tab/>
        </w:r>
        <w:r w:rsidR="007374E0">
          <w:rPr>
            <w:webHidden/>
          </w:rPr>
          <w:fldChar w:fldCharType="begin"/>
        </w:r>
        <w:r w:rsidR="007374E0">
          <w:rPr>
            <w:webHidden/>
          </w:rPr>
          <w:instrText xml:space="preserve"> PAGEREF _Toc384823992 \h </w:instrText>
        </w:r>
        <w:r w:rsidR="007374E0">
          <w:rPr>
            <w:webHidden/>
          </w:rPr>
        </w:r>
        <w:r w:rsidR="007374E0">
          <w:rPr>
            <w:webHidden/>
          </w:rPr>
          <w:fldChar w:fldCharType="separate"/>
        </w:r>
        <w:r w:rsidR="007C769A">
          <w:rPr>
            <w:webHidden/>
          </w:rPr>
          <w:t>36</w:t>
        </w:r>
        <w:r w:rsidR="007374E0">
          <w:rPr>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3993" w:history="1">
        <w:r w:rsidR="007374E0" w:rsidRPr="000D2519">
          <w:rPr>
            <w:rStyle w:val="Kpr"/>
            <w:noProof/>
          </w:rPr>
          <w:t>2.1.1. Enerji Dönüşümü</w:t>
        </w:r>
        <w:r w:rsidR="007374E0">
          <w:rPr>
            <w:noProof/>
            <w:webHidden/>
          </w:rPr>
          <w:tab/>
        </w:r>
        <w:r w:rsidR="007374E0">
          <w:rPr>
            <w:noProof/>
            <w:webHidden/>
          </w:rPr>
          <w:fldChar w:fldCharType="begin"/>
        </w:r>
        <w:r w:rsidR="007374E0">
          <w:rPr>
            <w:noProof/>
            <w:webHidden/>
          </w:rPr>
          <w:instrText xml:space="preserve"> PAGEREF _Toc384823993 \h </w:instrText>
        </w:r>
        <w:r w:rsidR="007374E0">
          <w:rPr>
            <w:noProof/>
            <w:webHidden/>
          </w:rPr>
        </w:r>
        <w:r w:rsidR="007374E0">
          <w:rPr>
            <w:noProof/>
            <w:webHidden/>
          </w:rPr>
          <w:fldChar w:fldCharType="separate"/>
        </w:r>
        <w:r w:rsidR="007C769A">
          <w:rPr>
            <w:noProof/>
            <w:webHidden/>
          </w:rPr>
          <w:t>37</w:t>
        </w:r>
        <w:r w:rsidR="007374E0">
          <w:rPr>
            <w:noProof/>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3994" w:history="1">
        <w:r w:rsidR="007374E0" w:rsidRPr="000D2519">
          <w:rPr>
            <w:rStyle w:val="Kpr"/>
            <w:noProof/>
          </w:rPr>
          <w:t>2.1.2. Enerji Verimliliği</w:t>
        </w:r>
        <w:r w:rsidR="007374E0">
          <w:rPr>
            <w:noProof/>
            <w:webHidden/>
          </w:rPr>
          <w:tab/>
        </w:r>
        <w:r w:rsidR="007374E0">
          <w:rPr>
            <w:noProof/>
            <w:webHidden/>
          </w:rPr>
          <w:fldChar w:fldCharType="begin"/>
        </w:r>
        <w:r w:rsidR="007374E0">
          <w:rPr>
            <w:noProof/>
            <w:webHidden/>
          </w:rPr>
          <w:instrText xml:space="preserve"> PAGEREF _Toc384823994 \h </w:instrText>
        </w:r>
        <w:r w:rsidR="007374E0">
          <w:rPr>
            <w:noProof/>
            <w:webHidden/>
          </w:rPr>
        </w:r>
        <w:r w:rsidR="007374E0">
          <w:rPr>
            <w:noProof/>
            <w:webHidden/>
          </w:rPr>
          <w:fldChar w:fldCharType="separate"/>
        </w:r>
        <w:r w:rsidR="007C769A">
          <w:rPr>
            <w:noProof/>
            <w:webHidden/>
          </w:rPr>
          <w:t>40</w:t>
        </w:r>
        <w:r w:rsidR="007374E0">
          <w:rPr>
            <w:noProof/>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3995" w:history="1">
        <w:r w:rsidR="007374E0" w:rsidRPr="000D2519">
          <w:rPr>
            <w:rStyle w:val="Kpr"/>
            <w:noProof/>
          </w:rPr>
          <w:t>2.1.3. Karbon Yakalama ve Depolama (CCS - Carbon Capture and Storage)</w:t>
        </w:r>
        <w:r w:rsidR="007374E0">
          <w:rPr>
            <w:noProof/>
            <w:webHidden/>
          </w:rPr>
          <w:tab/>
        </w:r>
        <w:r w:rsidR="007374E0">
          <w:rPr>
            <w:noProof/>
            <w:webHidden/>
          </w:rPr>
          <w:fldChar w:fldCharType="begin"/>
        </w:r>
        <w:r w:rsidR="007374E0">
          <w:rPr>
            <w:noProof/>
            <w:webHidden/>
          </w:rPr>
          <w:instrText xml:space="preserve"> PAGEREF _Toc384823995 \h </w:instrText>
        </w:r>
        <w:r w:rsidR="007374E0">
          <w:rPr>
            <w:noProof/>
            <w:webHidden/>
          </w:rPr>
        </w:r>
        <w:r w:rsidR="007374E0">
          <w:rPr>
            <w:noProof/>
            <w:webHidden/>
          </w:rPr>
          <w:fldChar w:fldCharType="separate"/>
        </w:r>
        <w:r w:rsidR="007C769A">
          <w:rPr>
            <w:noProof/>
            <w:webHidden/>
          </w:rPr>
          <w:t>45</w:t>
        </w:r>
        <w:r w:rsidR="007374E0">
          <w:rPr>
            <w:noProof/>
            <w:webHidden/>
          </w:rPr>
          <w:fldChar w:fldCharType="end"/>
        </w:r>
      </w:hyperlink>
    </w:p>
    <w:p w:rsidR="007374E0" w:rsidRDefault="00E56A11" w:rsidP="000218A6">
      <w:pPr>
        <w:pStyle w:val="T4"/>
        <w:spacing w:before="120" w:after="120"/>
        <w:rPr>
          <w:rFonts w:asciiTheme="minorHAnsi" w:eastAsiaTheme="minorEastAsia" w:hAnsiTheme="minorHAnsi" w:cstheme="minorBidi"/>
          <w:caps w:val="0"/>
          <w:sz w:val="22"/>
          <w:szCs w:val="22"/>
          <w:lang w:eastAsia="tr-TR"/>
        </w:rPr>
      </w:pPr>
      <w:hyperlink w:anchor="_Toc384823996" w:history="1">
        <w:r w:rsidR="00813D50">
          <w:rPr>
            <w:rStyle w:val="Kpr"/>
            <w:caps w:val="0"/>
          </w:rPr>
          <w:t>2.1.3.1. Karbon Yakalama v</w:t>
        </w:r>
        <w:r w:rsidR="001A0FB6" w:rsidRPr="000D2519">
          <w:rPr>
            <w:rStyle w:val="Kpr"/>
            <w:caps w:val="0"/>
          </w:rPr>
          <w:t>e Depolama Nedir?</w:t>
        </w:r>
        <w:r w:rsidR="001A0FB6">
          <w:rPr>
            <w:caps w:val="0"/>
            <w:webHidden/>
          </w:rPr>
          <w:tab/>
        </w:r>
        <w:r w:rsidR="007374E0">
          <w:rPr>
            <w:webHidden/>
          </w:rPr>
          <w:fldChar w:fldCharType="begin"/>
        </w:r>
        <w:r w:rsidR="007374E0">
          <w:rPr>
            <w:webHidden/>
          </w:rPr>
          <w:instrText xml:space="preserve"> PAGEREF _Toc384823996 \h </w:instrText>
        </w:r>
        <w:r w:rsidR="007374E0">
          <w:rPr>
            <w:webHidden/>
          </w:rPr>
        </w:r>
        <w:r w:rsidR="007374E0">
          <w:rPr>
            <w:webHidden/>
          </w:rPr>
          <w:fldChar w:fldCharType="separate"/>
        </w:r>
        <w:r w:rsidR="007C769A">
          <w:rPr>
            <w:webHidden/>
          </w:rPr>
          <w:t>47</w:t>
        </w:r>
        <w:r w:rsidR="007374E0">
          <w:rPr>
            <w:webHidden/>
          </w:rPr>
          <w:fldChar w:fldCharType="end"/>
        </w:r>
      </w:hyperlink>
    </w:p>
    <w:p w:rsidR="007374E0" w:rsidRDefault="00E56A11" w:rsidP="000218A6">
      <w:pPr>
        <w:pStyle w:val="T4"/>
        <w:spacing w:before="120" w:after="120"/>
        <w:rPr>
          <w:rFonts w:asciiTheme="minorHAnsi" w:eastAsiaTheme="minorEastAsia" w:hAnsiTheme="minorHAnsi" w:cstheme="minorBidi"/>
          <w:caps w:val="0"/>
          <w:sz w:val="22"/>
          <w:szCs w:val="22"/>
          <w:lang w:eastAsia="tr-TR"/>
        </w:rPr>
      </w:pPr>
      <w:hyperlink w:anchor="_Toc384823997" w:history="1">
        <w:r w:rsidR="00DB4573">
          <w:rPr>
            <w:rStyle w:val="Kpr"/>
            <w:caps w:val="0"/>
          </w:rPr>
          <w:t>2.1.3.2. CO</w:t>
        </w:r>
        <w:r w:rsidR="001A0FB6" w:rsidRPr="000D2519">
          <w:rPr>
            <w:rStyle w:val="Kpr"/>
            <w:caps w:val="0"/>
            <w:vertAlign w:val="subscript"/>
          </w:rPr>
          <w:t>2</w:t>
        </w:r>
        <w:r w:rsidR="00813D50">
          <w:rPr>
            <w:rStyle w:val="Kpr"/>
            <w:caps w:val="0"/>
          </w:rPr>
          <w:t xml:space="preserve"> Neden Tutulur v</w:t>
        </w:r>
        <w:r w:rsidR="001A0FB6" w:rsidRPr="000D2519">
          <w:rPr>
            <w:rStyle w:val="Kpr"/>
            <w:caps w:val="0"/>
          </w:rPr>
          <w:t>e Depolanır?</w:t>
        </w:r>
        <w:r w:rsidR="001A0FB6">
          <w:rPr>
            <w:caps w:val="0"/>
            <w:webHidden/>
          </w:rPr>
          <w:tab/>
        </w:r>
        <w:r w:rsidR="007374E0">
          <w:rPr>
            <w:webHidden/>
          </w:rPr>
          <w:fldChar w:fldCharType="begin"/>
        </w:r>
        <w:r w:rsidR="007374E0">
          <w:rPr>
            <w:webHidden/>
          </w:rPr>
          <w:instrText xml:space="preserve"> PAGEREF _Toc384823997 \h </w:instrText>
        </w:r>
        <w:r w:rsidR="007374E0">
          <w:rPr>
            <w:webHidden/>
          </w:rPr>
        </w:r>
        <w:r w:rsidR="007374E0">
          <w:rPr>
            <w:webHidden/>
          </w:rPr>
          <w:fldChar w:fldCharType="separate"/>
        </w:r>
        <w:r w:rsidR="007C769A">
          <w:rPr>
            <w:webHidden/>
          </w:rPr>
          <w:t>47</w:t>
        </w:r>
        <w:r w:rsidR="007374E0">
          <w:rPr>
            <w:webHidden/>
          </w:rPr>
          <w:fldChar w:fldCharType="end"/>
        </w:r>
      </w:hyperlink>
    </w:p>
    <w:p w:rsidR="007374E0" w:rsidRDefault="00E56A11" w:rsidP="000218A6">
      <w:pPr>
        <w:pStyle w:val="T4"/>
        <w:spacing w:before="120" w:after="120"/>
        <w:rPr>
          <w:rFonts w:asciiTheme="minorHAnsi" w:eastAsiaTheme="minorEastAsia" w:hAnsiTheme="minorHAnsi" w:cstheme="minorBidi"/>
          <w:caps w:val="0"/>
          <w:sz w:val="22"/>
          <w:szCs w:val="22"/>
          <w:lang w:eastAsia="tr-TR"/>
        </w:rPr>
      </w:pPr>
      <w:hyperlink w:anchor="_Toc384823998" w:history="1">
        <w:r w:rsidR="00DB4573">
          <w:rPr>
            <w:rStyle w:val="Kpr"/>
            <w:caps w:val="0"/>
          </w:rPr>
          <w:t>2.1.3.3. CO</w:t>
        </w:r>
        <w:r w:rsidR="001A0FB6" w:rsidRPr="000D2519">
          <w:rPr>
            <w:rStyle w:val="Kpr"/>
            <w:caps w:val="0"/>
            <w:vertAlign w:val="subscript"/>
          </w:rPr>
          <w:t>2</w:t>
        </w:r>
        <w:r w:rsidR="00813D50">
          <w:rPr>
            <w:rStyle w:val="Kpr"/>
            <w:caps w:val="0"/>
          </w:rPr>
          <w:t xml:space="preserve"> Gazı Nerede v</w:t>
        </w:r>
        <w:r w:rsidR="001A0FB6" w:rsidRPr="000D2519">
          <w:rPr>
            <w:rStyle w:val="Kpr"/>
            <w:caps w:val="0"/>
          </w:rPr>
          <w:t>e Nasıl Deoplanır?</w:t>
        </w:r>
        <w:r w:rsidR="001A0FB6">
          <w:rPr>
            <w:caps w:val="0"/>
            <w:webHidden/>
          </w:rPr>
          <w:tab/>
        </w:r>
        <w:r w:rsidR="007374E0">
          <w:rPr>
            <w:webHidden/>
          </w:rPr>
          <w:fldChar w:fldCharType="begin"/>
        </w:r>
        <w:r w:rsidR="007374E0">
          <w:rPr>
            <w:webHidden/>
          </w:rPr>
          <w:instrText xml:space="preserve"> PAGEREF _Toc384823998 \h </w:instrText>
        </w:r>
        <w:r w:rsidR="007374E0">
          <w:rPr>
            <w:webHidden/>
          </w:rPr>
        </w:r>
        <w:r w:rsidR="007374E0">
          <w:rPr>
            <w:webHidden/>
          </w:rPr>
          <w:fldChar w:fldCharType="separate"/>
        </w:r>
        <w:r w:rsidR="007C769A">
          <w:rPr>
            <w:webHidden/>
          </w:rPr>
          <w:t>49</w:t>
        </w:r>
        <w:r w:rsidR="007374E0">
          <w:rPr>
            <w:webHidden/>
          </w:rPr>
          <w:fldChar w:fldCharType="end"/>
        </w:r>
      </w:hyperlink>
    </w:p>
    <w:p w:rsidR="007374E0" w:rsidRDefault="00E56A11" w:rsidP="000218A6">
      <w:pPr>
        <w:pStyle w:val="T4"/>
        <w:spacing w:before="120" w:after="120"/>
        <w:rPr>
          <w:rFonts w:asciiTheme="minorHAnsi" w:eastAsiaTheme="minorEastAsia" w:hAnsiTheme="minorHAnsi" w:cstheme="minorBidi"/>
          <w:caps w:val="0"/>
          <w:sz w:val="22"/>
          <w:szCs w:val="22"/>
          <w:lang w:eastAsia="tr-TR"/>
        </w:rPr>
      </w:pPr>
      <w:hyperlink w:anchor="_Toc384823999" w:history="1">
        <w:r w:rsidR="00813D50">
          <w:rPr>
            <w:rStyle w:val="Kpr"/>
            <w:caps w:val="0"/>
          </w:rPr>
          <w:t>2.1.3.4. Karbon Yakalama v</w:t>
        </w:r>
        <w:r w:rsidR="001A0FB6" w:rsidRPr="000D2519">
          <w:rPr>
            <w:rStyle w:val="Kpr"/>
            <w:caps w:val="0"/>
          </w:rPr>
          <w:t>e Depolama Teknolojileri</w:t>
        </w:r>
        <w:r w:rsidR="001A0FB6">
          <w:rPr>
            <w:caps w:val="0"/>
            <w:webHidden/>
          </w:rPr>
          <w:tab/>
        </w:r>
        <w:r w:rsidR="007374E0">
          <w:rPr>
            <w:webHidden/>
          </w:rPr>
          <w:fldChar w:fldCharType="begin"/>
        </w:r>
        <w:r w:rsidR="007374E0">
          <w:rPr>
            <w:webHidden/>
          </w:rPr>
          <w:instrText xml:space="preserve"> PAGEREF _Toc384823999 \h </w:instrText>
        </w:r>
        <w:r w:rsidR="007374E0">
          <w:rPr>
            <w:webHidden/>
          </w:rPr>
        </w:r>
        <w:r w:rsidR="007374E0">
          <w:rPr>
            <w:webHidden/>
          </w:rPr>
          <w:fldChar w:fldCharType="separate"/>
        </w:r>
        <w:r w:rsidR="007C769A">
          <w:rPr>
            <w:webHidden/>
          </w:rPr>
          <w:t>51</w:t>
        </w:r>
        <w:r w:rsidR="007374E0">
          <w:rPr>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4000" w:history="1">
        <w:r w:rsidR="007374E0" w:rsidRPr="000D2519">
          <w:rPr>
            <w:rStyle w:val="Kpr"/>
            <w:noProof/>
          </w:rPr>
          <w:t>2.1.4. Karbon Yutakları</w:t>
        </w:r>
        <w:r w:rsidR="007374E0">
          <w:rPr>
            <w:noProof/>
            <w:webHidden/>
          </w:rPr>
          <w:tab/>
        </w:r>
        <w:r w:rsidR="007374E0">
          <w:rPr>
            <w:noProof/>
            <w:webHidden/>
          </w:rPr>
          <w:fldChar w:fldCharType="begin"/>
        </w:r>
        <w:r w:rsidR="007374E0">
          <w:rPr>
            <w:noProof/>
            <w:webHidden/>
          </w:rPr>
          <w:instrText xml:space="preserve"> PAGEREF _Toc384824000 \h </w:instrText>
        </w:r>
        <w:r w:rsidR="007374E0">
          <w:rPr>
            <w:noProof/>
            <w:webHidden/>
          </w:rPr>
        </w:r>
        <w:r w:rsidR="007374E0">
          <w:rPr>
            <w:noProof/>
            <w:webHidden/>
          </w:rPr>
          <w:fldChar w:fldCharType="separate"/>
        </w:r>
        <w:r w:rsidR="007C769A">
          <w:rPr>
            <w:noProof/>
            <w:webHidden/>
          </w:rPr>
          <w:t>53</w:t>
        </w:r>
        <w:r w:rsidR="007374E0">
          <w:rPr>
            <w:noProof/>
            <w:webHidden/>
          </w:rPr>
          <w:fldChar w:fldCharType="end"/>
        </w:r>
      </w:hyperlink>
    </w:p>
    <w:p w:rsidR="007374E0" w:rsidRDefault="00E56A11" w:rsidP="000218A6">
      <w:pPr>
        <w:pStyle w:val="T2"/>
        <w:spacing w:after="120" w:line="240" w:lineRule="auto"/>
        <w:rPr>
          <w:rFonts w:asciiTheme="minorHAnsi" w:eastAsiaTheme="minorEastAsia" w:hAnsiTheme="minorHAnsi" w:cstheme="minorBidi"/>
          <w:sz w:val="22"/>
          <w:szCs w:val="22"/>
          <w:lang w:eastAsia="tr-TR"/>
        </w:rPr>
      </w:pPr>
      <w:hyperlink w:anchor="_Toc384824001" w:history="1">
        <w:r w:rsidR="007374E0" w:rsidRPr="000D2519">
          <w:rPr>
            <w:rStyle w:val="Kpr"/>
          </w:rPr>
          <w:t>2.2. ARAÇLAR</w:t>
        </w:r>
        <w:r w:rsidR="007374E0">
          <w:rPr>
            <w:webHidden/>
          </w:rPr>
          <w:tab/>
        </w:r>
        <w:r w:rsidR="007374E0">
          <w:rPr>
            <w:webHidden/>
          </w:rPr>
          <w:fldChar w:fldCharType="begin"/>
        </w:r>
        <w:r w:rsidR="007374E0">
          <w:rPr>
            <w:webHidden/>
          </w:rPr>
          <w:instrText xml:space="preserve"> PAGEREF _Toc384824001 \h </w:instrText>
        </w:r>
        <w:r w:rsidR="007374E0">
          <w:rPr>
            <w:webHidden/>
          </w:rPr>
        </w:r>
        <w:r w:rsidR="007374E0">
          <w:rPr>
            <w:webHidden/>
          </w:rPr>
          <w:fldChar w:fldCharType="separate"/>
        </w:r>
        <w:r w:rsidR="007C769A">
          <w:rPr>
            <w:webHidden/>
          </w:rPr>
          <w:t>57</w:t>
        </w:r>
        <w:r w:rsidR="007374E0">
          <w:rPr>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4002" w:history="1">
        <w:r w:rsidR="007374E0" w:rsidRPr="000D2519">
          <w:rPr>
            <w:rStyle w:val="Kpr"/>
            <w:noProof/>
          </w:rPr>
          <w:t>2.2.1. Kyoto Protokolü Esneklik Mekanizmaları</w:t>
        </w:r>
        <w:r w:rsidR="007374E0">
          <w:rPr>
            <w:noProof/>
            <w:webHidden/>
          </w:rPr>
          <w:tab/>
        </w:r>
        <w:r w:rsidR="007374E0">
          <w:rPr>
            <w:noProof/>
            <w:webHidden/>
          </w:rPr>
          <w:fldChar w:fldCharType="begin"/>
        </w:r>
        <w:r w:rsidR="007374E0">
          <w:rPr>
            <w:noProof/>
            <w:webHidden/>
          </w:rPr>
          <w:instrText xml:space="preserve"> PAGEREF _Toc384824002 \h </w:instrText>
        </w:r>
        <w:r w:rsidR="007374E0">
          <w:rPr>
            <w:noProof/>
            <w:webHidden/>
          </w:rPr>
        </w:r>
        <w:r w:rsidR="007374E0">
          <w:rPr>
            <w:noProof/>
            <w:webHidden/>
          </w:rPr>
          <w:fldChar w:fldCharType="separate"/>
        </w:r>
        <w:r w:rsidR="007C769A">
          <w:rPr>
            <w:noProof/>
            <w:webHidden/>
          </w:rPr>
          <w:t>57</w:t>
        </w:r>
        <w:r w:rsidR="007374E0">
          <w:rPr>
            <w:noProof/>
            <w:webHidden/>
          </w:rPr>
          <w:fldChar w:fldCharType="end"/>
        </w:r>
      </w:hyperlink>
    </w:p>
    <w:p w:rsidR="007374E0" w:rsidRDefault="00E56A11" w:rsidP="000218A6">
      <w:pPr>
        <w:pStyle w:val="T4"/>
        <w:spacing w:before="120" w:after="120"/>
        <w:rPr>
          <w:rFonts w:asciiTheme="minorHAnsi" w:eastAsiaTheme="minorEastAsia" w:hAnsiTheme="minorHAnsi" w:cstheme="minorBidi"/>
          <w:caps w:val="0"/>
          <w:sz w:val="22"/>
          <w:szCs w:val="22"/>
          <w:lang w:eastAsia="tr-TR"/>
        </w:rPr>
      </w:pPr>
      <w:hyperlink w:anchor="_Toc384824003" w:history="1">
        <w:r w:rsidR="007374E0" w:rsidRPr="000D2519">
          <w:rPr>
            <w:rStyle w:val="Kpr"/>
          </w:rPr>
          <w:t xml:space="preserve">2.2.1.1. </w:t>
        </w:r>
        <w:r w:rsidR="001A0FB6" w:rsidRPr="000D2519">
          <w:rPr>
            <w:rStyle w:val="Kpr"/>
            <w:caps w:val="0"/>
          </w:rPr>
          <w:t>Proje Temelli Esneklik Mekanizmaları</w:t>
        </w:r>
        <w:r w:rsidR="007374E0">
          <w:rPr>
            <w:webHidden/>
          </w:rPr>
          <w:tab/>
        </w:r>
        <w:r w:rsidR="007374E0">
          <w:rPr>
            <w:webHidden/>
          </w:rPr>
          <w:fldChar w:fldCharType="begin"/>
        </w:r>
        <w:r w:rsidR="007374E0">
          <w:rPr>
            <w:webHidden/>
          </w:rPr>
          <w:instrText xml:space="preserve"> PAGEREF _Toc384824003 \h </w:instrText>
        </w:r>
        <w:r w:rsidR="007374E0">
          <w:rPr>
            <w:webHidden/>
          </w:rPr>
        </w:r>
        <w:r w:rsidR="007374E0">
          <w:rPr>
            <w:webHidden/>
          </w:rPr>
          <w:fldChar w:fldCharType="separate"/>
        </w:r>
        <w:r w:rsidR="007C769A">
          <w:rPr>
            <w:webHidden/>
          </w:rPr>
          <w:t>65</w:t>
        </w:r>
        <w:r w:rsidR="007374E0">
          <w:rPr>
            <w:webHidden/>
          </w:rPr>
          <w:fldChar w:fldCharType="end"/>
        </w:r>
      </w:hyperlink>
    </w:p>
    <w:p w:rsidR="007374E0" w:rsidRDefault="00E56A11" w:rsidP="000218A6">
      <w:pPr>
        <w:pStyle w:val="T5"/>
        <w:spacing w:before="120" w:after="120"/>
        <w:rPr>
          <w:rFonts w:asciiTheme="minorHAnsi" w:eastAsiaTheme="minorEastAsia" w:hAnsiTheme="minorHAnsi" w:cstheme="minorBidi"/>
          <w:sz w:val="22"/>
          <w:szCs w:val="22"/>
          <w:lang w:eastAsia="tr-TR"/>
        </w:rPr>
      </w:pPr>
      <w:hyperlink w:anchor="_Toc384824004" w:history="1">
        <w:r w:rsidR="007374E0" w:rsidRPr="000D2519">
          <w:rPr>
            <w:rStyle w:val="Kpr"/>
          </w:rPr>
          <w:t>2.2.1.1.1. Temiz Kalkınma Mekanizması</w:t>
        </w:r>
        <w:r w:rsidR="007374E0">
          <w:rPr>
            <w:webHidden/>
          </w:rPr>
          <w:tab/>
        </w:r>
        <w:r w:rsidR="007374E0">
          <w:rPr>
            <w:webHidden/>
          </w:rPr>
          <w:fldChar w:fldCharType="begin"/>
        </w:r>
        <w:r w:rsidR="007374E0">
          <w:rPr>
            <w:webHidden/>
          </w:rPr>
          <w:instrText xml:space="preserve"> PAGEREF _Toc384824004 \h </w:instrText>
        </w:r>
        <w:r w:rsidR="007374E0">
          <w:rPr>
            <w:webHidden/>
          </w:rPr>
        </w:r>
        <w:r w:rsidR="007374E0">
          <w:rPr>
            <w:webHidden/>
          </w:rPr>
          <w:fldChar w:fldCharType="separate"/>
        </w:r>
        <w:r w:rsidR="007C769A">
          <w:rPr>
            <w:webHidden/>
          </w:rPr>
          <w:t>65</w:t>
        </w:r>
        <w:r w:rsidR="007374E0">
          <w:rPr>
            <w:webHidden/>
          </w:rPr>
          <w:fldChar w:fldCharType="end"/>
        </w:r>
      </w:hyperlink>
    </w:p>
    <w:p w:rsidR="007374E0" w:rsidRDefault="00E56A11" w:rsidP="000218A6">
      <w:pPr>
        <w:pStyle w:val="T5"/>
        <w:spacing w:before="120" w:after="120"/>
        <w:rPr>
          <w:rFonts w:asciiTheme="minorHAnsi" w:eastAsiaTheme="minorEastAsia" w:hAnsiTheme="minorHAnsi" w:cstheme="minorBidi"/>
          <w:sz w:val="22"/>
          <w:szCs w:val="22"/>
          <w:lang w:eastAsia="tr-TR"/>
        </w:rPr>
      </w:pPr>
      <w:hyperlink w:anchor="_Toc384824005" w:history="1">
        <w:r w:rsidR="007374E0" w:rsidRPr="000D2519">
          <w:rPr>
            <w:rStyle w:val="Kpr"/>
          </w:rPr>
          <w:t>2.2.1.1.2. Ortak Yürütme Mekanizması</w:t>
        </w:r>
        <w:r w:rsidR="007374E0">
          <w:rPr>
            <w:webHidden/>
          </w:rPr>
          <w:tab/>
        </w:r>
        <w:r w:rsidR="007374E0">
          <w:rPr>
            <w:webHidden/>
          </w:rPr>
          <w:fldChar w:fldCharType="begin"/>
        </w:r>
        <w:r w:rsidR="007374E0">
          <w:rPr>
            <w:webHidden/>
          </w:rPr>
          <w:instrText xml:space="preserve"> PAGEREF _Toc384824005 \h </w:instrText>
        </w:r>
        <w:r w:rsidR="007374E0">
          <w:rPr>
            <w:webHidden/>
          </w:rPr>
        </w:r>
        <w:r w:rsidR="007374E0">
          <w:rPr>
            <w:webHidden/>
          </w:rPr>
          <w:fldChar w:fldCharType="separate"/>
        </w:r>
        <w:r w:rsidR="007C769A">
          <w:rPr>
            <w:webHidden/>
          </w:rPr>
          <w:t>66</w:t>
        </w:r>
        <w:r w:rsidR="007374E0">
          <w:rPr>
            <w:webHidden/>
          </w:rPr>
          <w:fldChar w:fldCharType="end"/>
        </w:r>
      </w:hyperlink>
    </w:p>
    <w:p w:rsidR="007374E0" w:rsidRDefault="00E56A11" w:rsidP="000218A6">
      <w:pPr>
        <w:pStyle w:val="T4"/>
        <w:spacing w:before="120" w:after="120"/>
        <w:rPr>
          <w:rFonts w:asciiTheme="minorHAnsi" w:eastAsiaTheme="minorEastAsia" w:hAnsiTheme="minorHAnsi" w:cstheme="minorBidi"/>
          <w:caps w:val="0"/>
          <w:sz w:val="22"/>
          <w:szCs w:val="22"/>
          <w:lang w:eastAsia="tr-TR"/>
        </w:rPr>
      </w:pPr>
      <w:hyperlink w:anchor="_Toc384824006" w:history="1">
        <w:r w:rsidR="007374E0" w:rsidRPr="000D2519">
          <w:rPr>
            <w:rStyle w:val="Kpr"/>
          </w:rPr>
          <w:t>2.2.1.2.</w:t>
        </w:r>
        <w:r w:rsidR="001A0FB6" w:rsidRPr="000D2519">
          <w:rPr>
            <w:rStyle w:val="Kpr"/>
            <w:caps w:val="0"/>
          </w:rPr>
          <w:t xml:space="preserve"> Piyasa Temelli Esneklik Mekanizması</w:t>
        </w:r>
        <w:r w:rsidR="007374E0">
          <w:rPr>
            <w:webHidden/>
          </w:rPr>
          <w:tab/>
        </w:r>
        <w:r w:rsidR="007374E0">
          <w:rPr>
            <w:webHidden/>
          </w:rPr>
          <w:fldChar w:fldCharType="begin"/>
        </w:r>
        <w:r w:rsidR="007374E0">
          <w:rPr>
            <w:webHidden/>
          </w:rPr>
          <w:instrText xml:space="preserve"> PAGEREF _Toc384824006 \h </w:instrText>
        </w:r>
        <w:r w:rsidR="007374E0">
          <w:rPr>
            <w:webHidden/>
          </w:rPr>
        </w:r>
        <w:r w:rsidR="007374E0">
          <w:rPr>
            <w:webHidden/>
          </w:rPr>
          <w:fldChar w:fldCharType="separate"/>
        </w:r>
        <w:r w:rsidR="007C769A">
          <w:rPr>
            <w:webHidden/>
          </w:rPr>
          <w:t>66</w:t>
        </w:r>
        <w:r w:rsidR="007374E0">
          <w:rPr>
            <w:webHidden/>
          </w:rPr>
          <w:fldChar w:fldCharType="end"/>
        </w:r>
      </w:hyperlink>
    </w:p>
    <w:p w:rsidR="007374E0" w:rsidRDefault="00E56A11" w:rsidP="000218A6">
      <w:pPr>
        <w:pStyle w:val="T5"/>
        <w:spacing w:before="120" w:after="120"/>
        <w:rPr>
          <w:rFonts w:asciiTheme="minorHAnsi" w:eastAsiaTheme="minorEastAsia" w:hAnsiTheme="minorHAnsi" w:cstheme="minorBidi"/>
          <w:sz w:val="22"/>
          <w:szCs w:val="22"/>
          <w:lang w:eastAsia="tr-TR"/>
        </w:rPr>
      </w:pPr>
      <w:hyperlink w:anchor="_Toc384824007" w:history="1">
        <w:r w:rsidR="007374E0" w:rsidRPr="000D2519">
          <w:rPr>
            <w:rStyle w:val="Kpr"/>
          </w:rPr>
          <w:t>2.2.1.2.1. Emisyon Ticareti Kavramı</w:t>
        </w:r>
        <w:r w:rsidR="007374E0">
          <w:rPr>
            <w:webHidden/>
          </w:rPr>
          <w:tab/>
        </w:r>
        <w:r w:rsidR="007374E0">
          <w:rPr>
            <w:webHidden/>
          </w:rPr>
          <w:fldChar w:fldCharType="begin"/>
        </w:r>
        <w:r w:rsidR="007374E0">
          <w:rPr>
            <w:webHidden/>
          </w:rPr>
          <w:instrText xml:space="preserve"> PAGEREF _Toc384824007 \h </w:instrText>
        </w:r>
        <w:r w:rsidR="007374E0">
          <w:rPr>
            <w:webHidden/>
          </w:rPr>
        </w:r>
        <w:r w:rsidR="007374E0">
          <w:rPr>
            <w:webHidden/>
          </w:rPr>
          <w:fldChar w:fldCharType="separate"/>
        </w:r>
        <w:r w:rsidR="007C769A">
          <w:rPr>
            <w:webHidden/>
          </w:rPr>
          <w:t>67</w:t>
        </w:r>
        <w:r w:rsidR="007374E0">
          <w:rPr>
            <w:webHidden/>
          </w:rPr>
          <w:fldChar w:fldCharType="end"/>
        </w:r>
      </w:hyperlink>
    </w:p>
    <w:p w:rsidR="007374E0" w:rsidRDefault="00E56A11" w:rsidP="000218A6">
      <w:pPr>
        <w:pStyle w:val="T5"/>
        <w:spacing w:before="120" w:after="120"/>
        <w:rPr>
          <w:rFonts w:asciiTheme="minorHAnsi" w:eastAsiaTheme="minorEastAsia" w:hAnsiTheme="minorHAnsi" w:cstheme="minorBidi"/>
          <w:sz w:val="22"/>
          <w:szCs w:val="22"/>
          <w:lang w:eastAsia="tr-TR"/>
        </w:rPr>
      </w:pPr>
      <w:hyperlink w:anchor="_Toc384824008" w:history="1">
        <w:r w:rsidR="007374E0" w:rsidRPr="000D2519">
          <w:rPr>
            <w:rStyle w:val="Kpr"/>
          </w:rPr>
          <w:t>2.2.1.2.2. Emisyon Ticareti Türleri</w:t>
        </w:r>
        <w:r w:rsidR="007374E0">
          <w:rPr>
            <w:webHidden/>
          </w:rPr>
          <w:tab/>
        </w:r>
        <w:r w:rsidR="007374E0">
          <w:rPr>
            <w:webHidden/>
          </w:rPr>
          <w:fldChar w:fldCharType="begin"/>
        </w:r>
        <w:r w:rsidR="007374E0">
          <w:rPr>
            <w:webHidden/>
          </w:rPr>
          <w:instrText xml:space="preserve"> PAGEREF _Toc384824008 \h </w:instrText>
        </w:r>
        <w:r w:rsidR="007374E0">
          <w:rPr>
            <w:webHidden/>
          </w:rPr>
        </w:r>
        <w:r w:rsidR="007374E0">
          <w:rPr>
            <w:webHidden/>
          </w:rPr>
          <w:fldChar w:fldCharType="separate"/>
        </w:r>
        <w:r w:rsidR="007C769A">
          <w:rPr>
            <w:webHidden/>
          </w:rPr>
          <w:t>69</w:t>
        </w:r>
        <w:r w:rsidR="007374E0">
          <w:rPr>
            <w:webHidden/>
          </w:rPr>
          <w:fldChar w:fldCharType="end"/>
        </w:r>
      </w:hyperlink>
    </w:p>
    <w:p w:rsidR="007374E0" w:rsidRDefault="00E56A11" w:rsidP="000218A6">
      <w:pPr>
        <w:pStyle w:val="T5"/>
        <w:spacing w:before="120" w:after="120"/>
        <w:rPr>
          <w:rFonts w:asciiTheme="minorHAnsi" w:eastAsiaTheme="minorEastAsia" w:hAnsiTheme="minorHAnsi" w:cstheme="minorBidi"/>
          <w:sz w:val="22"/>
          <w:szCs w:val="22"/>
          <w:lang w:eastAsia="tr-TR"/>
        </w:rPr>
      </w:pPr>
      <w:hyperlink w:anchor="_Toc384824009" w:history="1">
        <w:r w:rsidR="007374E0" w:rsidRPr="000D2519">
          <w:rPr>
            <w:rStyle w:val="Kpr"/>
          </w:rPr>
          <w:t xml:space="preserve">2.2.1.2.3. Avrupa Birliği </w:t>
        </w:r>
        <w:r w:rsidR="00DB4573">
          <w:rPr>
            <w:rStyle w:val="Kpr"/>
          </w:rPr>
          <w:t xml:space="preserve">Emisyon </w:t>
        </w:r>
        <w:r w:rsidR="007374E0" w:rsidRPr="000D2519">
          <w:rPr>
            <w:rStyle w:val="Kpr"/>
          </w:rPr>
          <w:t>Ticareti Siste</w:t>
        </w:r>
        <w:r w:rsidR="007374E0" w:rsidRPr="000D2519">
          <w:rPr>
            <w:rStyle w:val="Kpr"/>
          </w:rPr>
          <w:t>m</w:t>
        </w:r>
        <w:r w:rsidR="007374E0" w:rsidRPr="000D2519">
          <w:rPr>
            <w:rStyle w:val="Kpr"/>
          </w:rPr>
          <w:t>i (EU ETS)</w:t>
        </w:r>
        <w:r w:rsidR="007374E0">
          <w:rPr>
            <w:webHidden/>
          </w:rPr>
          <w:tab/>
        </w:r>
        <w:r w:rsidR="007374E0">
          <w:rPr>
            <w:webHidden/>
          </w:rPr>
          <w:fldChar w:fldCharType="begin"/>
        </w:r>
        <w:r w:rsidR="007374E0">
          <w:rPr>
            <w:webHidden/>
          </w:rPr>
          <w:instrText xml:space="preserve"> PAGEREF _Toc384824009 \h </w:instrText>
        </w:r>
        <w:r w:rsidR="007374E0">
          <w:rPr>
            <w:webHidden/>
          </w:rPr>
        </w:r>
        <w:r w:rsidR="007374E0">
          <w:rPr>
            <w:webHidden/>
          </w:rPr>
          <w:fldChar w:fldCharType="separate"/>
        </w:r>
        <w:r w:rsidR="007C769A">
          <w:rPr>
            <w:webHidden/>
          </w:rPr>
          <w:t>69</w:t>
        </w:r>
        <w:r w:rsidR="007374E0">
          <w:rPr>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4010" w:history="1">
        <w:r w:rsidR="007374E0" w:rsidRPr="000D2519">
          <w:rPr>
            <w:rStyle w:val="Kpr"/>
            <w:noProof/>
          </w:rPr>
          <w:t>2.2.2. Gönüllü Karbon Piyasaları</w:t>
        </w:r>
        <w:r w:rsidR="007374E0">
          <w:rPr>
            <w:noProof/>
            <w:webHidden/>
          </w:rPr>
          <w:tab/>
        </w:r>
        <w:r w:rsidR="007374E0">
          <w:rPr>
            <w:noProof/>
            <w:webHidden/>
          </w:rPr>
          <w:fldChar w:fldCharType="begin"/>
        </w:r>
        <w:r w:rsidR="007374E0">
          <w:rPr>
            <w:noProof/>
            <w:webHidden/>
          </w:rPr>
          <w:instrText xml:space="preserve"> PAGEREF _Toc384824010 \h </w:instrText>
        </w:r>
        <w:r w:rsidR="007374E0">
          <w:rPr>
            <w:noProof/>
            <w:webHidden/>
          </w:rPr>
        </w:r>
        <w:r w:rsidR="007374E0">
          <w:rPr>
            <w:noProof/>
            <w:webHidden/>
          </w:rPr>
          <w:fldChar w:fldCharType="separate"/>
        </w:r>
        <w:r w:rsidR="007C769A">
          <w:rPr>
            <w:noProof/>
            <w:webHidden/>
          </w:rPr>
          <w:t>71</w:t>
        </w:r>
        <w:r w:rsidR="007374E0">
          <w:rPr>
            <w:noProof/>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4011" w:history="1">
        <w:r w:rsidR="007374E0" w:rsidRPr="000D2519">
          <w:rPr>
            <w:rStyle w:val="Kpr"/>
            <w:noProof/>
          </w:rPr>
          <w:t>2.2.3. Karbon Vergisi</w:t>
        </w:r>
        <w:r w:rsidR="007374E0">
          <w:rPr>
            <w:noProof/>
            <w:webHidden/>
          </w:rPr>
          <w:tab/>
        </w:r>
        <w:r w:rsidR="007374E0">
          <w:rPr>
            <w:noProof/>
            <w:webHidden/>
          </w:rPr>
          <w:fldChar w:fldCharType="begin"/>
        </w:r>
        <w:r w:rsidR="007374E0">
          <w:rPr>
            <w:noProof/>
            <w:webHidden/>
          </w:rPr>
          <w:instrText xml:space="preserve"> PAGEREF _Toc384824011 \h </w:instrText>
        </w:r>
        <w:r w:rsidR="007374E0">
          <w:rPr>
            <w:noProof/>
            <w:webHidden/>
          </w:rPr>
        </w:r>
        <w:r w:rsidR="007374E0">
          <w:rPr>
            <w:noProof/>
            <w:webHidden/>
          </w:rPr>
          <w:fldChar w:fldCharType="separate"/>
        </w:r>
        <w:r w:rsidR="007C769A">
          <w:rPr>
            <w:noProof/>
            <w:webHidden/>
          </w:rPr>
          <w:t>73</w:t>
        </w:r>
        <w:r w:rsidR="007374E0">
          <w:rPr>
            <w:noProof/>
            <w:webHidden/>
          </w:rPr>
          <w:fldChar w:fldCharType="end"/>
        </w:r>
      </w:hyperlink>
    </w:p>
    <w:p w:rsidR="00A13830" w:rsidRDefault="00A13830">
      <w:pPr>
        <w:pStyle w:val="T1"/>
      </w:pPr>
    </w:p>
    <w:p w:rsidR="007374E0" w:rsidRDefault="00E56A11">
      <w:pPr>
        <w:pStyle w:val="T1"/>
        <w:rPr>
          <w:rFonts w:asciiTheme="minorHAnsi" w:eastAsiaTheme="minorEastAsia" w:hAnsiTheme="minorHAnsi" w:cstheme="minorBidi"/>
          <w:sz w:val="22"/>
          <w:szCs w:val="22"/>
          <w:lang w:eastAsia="tr-TR"/>
        </w:rPr>
      </w:pPr>
      <w:hyperlink w:anchor="_Toc384824012" w:history="1">
        <w:r w:rsidR="007374E0" w:rsidRPr="00214601">
          <w:rPr>
            <w:rStyle w:val="Kpr"/>
            <w:b/>
          </w:rPr>
          <w:t>ÜÇÜNCÜ BÖLÜM</w:t>
        </w:r>
        <w:r w:rsidR="007374E0">
          <w:rPr>
            <w:webHidden/>
          </w:rPr>
          <w:tab/>
        </w:r>
        <w:r w:rsidR="007374E0">
          <w:rPr>
            <w:webHidden/>
          </w:rPr>
          <w:fldChar w:fldCharType="begin"/>
        </w:r>
        <w:r w:rsidR="007374E0">
          <w:rPr>
            <w:webHidden/>
          </w:rPr>
          <w:instrText xml:space="preserve"> PAGEREF _Toc384824012 \h </w:instrText>
        </w:r>
        <w:r w:rsidR="007374E0">
          <w:rPr>
            <w:webHidden/>
          </w:rPr>
        </w:r>
        <w:r w:rsidR="007374E0">
          <w:rPr>
            <w:webHidden/>
          </w:rPr>
          <w:fldChar w:fldCharType="separate"/>
        </w:r>
        <w:r w:rsidR="007C769A">
          <w:rPr>
            <w:webHidden/>
          </w:rPr>
          <w:t>75</w:t>
        </w:r>
        <w:r w:rsidR="007374E0">
          <w:rPr>
            <w:webHidden/>
          </w:rPr>
          <w:fldChar w:fldCharType="end"/>
        </w:r>
      </w:hyperlink>
    </w:p>
    <w:p w:rsidR="007374E0" w:rsidRDefault="00E56A11">
      <w:pPr>
        <w:pStyle w:val="T1"/>
        <w:rPr>
          <w:rFonts w:asciiTheme="minorHAnsi" w:eastAsiaTheme="minorEastAsia" w:hAnsiTheme="minorHAnsi" w:cstheme="minorBidi"/>
          <w:sz w:val="22"/>
          <w:szCs w:val="22"/>
          <w:lang w:eastAsia="tr-TR"/>
        </w:rPr>
      </w:pPr>
      <w:hyperlink w:anchor="_Toc384824013" w:history="1">
        <w:r w:rsidR="007374E0" w:rsidRPr="00214601">
          <w:rPr>
            <w:rStyle w:val="Kpr"/>
            <w:b/>
          </w:rPr>
          <w:t>SERA GAZI EMİSYONLARININ MAKROEKONOMİK DEĞİŞKENLERLE İLİŞKİSİ</w:t>
        </w:r>
        <w:r w:rsidR="007374E0">
          <w:rPr>
            <w:webHidden/>
          </w:rPr>
          <w:tab/>
        </w:r>
        <w:r w:rsidR="007374E0">
          <w:rPr>
            <w:webHidden/>
          </w:rPr>
          <w:fldChar w:fldCharType="begin"/>
        </w:r>
        <w:r w:rsidR="007374E0">
          <w:rPr>
            <w:webHidden/>
          </w:rPr>
          <w:instrText xml:space="preserve"> PAGEREF _Toc384824013 \h </w:instrText>
        </w:r>
        <w:r w:rsidR="007374E0">
          <w:rPr>
            <w:webHidden/>
          </w:rPr>
        </w:r>
        <w:r w:rsidR="007374E0">
          <w:rPr>
            <w:webHidden/>
          </w:rPr>
          <w:fldChar w:fldCharType="separate"/>
        </w:r>
        <w:r w:rsidR="007C769A">
          <w:rPr>
            <w:webHidden/>
          </w:rPr>
          <w:t>75</w:t>
        </w:r>
        <w:r w:rsidR="007374E0">
          <w:rPr>
            <w:webHidden/>
          </w:rPr>
          <w:fldChar w:fldCharType="end"/>
        </w:r>
      </w:hyperlink>
    </w:p>
    <w:p w:rsidR="007374E0" w:rsidRDefault="00E56A11" w:rsidP="000218A6">
      <w:pPr>
        <w:pStyle w:val="T2"/>
        <w:spacing w:after="120" w:line="240" w:lineRule="auto"/>
        <w:rPr>
          <w:rFonts w:asciiTheme="minorHAnsi" w:eastAsiaTheme="minorEastAsia" w:hAnsiTheme="minorHAnsi" w:cstheme="minorBidi"/>
          <w:sz w:val="22"/>
          <w:szCs w:val="22"/>
          <w:lang w:eastAsia="tr-TR"/>
        </w:rPr>
      </w:pPr>
      <w:hyperlink w:anchor="_Toc384824014" w:history="1">
        <w:r w:rsidR="007374E0" w:rsidRPr="000D2519">
          <w:rPr>
            <w:rStyle w:val="Kpr"/>
          </w:rPr>
          <w:t>3.1. EKONOMİK BÜYÜMENİN ETKİLERİ</w:t>
        </w:r>
        <w:r w:rsidR="007374E0">
          <w:rPr>
            <w:webHidden/>
          </w:rPr>
          <w:tab/>
        </w:r>
        <w:r w:rsidR="007374E0">
          <w:rPr>
            <w:webHidden/>
          </w:rPr>
          <w:fldChar w:fldCharType="begin"/>
        </w:r>
        <w:r w:rsidR="007374E0">
          <w:rPr>
            <w:webHidden/>
          </w:rPr>
          <w:instrText xml:space="preserve"> PAGEREF _Toc384824014 \h </w:instrText>
        </w:r>
        <w:r w:rsidR="007374E0">
          <w:rPr>
            <w:webHidden/>
          </w:rPr>
        </w:r>
        <w:r w:rsidR="007374E0">
          <w:rPr>
            <w:webHidden/>
          </w:rPr>
          <w:fldChar w:fldCharType="separate"/>
        </w:r>
        <w:r w:rsidR="007C769A">
          <w:rPr>
            <w:webHidden/>
          </w:rPr>
          <w:t>75</w:t>
        </w:r>
        <w:r w:rsidR="007374E0">
          <w:rPr>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4015" w:history="1">
        <w:r w:rsidR="007374E0" w:rsidRPr="000D2519">
          <w:rPr>
            <w:rStyle w:val="Kpr"/>
            <w:noProof/>
          </w:rPr>
          <w:t>3.1.1. Teorik Çerçeve</w:t>
        </w:r>
        <w:r w:rsidR="007374E0">
          <w:rPr>
            <w:noProof/>
            <w:webHidden/>
          </w:rPr>
          <w:tab/>
        </w:r>
        <w:r w:rsidR="007374E0">
          <w:rPr>
            <w:noProof/>
            <w:webHidden/>
          </w:rPr>
          <w:fldChar w:fldCharType="begin"/>
        </w:r>
        <w:r w:rsidR="007374E0">
          <w:rPr>
            <w:noProof/>
            <w:webHidden/>
          </w:rPr>
          <w:instrText xml:space="preserve"> PAGEREF _Toc384824015 \h </w:instrText>
        </w:r>
        <w:r w:rsidR="007374E0">
          <w:rPr>
            <w:noProof/>
            <w:webHidden/>
          </w:rPr>
        </w:r>
        <w:r w:rsidR="007374E0">
          <w:rPr>
            <w:noProof/>
            <w:webHidden/>
          </w:rPr>
          <w:fldChar w:fldCharType="separate"/>
        </w:r>
        <w:r w:rsidR="007C769A">
          <w:rPr>
            <w:noProof/>
            <w:webHidden/>
          </w:rPr>
          <w:t>75</w:t>
        </w:r>
        <w:r w:rsidR="007374E0">
          <w:rPr>
            <w:noProof/>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4016" w:history="1">
        <w:r w:rsidR="007374E0" w:rsidRPr="000D2519">
          <w:rPr>
            <w:rStyle w:val="Kpr"/>
            <w:noProof/>
          </w:rPr>
          <w:t>3.1.2. İlgili Literatür Özeti</w:t>
        </w:r>
        <w:r w:rsidR="007374E0">
          <w:rPr>
            <w:noProof/>
            <w:webHidden/>
          </w:rPr>
          <w:tab/>
        </w:r>
        <w:r w:rsidR="007374E0">
          <w:rPr>
            <w:noProof/>
            <w:webHidden/>
          </w:rPr>
          <w:fldChar w:fldCharType="begin"/>
        </w:r>
        <w:r w:rsidR="007374E0">
          <w:rPr>
            <w:noProof/>
            <w:webHidden/>
          </w:rPr>
          <w:instrText xml:space="preserve"> PAGEREF _Toc384824016 \h </w:instrText>
        </w:r>
        <w:r w:rsidR="007374E0">
          <w:rPr>
            <w:noProof/>
            <w:webHidden/>
          </w:rPr>
        </w:r>
        <w:r w:rsidR="007374E0">
          <w:rPr>
            <w:noProof/>
            <w:webHidden/>
          </w:rPr>
          <w:fldChar w:fldCharType="separate"/>
        </w:r>
        <w:r w:rsidR="007C769A">
          <w:rPr>
            <w:noProof/>
            <w:webHidden/>
          </w:rPr>
          <w:t>79</w:t>
        </w:r>
        <w:r w:rsidR="007374E0">
          <w:rPr>
            <w:noProof/>
            <w:webHidden/>
          </w:rPr>
          <w:fldChar w:fldCharType="end"/>
        </w:r>
      </w:hyperlink>
    </w:p>
    <w:p w:rsidR="007374E0" w:rsidRDefault="00E56A11" w:rsidP="000218A6">
      <w:pPr>
        <w:pStyle w:val="T2"/>
        <w:spacing w:after="120" w:line="240" w:lineRule="auto"/>
        <w:rPr>
          <w:rFonts w:asciiTheme="minorHAnsi" w:eastAsiaTheme="minorEastAsia" w:hAnsiTheme="minorHAnsi" w:cstheme="minorBidi"/>
          <w:sz w:val="22"/>
          <w:szCs w:val="22"/>
          <w:lang w:eastAsia="tr-TR"/>
        </w:rPr>
      </w:pPr>
      <w:hyperlink w:anchor="_Toc384824017" w:history="1">
        <w:r w:rsidR="007374E0" w:rsidRPr="000D2519">
          <w:rPr>
            <w:rStyle w:val="Kpr"/>
          </w:rPr>
          <w:t>3.2. ENERJİ TÜKETİMİ ETKİSİ</w:t>
        </w:r>
        <w:r w:rsidR="007374E0">
          <w:rPr>
            <w:webHidden/>
          </w:rPr>
          <w:tab/>
        </w:r>
        <w:r w:rsidR="007374E0">
          <w:rPr>
            <w:webHidden/>
          </w:rPr>
          <w:fldChar w:fldCharType="begin"/>
        </w:r>
        <w:r w:rsidR="007374E0">
          <w:rPr>
            <w:webHidden/>
          </w:rPr>
          <w:instrText xml:space="preserve"> PAGEREF _Toc384824017 \h </w:instrText>
        </w:r>
        <w:r w:rsidR="007374E0">
          <w:rPr>
            <w:webHidden/>
          </w:rPr>
        </w:r>
        <w:r w:rsidR="007374E0">
          <w:rPr>
            <w:webHidden/>
          </w:rPr>
          <w:fldChar w:fldCharType="separate"/>
        </w:r>
        <w:r w:rsidR="007C769A">
          <w:rPr>
            <w:webHidden/>
          </w:rPr>
          <w:t>83</w:t>
        </w:r>
        <w:r w:rsidR="007374E0">
          <w:rPr>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4018" w:history="1">
        <w:r w:rsidR="007374E0" w:rsidRPr="000D2519">
          <w:rPr>
            <w:rStyle w:val="Kpr"/>
            <w:noProof/>
          </w:rPr>
          <w:t>3.2.1. Teorik Çerçeve</w:t>
        </w:r>
        <w:r w:rsidR="007374E0">
          <w:rPr>
            <w:noProof/>
            <w:webHidden/>
          </w:rPr>
          <w:tab/>
        </w:r>
        <w:r w:rsidR="007374E0">
          <w:rPr>
            <w:noProof/>
            <w:webHidden/>
          </w:rPr>
          <w:fldChar w:fldCharType="begin"/>
        </w:r>
        <w:r w:rsidR="007374E0">
          <w:rPr>
            <w:noProof/>
            <w:webHidden/>
          </w:rPr>
          <w:instrText xml:space="preserve"> PAGEREF _Toc384824018 \h </w:instrText>
        </w:r>
        <w:r w:rsidR="007374E0">
          <w:rPr>
            <w:noProof/>
            <w:webHidden/>
          </w:rPr>
        </w:r>
        <w:r w:rsidR="007374E0">
          <w:rPr>
            <w:noProof/>
            <w:webHidden/>
          </w:rPr>
          <w:fldChar w:fldCharType="separate"/>
        </w:r>
        <w:r w:rsidR="007C769A">
          <w:rPr>
            <w:noProof/>
            <w:webHidden/>
          </w:rPr>
          <w:t>83</w:t>
        </w:r>
        <w:r w:rsidR="007374E0">
          <w:rPr>
            <w:noProof/>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4019" w:history="1">
        <w:r w:rsidR="007374E0" w:rsidRPr="000D2519">
          <w:rPr>
            <w:rStyle w:val="Kpr"/>
            <w:noProof/>
          </w:rPr>
          <w:t>3.2.2. İlgili Literatür Özeti</w:t>
        </w:r>
        <w:r w:rsidR="007374E0">
          <w:rPr>
            <w:noProof/>
            <w:webHidden/>
          </w:rPr>
          <w:tab/>
        </w:r>
        <w:r w:rsidR="007374E0">
          <w:rPr>
            <w:noProof/>
            <w:webHidden/>
          </w:rPr>
          <w:fldChar w:fldCharType="begin"/>
        </w:r>
        <w:r w:rsidR="007374E0">
          <w:rPr>
            <w:noProof/>
            <w:webHidden/>
          </w:rPr>
          <w:instrText xml:space="preserve"> PAGEREF _Toc384824019 \h </w:instrText>
        </w:r>
        <w:r w:rsidR="007374E0">
          <w:rPr>
            <w:noProof/>
            <w:webHidden/>
          </w:rPr>
        </w:r>
        <w:r w:rsidR="007374E0">
          <w:rPr>
            <w:noProof/>
            <w:webHidden/>
          </w:rPr>
          <w:fldChar w:fldCharType="separate"/>
        </w:r>
        <w:r w:rsidR="007C769A">
          <w:rPr>
            <w:noProof/>
            <w:webHidden/>
          </w:rPr>
          <w:t>84</w:t>
        </w:r>
        <w:r w:rsidR="007374E0">
          <w:rPr>
            <w:noProof/>
            <w:webHidden/>
          </w:rPr>
          <w:fldChar w:fldCharType="end"/>
        </w:r>
      </w:hyperlink>
    </w:p>
    <w:p w:rsidR="007374E0" w:rsidRDefault="00E56A11" w:rsidP="000218A6">
      <w:pPr>
        <w:pStyle w:val="T2"/>
        <w:spacing w:after="120" w:line="240" w:lineRule="auto"/>
        <w:rPr>
          <w:rFonts w:asciiTheme="minorHAnsi" w:eastAsiaTheme="minorEastAsia" w:hAnsiTheme="minorHAnsi" w:cstheme="minorBidi"/>
          <w:sz w:val="22"/>
          <w:szCs w:val="22"/>
          <w:lang w:eastAsia="tr-TR"/>
        </w:rPr>
      </w:pPr>
      <w:hyperlink w:anchor="_Toc384824020" w:history="1">
        <w:r w:rsidR="007374E0" w:rsidRPr="000D2519">
          <w:rPr>
            <w:rStyle w:val="Kpr"/>
          </w:rPr>
          <w:t>3.3. DIŞ TİCARET ETKİSİ</w:t>
        </w:r>
        <w:r w:rsidR="007374E0">
          <w:rPr>
            <w:webHidden/>
          </w:rPr>
          <w:tab/>
        </w:r>
        <w:r w:rsidR="007374E0">
          <w:rPr>
            <w:webHidden/>
          </w:rPr>
          <w:fldChar w:fldCharType="begin"/>
        </w:r>
        <w:r w:rsidR="007374E0">
          <w:rPr>
            <w:webHidden/>
          </w:rPr>
          <w:instrText xml:space="preserve"> PAGEREF _Toc384824020 \h </w:instrText>
        </w:r>
        <w:r w:rsidR="007374E0">
          <w:rPr>
            <w:webHidden/>
          </w:rPr>
        </w:r>
        <w:r w:rsidR="007374E0">
          <w:rPr>
            <w:webHidden/>
          </w:rPr>
          <w:fldChar w:fldCharType="separate"/>
        </w:r>
        <w:r w:rsidR="007C769A">
          <w:rPr>
            <w:webHidden/>
          </w:rPr>
          <w:t>85</w:t>
        </w:r>
        <w:r w:rsidR="007374E0">
          <w:rPr>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4021" w:history="1">
        <w:r w:rsidR="007374E0" w:rsidRPr="000D2519">
          <w:rPr>
            <w:rStyle w:val="Kpr"/>
            <w:noProof/>
          </w:rPr>
          <w:t>3.3.1. Teorik Çerçeve</w:t>
        </w:r>
        <w:r w:rsidR="007374E0">
          <w:rPr>
            <w:noProof/>
            <w:webHidden/>
          </w:rPr>
          <w:tab/>
        </w:r>
        <w:r w:rsidR="007374E0">
          <w:rPr>
            <w:noProof/>
            <w:webHidden/>
          </w:rPr>
          <w:fldChar w:fldCharType="begin"/>
        </w:r>
        <w:r w:rsidR="007374E0">
          <w:rPr>
            <w:noProof/>
            <w:webHidden/>
          </w:rPr>
          <w:instrText xml:space="preserve"> PAGEREF _Toc384824021 \h </w:instrText>
        </w:r>
        <w:r w:rsidR="007374E0">
          <w:rPr>
            <w:noProof/>
            <w:webHidden/>
          </w:rPr>
        </w:r>
        <w:r w:rsidR="007374E0">
          <w:rPr>
            <w:noProof/>
            <w:webHidden/>
          </w:rPr>
          <w:fldChar w:fldCharType="separate"/>
        </w:r>
        <w:r w:rsidR="007C769A">
          <w:rPr>
            <w:noProof/>
            <w:webHidden/>
          </w:rPr>
          <w:t>86</w:t>
        </w:r>
        <w:r w:rsidR="007374E0">
          <w:rPr>
            <w:noProof/>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4022" w:history="1">
        <w:r w:rsidR="007374E0" w:rsidRPr="000D2519">
          <w:rPr>
            <w:rStyle w:val="Kpr"/>
            <w:noProof/>
          </w:rPr>
          <w:t>3.3.2. İlgili Literatür Özeti</w:t>
        </w:r>
        <w:r w:rsidR="007374E0">
          <w:rPr>
            <w:noProof/>
            <w:webHidden/>
          </w:rPr>
          <w:tab/>
        </w:r>
        <w:r w:rsidR="007374E0">
          <w:rPr>
            <w:noProof/>
            <w:webHidden/>
          </w:rPr>
          <w:fldChar w:fldCharType="begin"/>
        </w:r>
        <w:r w:rsidR="007374E0">
          <w:rPr>
            <w:noProof/>
            <w:webHidden/>
          </w:rPr>
          <w:instrText xml:space="preserve"> PAGEREF _Toc384824022 \h </w:instrText>
        </w:r>
        <w:r w:rsidR="007374E0">
          <w:rPr>
            <w:noProof/>
            <w:webHidden/>
          </w:rPr>
        </w:r>
        <w:r w:rsidR="007374E0">
          <w:rPr>
            <w:noProof/>
            <w:webHidden/>
          </w:rPr>
          <w:fldChar w:fldCharType="separate"/>
        </w:r>
        <w:r w:rsidR="007C769A">
          <w:rPr>
            <w:noProof/>
            <w:webHidden/>
          </w:rPr>
          <w:t>89</w:t>
        </w:r>
        <w:r w:rsidR="007374E0">
          <w:rPr>
            <w:noProof/>
            <w:webHidden/>
          </w:rPr>
          <w:fldChar w:fldCharType="end"/>
        </w:r>
      </w:hyperlink>
    </w:p>
    <w:p w:rsidR="00A13830" w:rsidRDefault="00A13830">
      <w:pPr>
        <w:pStyle w:val="T1"/>
      </w:pPr>
    </w:p>
    <w:p w:rsidR="007374E0" w:rsidRDefault="00E56A11">
      <w:pPr>
        <w:pStyle w:val="T1"/>
        <w:rPr>
          <w:rFonts w:asciiTheme="minorHAnsi" w:eastAsiaTheme="minorEastAsia" w:hAnsiTheme="minorHAnsi" w:cstheme="minorBidi"/>
          <w:sz w:val="22"/>
          <w:szCs w:val="22"/>
          <w:lang w:eastAsia="tr-TR"/>
        </w:rPr>
      </w:pPr>
      <w:hyperlink w:anchor="_Toc384824023" w:history="1">
        <w:r w:rsidR="007374E0" w:rsidRPr="00214601">
          <w:rPr>
            <w:rStyle w:val="Kpr"/>
            <w:b/>
          </w:rPr>
          <w:t>DÖRDÜNCÜ BÖLÜM</w:t>
        </w:r>
        <w:r w:rsidR="007374E0">
          <w:rPr>
            <w:webHidden/>
          </w:rPr>
          <w:tab/>
        </w:r>
        <w:r w:rsidR="007374E0">
          <w:rPr>
            <w:webHidden/>
          </w:rPr>
          <w:fldChar w:fldCharType="begin"/>
        </w:r>
        <w:r w:rsidR="007374E0">
          <w:rPr>
            <w:webHidden/>
          </w:rPr>
          <w:instrText xml:space="preserve"> PAGEREF _Toc384824023 \h </w:instrText>
        </w:r>
        <w:r w:rsidR="007374E0">
          <w:rPr>
            <w:webHidden/>
          </w:rPr>
        </w:r>
        <w:r w:rsidR="007374E0">
          <w:rPr>
            <w:webHidden/>
          </w:rPr>
          <w:fldChar w:fldCharType="separate"/>
        </w:r>
        <w:r w:rsidR="007C769A">
          <w:rPr>
            <w:webHidden/>
          </w:rPr>
          <w:t>92</w:t>
        </w:r>
        <w:r w:rsidR="007374E0">
          <w:rPr>
            <w:webHidden/>
          </w:rPr>
          <w:fldChar w:fldCharType="end"/>
        </w:r>
      </w:hyperlink>
    </w:p>
    <w:p w:rsidR="007374E0" w:rsidRDefault="00E56A11">
      <w:pPr>
        <w:pStyle w:val="T1"/>
        <w:rPr>
          <w:rFonts w:asciiTheme="minorHAnsi" w:eastAsiaTheme="minorEastAsia" w:hAnsiTheme="minorHAnsi" w:cstheme="minorBidi"/>
          <w:sz w:val="22"/>
          <w:szCs w:val="22"/>
          <w:lang w:eastAsia="tr-TR"/>
        </w:rPr>
      </w:pPr>
      <w:hyperlink w:anchor="_Toc384824024" w:history="1">
        <w:r w:rsidR="007374E0" w:rsidRPr="00214601">
          <w:rPr>
            <w:rStyle w:val="Kpr"/>
            <w:b/>
          </w:rPr>
          <w:t>AMPİRİK ANALİZ</w:t>
        </w:r>
        <w:r w:rsidR="007374E0">
          <w:rPr>
            <w:webHidden/>
          </w:rPr>
          <w:tab/>
        </w:r>
        <w:r w:rsidR="007374E0">
          <w:rPr>
            <w:webHidden/>
          </w:rPr>
          <w:fldChar w:fldCharType="begin"/>
        </w:r>
        <w:r w:rsidR="007374E0">
          <w:rPr>
            <w:webHidden/>
          </w:rPr>
          <w:instrText xml:space="preserve"> PAGEREF _Toc384824024 \h </w:instrText>
        </w:r>
        <w:r w:rsidR="007374E0">
          <w:rPr>
            <w:webHidden/>
          </w:rPr>
        </w:r>
        <w:r w:rsidR="007374E0">
          <w:rPr>
            <w:webHidden/>
          </w:rPr>
          <w:fldChar w:fldCharType="separate"/>
        </w:r>
        <w:r w:rsidR="007C769A">
          <w:rPr>
            <w:webHidden/>
          </w:rPr>
          <w:t>92</w:t>
        </w:r>
        <w:r w:rsidR="007374E0">
          <w:rPr>
            <w:webHidden/>
          </w:rPr>
          <w:fldChar w:fldCharType="end"/>
        </w:r>
      </w:hyperlink>
    </w:p>
    <w:p w:rsidR="007374E0" w:rsidRDefault="00E56A11" w:rsidP="000218A6">
      <w:pPr>
        <w:pStyle w:val="T2"/>
        <w:spacing w:after="120" w:line="240" w:lineRule="auto"/>
        <w:rPr>
          <w:rFonts w:asciiTheme="minorHAnsi" w:eastAsiaTheme="minorEastAsia" w:hAnsiTheme="minorHAnsi" w:cstheme="minorBidi"/>
          <w:sz w:val="22"/>
          <w:szCs w:val="22"/>
          <w:lang w:eastAsia="tr-TR"/>
        </w:rPr>
      </w:pPr>
      <w:hyperlink w:anchor="_Toc384824025" w:history="1">
        <w:r w:rsidR="007374E0" w:rsidRPr="000D2519">
          <w:rPr>
            <w:rStyle w:val="Kpr"/>
          </w:rPr>
          <w:t>4.1.</w:t>
        </w:r>
        <w:r w:rsidR="007374E0">
          <w:rPr>
            <w:rFonts w:asciiTheme="minorHAnsi" w:eastAsiaTheme="minorEastAsia" w:hAnsiTheme="minorHAnsi" w:cstheme="minorBidi"/>
            <w:sz w:val="22"/>
            <w:szCs w:val="22"/>
            <w:lang w:eastAsia="tr-TR"/>
          </w:rPr>
          <w:tab/>
        </w:r>
        <w:r w:rsidR="007374E0" w:rsidRPr="000D2519">
          <w:rPr>
            <w:rStyle w:val="Kpr"/>
          </w:rPr>
          <w:t>ANALİZİN TEMEL AMACI</w:t>
        </w:r>
        <w:r w:rsidR="007374E0">
          <w:rPr>
            <w:webHidden/>
          </w:rPr>
          <w:tab/>
        </w:r>
        <w:r w:rsidR="007374E0">
          <w:rPr>
            <w:webHidden/>
          </w:rPr>
          <w:fldChar w:fldCharType="begin"/>
        </w:r>
        <w:r w:rsidR="007374E0">
          <w:rPr>
            <w:webHidden/>
          </w:rPr>
          <w:instrText xml:space="preserve"> PAGEREF _Toc384824025 \h </w:instrText>
        </w:r>
        <w:r w:rsidR="007374E0">
          <w:rPr>
            <w:webHidden/>
          </w:rPr>
        </w:r>
        <w:r w:rsidR="007374E0">
          <w:rPr>
            <w:webHidden/>
          </w:rPr>
          <w:fldChar w:fldCharType="separate"/>
        </w:r>
        <w:r w:rsidR="007C769A">
          <w:rPr>
            <w:webHidden/>
          </w:rPr>
          <w:t>93</w:t>
        </w:r>
        <w:r w:rsidR="007374E0">
          <w:rPr>
            <w:webHidden/>
          </w:rPr>
          <w:fldChar w:fldCharType="end"/>
        </w:r>
      </w:hyperlink>
    </w:p>
    <w:p w:rsidR="007374E0" w:rsidRDefault="00E56A11" w:rsidP="000218A6">
      <w:pPr>
        <w:pStyle w:val="T2"/>
        <w:spacing w:after="120" w:line="240" w:lineRule="auto"/>
        <w:rPr>
          <w:rFonts w:asciiTheme="minorHAnsi" w:eastAsiaTheme="minorEastAsia" w:hAnsiTheme="minorHAnsi" w:cstheme="minorBidi"/>
          <w:sz w:val="22"/>
          <w:szCs w:val="22"/>
          <w:lang w:eastAsia="tr-TR"/>
        </w:rPr>
      </w:pPr>
      <w:hyperlink w:anchor="_Toc384824026" w:history="1">
        <w:r w:rsidR="007374E0" w:rsidRPr="000D2519">
          <w:rPr>
            <w:rStyle w:val="Kpr"/>
          </w:rPr>
          <w:t>4.2.</w:t>
        </w:r>
        <w:r w:rsidR="007374E0">
          <w:rPr>
            <w:rFonts w:asciiTheme="minorHAnsi" w:eastAsiaTheme="minorEastAsia" w:hAnsiTheme="minorHAnsi" w:cstheme="minorBidi"/>
            <w:sz w:val="22"/>
            <w:szCs w:val="22"/>
            <w:lang w:eastAsia="tr-TR"/>
          </w:rPr>
          <w:tab/>
        </w:r>
        <w:r w:rsidR="007374E0" w:rsidRPr="000D2519">
          <w:rPr>
            <w:rStyle w:val="Kpr"/>
          </w:rPr>
          <w:t>ARAŞTIRMANIN YÖNTEMİ</w:t>
        </w:r>
        <w:r w:rsidR="007374E0">
          <w:rPr>
            <w:webHidden/>
          </w:rPr>
          <w:tab/>
        </w:r>
        <w:r w:rsidR="007374E0">
          <w:rPr>
            <w:webHidden/>
          </w:rPr>
          <w:fldChar w:fldCharType="begin"/>
        </w:r>
        <w:r w:rsidR="007374E0">
          <w:rPr>
            <w:webHidden/>
          </w:rPr>
          <w:instrText xml:space="preserve"> PAGEREF _Toc384824026 \h </w:instrText>
        </w:r>
        <w:r w:rsidR="007374E0">
          <w:rPr>
            <w:webHidden/>
          </w:rPr>
        </w:r>
        <w:r w:rsidR="007374E0">
          <w:rPr>
            <w:webHidden/>
          </w:rPr>
          <w:fldChar w:fldCharType="separate"/>
        </w:r>
        <w:r w:rsidR="007C769A">
          <w:rPr>
            <w:webHidden/>
          </w:rPr>
          <w:t>94</w:t>
        </w:r>
        <w:r w:rsidR="007374E0">
          <w:rPr>
            <w:webHidden/>
          </w:rPr>
          <w:fldChar w:fldCharType="end"/>
        </w:r>
      </w:hyperlink>
    </w:p>
    <w:p w:rsidR="007374E0" w:rsidRDefault="00E56A11" w:rsidP="000218A6">
      <w:pPr>
        <w:pStyle w:val="T2"/>
        <w:spacing w:after="120" w:line="240" w:lineRule="auto"/>
        <w:rPr>
          <w:rFonts w:asciiTheme="minorHAnsi" w:eastAsiaTheme="minorEastAsia" w:hAnsiTheme="minorHAnsi" w:cstheme="minorBidi"/>
          <w:sz w:val="22"/>
          <w:szCs w:val="22"/>
          <w:lang w:eastAsia="tr-TR"/>
        </w:rPr>
      </w:pPr>
      <w:hyperlink w:anchor="_Toc384824027" w:history="1">
        <w:r w:rsidR="007374E0" w:rsidRPr="000D2519">
          <w:rPr>
            <w:rStyle w:val="Kpr"/>
          </w:rPr>
          <w:t>4.3.</w:t>
        </w:r>
        <w:r w:rsidR="007374E0">
          <w:rPr>
            <w:rFonts w:asciiTheme="minorHAnsi" w:eastAsiaTheme="minorEastAsia" w:hAnsiTheme="minorHAnsi" w:cstheme="minorBidi"/>
            <w:sz w:val="22"/>
            <w:szCs w:val="22"/>
            <w:lang w:eastAsia="tr-TR"/>
          </w:rPr>
          <w:tab/>
        </w:r>
        <w:r w:rsidR="007374E0" w:rsidRPr="000D2519">
          <w:rPr>
            <w:rStyle w:val="Kpr"/>
          </w:rPr>
          <w:t>PANEL VERİ MODELLERİ</w:t>
        </w:r>
        <w:r w:rsidR="007374E0">
          <w:rPr>
            <w:webHidden/>
          </w:rPr>
          <w:tab/>
        </w:r>
        <w:r w:rsidR="007374E0">
          <w:rPr>
            <w:webHidden/>
          </w:rPr>
          <w:fldChar w:fldCharType="begin"/>
        </w:r>
        <w:r w:rsidR="007374E0">
          <w:rPr>
            <w:webHidden/>
          </w:rPr>
          <w:instrText xml:space="preserve"> PAGEREF _Toc384824027 \h </w:instrText>
        </w:r>
        <w:r w:rsidR="007374E0">
          <w:rPr>
            <w:webHidden/>
          </w:rPr>
        </w:r>
        <w:r w:rsidR="007374E0">
          <w:rPr>
            <w:webHidden/>
          </w:rPr>
          <w:fldChar w:fldCharType="separate"/>
        </w:r>
        <w:r w:rsidR="007C769A">
          <w:rPr>
            <w:webHidden/>
          </w:rPr>
          <w:t>97</w:t>
        </w:r>
        <w:r w:rsidR="007374E0">
          <w:rPr>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4028" w:history="1">
        <w:r w:rsidR="007374E0" w:rsidRPr="000D2519">
          <w:rPr>
            <w:rStyle w:val="Kpr"/>
            <w:noProof/>
          </w:rPr>
          <w:t>4.3.1 Statik Panel Veri Modelleri</w:t>
        </w:r>
        <w:r w:rsidR="007374E0">
          <w:rPr>
            <w:noProof/>
            <w:webHidden/>
          </w:rPr>
          <w:tab/>
        </w:r>
        <w:r w:rsidR="007374E0">
          <w:rPr>
            <w:noProof/>
            <w:webHidden/>
          </w:rPr>
          <w:fldChar w:fldCharType="begin"/>
        </w:r>
        <w:r w:rsidR="007374E0">
          <w:rPr>
            <w:noProof/>
            <w:webHidden/>
          </w:rPr>
          <w:instrText xml:space="preserve"> PAGEREF _Toc384824028 \h </w:instrText>
        </w:r>
        <w:r w:rsidR="007374E0">
          <w:rPr>
            <w:noProof/>
            <w:webHidden/>
          </w:rPr>
        </w:r>
        <w:r w:rsidR="007374E0">
          <w:rPr>
            <w:noProof/>
            <w:webHidden/>
          </w:rPr>
          <w:fldChar w:fldCharType="separate"/>
        </w:r>
        <w:r w:rsidR="007C769A">
          <w:rPr>
            <w:noProof/>
            <w:webHidden/>
          </w:rPr>
          <w:t>98</w:t>
        </w:r>
        <w:r w:rsidR="007374E0">
          <w:rPr>
            <w:noProof/>
            <w:webHidden/>
          </w:rPr>
          <w:fldChar w:fldCharType="end"/>
        </w:r>
      </w:hyperlink>
    </w:p>
    <w:p w:rsidR="007374E0" w:rsidRDefault="00E56A11" w:rsidP="000218A6">
      <w:pPr>
        <w:pStyle w:val="T4"/>
        <w:spacing w:before="120" w:after="120"/>
        <w:rPr>
          <w:rFonts w:asciiTheme="minorHAnsi" w:eastAsiaTheme="minorEastAsia" w:hAnsiTheme="minorHAnsi" w:cstheme="minorBidi"/>
          <w:caps w:val="0"/>
          <w:sz w:val="22"/>
          <w:szCs w:val="22"/>
          <w:lang w:eastAsia="tr-TR"/>
        </w:rPr>
      </w:pPr>
      <w:hyperlink w:anchor="_Toc384824029" w:history="1">
        <w:r w:rsidR="007374E0" w:rsidRPr="000D2519">
          <w:rPr>
            <w:rStyle w:val="Kpr"/>
          </w:rPr>
          <w:t>4.3.1.1.</w:t>
        </w:r>
        <w:r w:rsidR="007374E0">
          <w:rPr>
            <w:rFonts w:asciiTheme="minorHAnsi" w:eastAsiaTheme="minorEastAsia" w:hAnsiTheme="minorHAnsi" w:cstheme="minorBidi"/>
            <w:caps w:val="0"/>
            <w:sz w:val="22"/>
            <w:szCs w:val="22"/>
            <w:lang w:eastAsia="tr-TR"/>
          </w:rPr>
          <w:tab/>
        </w:r>
        <w:r w:rsidR="001A0FB6" w:rsidRPr="000D2519">
          <w:rPr>
            <w:rStyle w:val="Kpr"/>
            <w:caps w:val="0"/>
          </w:rPr>
          <w:t>Ortak Havuz Regresyonu (Klasik Model)</w:t>
        </w:r>
        <w:r w:rsidR="007374E0">
          <w:rPr>
            <w:webHidden/>
          </w:rPr>
          <w:tab/>
        </w:r>
        <w:r w:rsidR="007374E0">
          <w:rPr>
            <w:webHidden/>
          </w:rPr>
          <w:fldChar w:fldCharType="begin"/>
        </w:r>
        <w:r w:rsidR="007374E0">
          <w:rPr>
            <w:webHidden/>
          </w:rPr>
          <w:instrText xml:space="preserve"> PAGEREF _Toc384824029 \h </w:instrText>
        </w:r>
        <w:r w:rsidR="007374E0">
          <w:rPr>
            <w:webHidden/>
          </w:rPr>
        </w:r>
        <w:r w:rsidR="007374E0">
          <w:rPr>
            <w:webHidden/>
          </w:rPr>
          <w:fldChar w:fldCharType="separate"/>
        </w:r>
        <w:r w:rsidR="007C769A">
          <w:rPr>
            <w:webHidden/>
          </w:rPr>
          <w:t>99</w:t>
        </w:r>
        <w:r w:rsidR="007374E0">
          <w:rPr>
            <w:webHidden/>
          </w:rPr>
          <w:fldChar w:fldCharType="end"/>
        </w:r>
      </w:hyperlink>
    </w:p>
    <w:p w:rsidR="007374E0" w:rsidRDefault="00E56A11" w:rsidP="000218A6">
      <w:pPr>
        <w:pStyle w:val="T4"/>
        <w:spacing w:before="120" w:after="120"/>
        <w:rPr>
          <w:rFonts w:asciiTheme="minorHAnsi" w:eastAsiaTheme="minorEastAsia" w:hAnsiTheme="minorHAnsi" w:cstheme="minorBidi"/>
          <w:caps w:val="0"/>
          <w:sz w:val="22"/>
          <w:szCs w:val="22"/>
          <w:lang w:eastAsia="tr-TR"/>
        </w:rPr>
      </w:pPr>
      <w:hyperlink w:anchor="_Toc384824030" w:history="1">
        <w:r w:rsidR="007374E0" w:rsidRPr="000D2519">
          <w:rPr>
            <w:rStyle w:val="Kpr"/>
          </w:rPr>
          <w:t>4.3.1.2.</w:t>
        </w:r>
        <w:r w:rsidR="007374E0">
          <w:rPr>
            <w:rFonts w:asciiTheme="minorHAnsi" w:eastAsiaTheme="minorEastAsia" w:hAnsiTheme="minorHAnsi" w:cstheme="minorBidi"/>
            <w:caps w:val="0"/>
            <w:sz w:val="22"/>
            <w:szCs w:val="22"/>
            <w:lang w:eastAsia="tr-TR"/>
          </w:rPr>
          <w:tab/>
        </w:r>
        <w:r w:rsidR="001A0FB6" w:rsidRPr="000D2519">
          <w:rPr>
            <w:rStyle w:val="Kpr"/>
            <w:caps w:val="0"/>
          </w:rPr>
          <w:t>Sabit Etkiler Modeli (Fixed Effects)</w:t>
        </w:r>
        <w:r w:rsidR="007374E0">
          <w:rPr>
            <w:webHidden/>
          </w:rPr>
          <w:tab/>
        </w:r>
        <w:r w:rsidR="007374E0">
          <w:rPr>
            <w:webHidden/>
          </w:rPr>
          <w:fldChar w:fldCharType="begin"/>
        </w:r>
        <w:r w:rsidR="007374E0">
          <w:rPr>
            <w:webHidden/>
          </w:rPr>
          <w:instrText xml:space="preserve"> PAGEREF _Toc384824030 \h </w:instrText>
        </w:r>
        <w:r w:rsidR="007374E0">
          <w:rPr>
            <w:webHidden/>
          </w:rPr>
        </w:r>
        <w:r w:rsidR="007374E0">
          <w:rPr>
            <w:webHidden/>
          </w:rPr>
          <w:fldChar w:fldCharType="separate"/>
        </w:r>
        <w:r w:rsidR="007C769A">
          <w:rPr>
            <w:webHidden/>
          </w:rPr>
          <w:t>100</w:t>
        </w:r>
        <w:r w:rsidR="007374E0">
          <w:rPr>
            <w:webHidden/>
          </w:rPr>
          <w:fldChar w:fldCharType="end"/>
        </w:r>
      </w:hyperlink>
    </w:p>
    <w:p w:rsidR="007374E0" w:rsidRDefault="00E56A11" w:rsidP="000218A6">
      <w:pPr>
        <w:pStyle w:val="T4"/>
        <w:spacing w:before="120" w:after="120"/>
        <w:rPr>
          <w:rFonts w:asciiTheme="minorHAnsi" w:eastAsiaTheme="minorEastAsia" w:hAnsiTheme="minorHAnsi" w:cstheme="minorBidi"/>
          <w:caps w:val="0"/>
          <w:sz w:val="22"/>
          <w:szCs w:val="22"/>
          <w:lang w:eastAsia="tr-TR"/>
        </w:rPr>
      </w:pPr>
      <w:hyperlink w:anchor="_Toc384824031" w:history="1">
        <w:r w:rsidR="001A0FB6" w:rsidRPr="000D2519">
          <w:rPr>
            <w:rStyle w:val="Kpr"/>
            <w:caps w:val="0"/>
          </w:rPr>
          <w:t>4.3.1.3.</w:t>
        </w:r>
        <w:r w:rsidR="001A0FB6">
          <w:rPr>
            <w:rFonts w:asciiTheme="minorHAnsi" w:eastAsiaTheme="minorEastAsia" w:hAnsiTheme="minorHAnsi" w:cstheme="minorBidi"/>
            <w:caps w:val="0"/>
            <w:sz w:val="22"/>
            <w:szCs w:val="22"/>
            <w:lang w:eastAsia="tr-TR"/>
          </w:rPr>
          <w:tab/>
        </w:r>
        <w:r w:rsidR="001A0FB6" w:rsidRPr="000D2519">
          <w:rPr>
            <w:rStyle w:val="Kpr"/>
            <w:caps w:val="0"/>
          </w:rPr>
          <w:t>Rassal Etkiler Modeli (Random Effects)</w:t>
        </w:r>
        <w:r w:rsidR="001A0FB6">
          <w:rPr>
            <w:caps w:val="0"/>
            <w:webHidden/>
          </w:rPr>
          <w:tab/>
        </w:r>
        <w:r w:rsidR="007374E0">
          <w:rPr>
            <w:webHidden/>
          </w:rPr>
          <w:fldChar w:fldCharType="begin"/>
        </w:r>
        <w:r w:rsidR="007374E0">
          <w:rPr>
            <w:webHidden/>
          </w:rPr>
          <w:instrText xml:space="preserve"> PAGEREF _Toc384824031 \h </w:instrText>
        </w:r>
        <w:r w:rsidR="007374E0">
          <w:rPr>
            <w:webHidden/>
          </w:rPr>
        </w:r>
        <w:r w:rsidR="007374E0">
          <w:rPr>
            <w:webHidden/>
          </w:rPr>
          <w:fldChar w:fldCharType="separate"/>
        </w:r>
        <w:r w:rsidR="007C769A">
          <w:rPr>
            <w:webHidden/>
          </w:rPr>
          <w:t>101</w:t>
        </w:r>
        <w:r w:rsidR="007374E0">
          <w:rPr>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4032" w:history="1">
        <w:r w:rsidR="007374E0" w:rsidRPr="007374E0">
          <w:rPr>
            <w:rStyle w:val="Kpr"/>
            <w:noProof/>
          </w:rPr>
          <w:t>4.3.2.</w:t>
        </w:r>
        <w:r w:rsidR="007374E0" w:rsidRPr="007374E0">
          <w:rPr>
            <w:rFonts w:asciiTheme="minorHAnsi" w:eastAsiaTheme="minorEastAsia" w:hAnsiTheme="minorHAnsi" w:cstheme="minorBidi"/>
            <w:noProof/>
            <w:sz w:val="22"/>
            <w:szCs w:val="22"/>
            <w:lang w:eastAsia="tr-TR"/>
          </w:rPr>
          <w:tab/>
        </w:r>
        <w:r w:rsidR="007374E0" w:rsidRPr="007374E0">
          <w:rPr>
            <w:rStyle w:val="Kpr"/>
            <w:noProof/>
          </w:rPr>
          <w:t>Dinamik Panel Veri Modelleri</w:t>
        </w:r>
        <w:r w:rsidR="007374E0">
          <w:rPr>
            <w:noProof/>
            <w:webHidden/>
          </w:rPr>
          <w:tab/>
        </w:r>
        <w:r w:rsidR="007374E0">
          <w:rPr>
            <w:noProof/>
            <w:webHidden/>
          </w:rPr>
          <w:fldChar w:fldCharType="begin"/>
        </w:r>
        <w:r w:rsidR="007374E0">
          <w:rPr>
            <w:noProof/>
            <w:webHidden/>
          </w:rPr>
          <w:instrText xml:space="preserve"> PAGEREF _Toc384824032 \h </w:instrText>
        </w:r>
        <w:r w:rsidR="007374E0">
          <w:rPr>
            <w:noProof/>
            <w:webHidden/>
          </w:rPr>
        </w:r>
        <w:r w:rsidR="007374E0">
          <w:rPr>
            <w:noProof/>
            <w:webHidden/>
          </w:rPr>
          <w:fldChar w:fldCharType="separate"/>
        </w:r>
        <w:r w:rsidR="007C769A">
          <w:rPr>
            <w:noProof/>
            <w:webHidden/>
          </w:rPr>
          <w:t>102</w:t>
        </w:r>
        <w:r w:rsidR="007374E0">
          <w:rPr>
            <w:noProof/>
            <w:webHidden/>
          </w:rPr>
          <w:fldChar w:fldCharType="end"/>
        </w:r>
      </w:hyperlink>
    </w:p>
    <w:p w:rsidR="007374E0" w:rsidRDefault="00E56A11" w:rsidP="000218A6">
      <w:pPr>
        <w:pStyle w:val="T2"/>
        <w:spacing w:after="120" w:line="240" w:lineRule="auto"/>
        <w:rPr>
          <w:rFonts w:asciiTheme="minorHAnsi" w:eastAsiaTheme="minorEastAsia" w:hAnsiTheme="minorHAnsi" w:cstheme="minorBidi"/>
          <w:sz w:val="22"/>
          <w:szCs w:val="22"/>
          <w:lang w:eastAsia="tr-TR"/>
        </w:rPr>
      </w:pPr>
      <w:hyperlink w:anchor="_Toc384824033" w:history="1">
        <w:r w:rsidR="007374E0" w:rsidRPr="000D2519">
          <w:rPr>
            <w:rStyle w:val="Kpr"/>
          </w:rPr>
          <w:t>4.4. VERİ SETİ VE MODEL</w:t>
        </w:r>
        <w:r w:rsidR="007374E0">
          <w:rPr>
            <w:webHidden/>
          </w:rPr>
          <w:tab/>
        </w:r>
        <w:r w:rsidR="007374E0">
          <w:rPr>
            <w:webHidden/>
          </w:rPr>
          <w:fldChar w:fldCharType="begin"/>
        </w:r>
        <w:r w:rsidR="007374E0">
          <w:rPr>
            <w:webHidden/>
          </w:rPr>
          <w:instrText xml:space="preserve"> PAGEREF _Toc384824033 \h </w:instrText>
        </w:r>
        <w:r w:rsidR="007374E0">
          <w:rPr>
            <w:webHidden/>
          </w:rPr>
        </w:r>
        <w:r w:rsidR="007374E0">
          <w:rPr>
            <w:webHidden/>
          </w:rPr>
          <w:fldChar w:fldCharType="separate"/>
        </w:r>
        <w:r w:rsidR="007C769A">
          <w:rPr>
            <w:webHidden/>
          </w:rPr>
          <w:t>103</w:t>
        </w:r>
        <w:r w:rsidR="007374E0">
          <w:rPr>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4034" w:history="1">
        <w:r w:rsidR="007374E0" w:rsidRPr="000D2519">
          <w:rPr>
            <w:rStyle w:val="Kpr"/>
            <w:noProof/>
          </w:rPr>
          <w:t>4.4.1.</w:t>
        </w:r>
        <w:r w:rsidR="007374E0">
          <w:rPr>
            <w:rFonts w:asciiTheme="minorHAnsi" w:eastAsiaTheme="minorEastAsia" w:hAnsiTheme="minorHAnsi" w:cstheme="minorBidi"/>
            <w:noProof/>
            <w:sz w:val="22"/>
            <w:szCs w:val="22"/>
            <w:lang w:eastAsia="tr-TR"/>
          </w:rPr>
          <w:tab/>
        </w:r>
        <w:r w:rsidR="007374E0" w:rsidRPr="000D2519">
          <w:rPr>
            <w:rStyle w:val="Kpr"/>
            <w:noProof/>
          </w:rPr>
          <w:t>Panel Birim Kök Testleri</w:t>
        </w:r>
        <w:r w:rsidR="007374E0">
          <w:rPr>
            <w:noProof/>
            <w:webHidden/>
          </w:rPr>
          <w:tab/>
        </w:r>
        <w:r w:rsidR="007374E0">
          <w:rPr>
            <w:noProof/>
            <w:webHidden/>
          </w:rPr>
          <w:fldChar w:fldCharType="begin"/>
        </w:r>
        <w:r w:rsidR="007374E0">
          <w:rPr>
            <w:noProof/>
            <w:webHidden/>
          </w:rPr>
          <w:instrText xml:space="preserve"> PAGEREF _Toc384824034 \h </w:instrText>
        </w:r>
        <w:r w:rsidR="007374E0">
          <w:rPr>
            <w:noProof/>
            <w:webHidden/>
          </w:rPr>
        </w:r>
        <w:r w:rsidR="007374E0">
          <w:rPr>
            <w:noProof/>
            <w:webHidden/>
          </w:rPr>
          <w:fldChar w:fldCharType="separate"/>
        </w:r>
        <w:r w:rsidR="007C769A">
          <w:rPr>
            <w:noProof/>
            <w:webHidden/>
          </w:rPr>
          <w:t>107</w:t>
        </w:r>
        <w:r w:rsidR="007374E0">
          <w:rPr>
            <w:noProof/>
            <w:webHidden/>
          </w:rPr>
          <w:fldChar w:fldCharType="end"/>
        </w:r>
      </w:hyperlink>
    </w:p>
    <w:p w:rsidR="007374E0" w:rsidRDefault="00E56A11" w:rsidP="000218A6">
      <w:pPr>
        <w:pStyle w:val="T4"/>
        <w:spacing w:before="120" w:after="120"/>
        <w:rPr>
          <w:rFonts w:asciiTheme="minorHAnsi" w:eastAsiaTheme="minorEastAsia" w:hAnsiTheme="minorHAnsi" w:cstheme="minorBidi"/>
          <w:caps w:val="0"/>
          <w:sz w:val="22"/>
          <w:szCs w:val="22"/>
          <w:lang w:eastAsia="tr-TR"/>
        </w:rPr>
      </w:pPr>
      <w:hyperlink w:anchor="_Toc384824035" w:history="1">
        <w:r w:rsidR="007374E0" w:rsidRPr="000D2519">
          <w:rPr>
            <w:rStyle w:val="Kpr"/>
          </w:rPr>
          <w:t xml:space="preserve">4.4.1.1 </w:t>
        </w:r>
        <w:r w:rsidR="001A0FB6" w:rsidRPr="000D2519">
          <w:rPr>
            <w:rStyle w:val="Kpr"/>
            <w:caps w:val="0"/>
          </w:rPr>
          <w:t>Yatay Kesit Bağımlılığı Testi</w:t>
        </w:r>
        <w:r w:rsidR="007374E0">
          <w:rPr>
            <w:webHidden/>
          </w:rPr>
          <w:tab/>
        </w:r>
        <w:r w:rsidR="007374E0">
          <w:rPr>
            <w:webHidden/>
          </w:rPr>
          <w:fldChar w:fldCharType="begin"/>
        </w:r>
        <w:r w:rsidR="007374E0">
          <w:rPr>
            <w:webHidden/>
          </w:rPr>
          <w:instrText xml:space="preserve"> PAGEREF _Toc384824035 \h </w:instrText>
        </w:r>
        <w:r w:rsidR="007374E0">
          <w:rPr>
            <w:webHidden/>
          </w:rPr>
        </w:r>
        <w:r w:rsidR="007374E0">
          <w:rPr>
            <w:webHidden/>
          </w:rPr>
          <w:fldChar w:fldCharType="separate"/>
        </w:r>
        <w:r w:rsidR="007C769A">
          <w:rPr>
            <w:webHidden/>
          </w:rPr>
          <w:t>108</w:t>
        </w:r>
        <w:r w:rsidR="007374E0">
          <w:rPr>
            <w:webHidden/>
          </w:rPr>
          <w:fldChar w:fldCharType="end"/>
        </w:r>
      </w:hyperlink>
    </w:p>
    <w:p w:rsidR="007374E0" w:rsidRDefault="00E56A11" w:rsidP="000218A6">
      <w:pPr>
        <w:pStyle w:val="T4"/>
        <w:spacing w:before="120" w:after="120"/>
        <w:rPr>
          <w:rFonts w:asciiTheme="minorHAnsi" w:eastAsiaTheme="minorEastAsia" w:hAnsiTheme="minorHAnsi" w:cstheme="minorBidi"/>
          <w:caps w:val="0"/>
          <w:sz w:val="22"/>
          <w:szCs w:val="22"/>
          <w:lang w:eastAsia="tr-TR"/>
        </w:rPr>
      </w:pPr>
      <w:hyperlink w:anchor="_Toc384824036" w:history="1">
        <w:r w:rsidR="007374E0" w:rsidRPr="000D2519">
          <w:rPr>
            <w:rStyle w:val="Kpr"/>
          </w:rPr>
          <w:t xml:space="preserve">4.4.1.2. </w:t>
        </w:r>
        <w:r w:rsidR="001A0FB6">
          <w:rPr>
            <w:rStyle w:val="Kpr"/>
            <w:caps w:val="0"/>
          </w:rPr>
          <w:t>C</w:t>
        </w:r>
        <w:r w:rsidR="000A0ED3">
          <w:rPr>
            <w:rStyle w:val="Kpr"/>
            <w:caps w:val="0"/>
          </w:rPr>
          <w:t>ADF</w:t>
        </w:r>
        <w:r w:rsidR="001A0FB6">
          <w:rPr>
            <w:rStyle w:val="Kpr"/>
            <w:caps w:val="0"/>
          </w:rPr>
          <w:t xml:space="preserve"> v</w:t>
        </w:r>
        <w:r w:rsidR="001A0FB6" w:rsidRPr="000D2519">
          <w:rPr>
            <w:rStyle w:val="Kpr"/>
            <w:caps w:val="0"/>
          </w:rPr>
          <w:t>e C</w:t>
        </w:r>
        <w:r w:rsidR="000A0ED3">
          <w:rPr>
            <w:rStyle w:val="Kpr"/>
            <w:caps w:val="0"/>
          </w:rPr>
          <w:t>IPS</w:t>
        </w:r>
        <w:r w:rsidR="001A0FB6" w:rsidRPr="000D2519">
          <w:rPr>
            <w:rStyle w:val="Kpr"/>
            <w:caps w:val="0"/>
          </w:rPr>
          <w:t xml:space="preserve"> Birim Kök Testleri</w:t>
        </w:r>
        <w:r w:rsidR="007374E0">
          <w:rPr>
            <w:webHidden/>
          </w:rPr>
          <w:tab/>
        </w:r>
        <w:r w:rsidR="007374E0">
          <w:rPr>
            <w:webHidden/>
          </w:rPr>
          <w:fldChar w:fldCharType="begin"/>
        </w:r>
        <w:r w:rsidR="007374E0">
          <w:rPr>
            <w:webHidden/>
          </w:rPr>
          <w:instrText xml:space="preserve"> PAGEREF _Toc384824036 \h </w:instrText>
        </w:r>
        <w:r w:rsidR="007374E0">
          <w:rPr>
            <w:webHidden/>
          </w:rPr>
        </w:r>
        <w:r w:rsidR="007374E0">
          <w:rPr>
            <w:webHidden/>
          </w:rPr>
          <w:fldChar w:fldCharType="separate"/>
        </w:r>
        <w:r w:rsidR="007C769A">
          <w:rPr>
            <w:webHidden/>
          </w:rPr>
          <w:t>110</w:t>
        </w:r>
        <w:r w:rsidR="007374E0">
          <w:rPr>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4037" w:history="1">
        <w:r w:rsidR="007374E0" w:rsidRPr="000D2519">
          <w:rPr>
            <w:rStyle w:val="Kpr"/>
            <w:noProof/>
          </w:rPr>
          <w:t>4.4.2.</w:t>
        </w:r>
        <w:r w:rsidR="007374E0">
          <w:rPr>
            <w:rFonts w:asciiTheme="minorHAnsi" w:eastAsiaTheme="minorEastAsia" w:hAnsiTheme="minorHAnsi" w:cstheme="minorBidi"/>
            <w:noProof/>
            <w:sz w:val="22"/>
            <w:szCs w:val="22"/>
            <w:lang w:eastAsia="tr-TR"/>
          </w:rPr>
          <w:tab/>
        </w:r>
        <w:r w:rsidR="007374E0" w:rsidRPr="000D2519">
          <w:rPr>
            <w:rStyle w:val="Kpr"/>
            <w:noProof/>
          </w:rPr>
          <w:t>Eşbütünleşme Katsayıların Homojenliğinin Test Edilmesi (Slope Homogeneity Tests)</w:t>
        </w:r>
        <w:r w:rsidR="007374E0">
          <w:rPr>
            <w:noProof/>
            <w:webHidden/>
          </w:rPr>
          <w:tab/>
        </w:r>
        <w:r w:rsidR="007374E0">
          <w:rPr>
            <w:noProof/>
            <w:webHidden/>
          </w:rPr>
          <w:fldChar w:fldCharType="begin"/>
        </w:r>
        <w:r w:rsidR="007374E0">
          <w:rPr>
            <w:noProof/>
            <w:webHidden/>
          </w:rPr>
          <w:instrText xml:space="preserve"> PAGEREF _Toc384824037 \h </w:instrText>
        </w:r>
        <w:r w:rsidR="007374E0">
          <w:rPr>
            <w:noProof/>
            <w:webHidden/>
          </w:rPr>
        </w:r>
        <w:r w:rsidR="007374E0">
          <w:rPr>
            <w:noProof/>
            <w:webHidden/>
          </w:rPr>
          <w:fldChar w:fldCharType="separate"/>
        </w:r>
        <w:r w:rsidR="007C769A">
          <w:rPr>
            <w:noProof/>
            <w:webHidden/>
          </w:rPr>
          <w:t>114</w:t>
        </w:r>
        <w:r w:rsidR="007374E0">
          <w:rPr>
            <w:noProof/>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4038" w:history="1">
        <w:r w:rsidR="007374E0" w:rsidRPr="000D2519">
          <w:rPr>
            <w:rStyle w:val="Kpr"/>
            <w:noProof/>
          </w:rPr>
          <w:t>4.4.3.</w:t>
        </w:r>
        <w:r w:rsidR="007374E0">
          <w:rPr>
            <w:rFonts w:asciiTheme="minorHAnsi" w:eastAsiaTheme="minorEastAsia" w:hAnsiTheme="minorHAnsi" w:cstheme="minorBidi"/>
            <w:noProof/>
            <w:sz w:val="22"/>
            <w:szCs w:val="22"/>
            <w:lang w:eastAsia="tr-TR"/>
          </w:rPr>
          <w:tab/>
        </w:r>
        <w:r w:rsidR="007374E0" w:rsidRPr="000D2519">
          <w:rPr>
            <w:rStyle w:val="Kpr"/>
            <w:noProof/>
          </w:rPr>
          <w:t>Panel Westerlund Durbin Hausman Eşbütünleşme Testi</w:t>
        </w:r>
        <w:r w:rsidR="007374E0">
          <w:rPr>
            <w:noProof/>
            <w:webHidden/>
          </w:rPr>
          <w:tab/>
        </w:r>
        <w:r w:rsidR="007374E0">
          <w:rPr>
            <w:noProof/>
            <w:webHidden/>
          </w:rPr>
          <w:fldChar w:fldCharType="begin"/>
        </w:r>
        <w:r w:rsidR="007374E0">
          <w:rPr>
            <w:noProof/>
            <w:webHidden/>
          </w:rPr>
          <w:instrText xml:space="preserve"> PAGEREF _Toc384824038 \h </w:instrText>
        </w:r>
        <w:r w:rsidR="007374E0">
          <w:rPr>
            <w:noProof/>
            <w:webHidden/>
          </w:rPr>
        </w:r>
        <w:r w:rsidR="007374E0">
          <w:rPr>
            <w:noProof/>
            <w:webHidden/>
          </w:rPr>
          <w:fldChar w:fldCharType="separate"/>
        </w:r>
        <w:r w:rsidR="007C769A">
          <w:rPr>
            <w:noProof/>
            <w:webHidden/>
          </w:rPr>
          <w:t>115</w:t>
        </w:r>
        <w:r w:rsidR="007374E0">
          <w:rPr>
            <w:noProof/>
            <w:webHidden/>
          </w:rPr>
          <w:fldChar w:fldCharType="end"/>
        </w:r>
      </w:hyperlink>
    </w:p>
    <w:p w:rsidR="007374E0" w:rsidRDefault="00E56A11" w:rsidP="000218A6">
      <w:pPr>
        <w:pStyle w:val="T3"/>
        <w:spacing w:before="120" w:after="120"/>
        <w:rPr>
          <w:rFonts w:asciiTheme="minorHAnsi" w:eastAsiaTheme="minorEastAsia" w:hAnsiTheme="minorHAnsi" w:cstheme="minorBidi"/>
          <w:noProof/>
          <w:sz w:val="22"/>
          <w:szCs w:val="22"/>
          <w:lang w:eastAsia="tr-TR"/>
        </w:rPr>
      </w:pPr>
      <w:hyperlink w:anchor="_Toc384824039" w:history="1">
        <w:r w:rsidR="007374E0" w:rsidRPr="000D2519">
          <w:rPr>
            <w:rStyle w:val="Kpr"/>
            <w:noProof/>
          </w:rPr>
          <w:t>4.4.4.</w:t>
        </w:r>
        <w:r w:rsidR="007374E0">
          <w:rPr>
            <w:rFonts w:asciiTheme="minorHAnsi" w:eastAsiaTheme="minorEastAsia" w:hAnsiTheme="minorHAnsi" w:cstheme="minorBidi"/>
            <w:noProof/>
            <w:sz w:val="22"/>
            <w:szCs w:val="22"/>
            <w:lang w:eastAsia="tr-TR"/>
          </w:rPr>
          <w:tab/>
        </w:r>
        <w:r w:rsidR="005766F7">
          <w:rPr>
            <w:rStyle w:val="Kpr"/>
            <w:noProof/>
          </w:rPr>
          <w:t>Eş</w:t>
        </w:r>
        <w:r w:rsidR="007374E0" w:rsidRPr="000D2519">
          <w:rPr>
            <w:rStyle w:val="Kpr"/>
            <w:noProof/>
          </w:rPr>
          <w:t>bütünleşme Katsayılarının CCE Tahmincisi ile Elde Edilmesi</w:t>
        </w:r>
        <w:r w:rsidR="007374E0">
          <w:rPr>
            <w:noProof/>
            <w:webHidden/>
          </w:rPr>
          <w:tab/>
        </w:r>
        <w:r w:rsidR="007374E0">
          <w:rPr>
            <w:noProof/>
            <w:webHidden/>
          </w:rPr>
          <w:fldChar w:fldCharType="begin"/>
        </w:r>
        <w:r w:rsidR="007374E0">
          <w:rPr>
            <w:noProof/>
            <w:webHidden/>
          </w:rPr>
          <w:instrText xml:space="preserve"> PAGEREF _Toc384824039 \h </w:instrText>
        </w:r>
        <w:r w:rsidR="007374E0">
          <w:rPr>
            <w:noProof/>
            <w:webHidden/>
          </w:rPr>
        </w:r>
        <w:r w:rsidR="007374E0">
          <w:rPr>
            <w:noProof/>
            <w:webHidden/>
          </w:rPr>
          <w:fldChar w:fldCharType="separate"/>
        </w:r>
        <w:r w:rsidR="007C769A">
          <w:rPr>
            <w:noProof/>
            <w:webHidden/>
          </w:rPr>
          <w:t>116</w:t>
        </w:r>
        <w:r w:rsidR="007374E0">
          <w:rPr>
            <w:noProof/>
            <w:webHidden/>
          </w:rPr>
          <w:fldChar w:fldCharType="end"/>
        </w:r>
      </w:hyperlink>
    </w:p>
    <w:p w:rsidR="00A13830" w:rsidRDefault="00A13830">
      <w:pPr>
        <w:pStyle w:val="T1"/>
      </w:pPr>
    </w:p>
    <w:p w:rsidR="007374E0" w:rsidRDefault="00E56A11">
      <w:pPr>
        <w:pStyle w:val="T1"/>
        <w:rPr>
          <w:rFonts w:asciiTheme="minorHAnsi" w:eastAsiaTheme="minorEastAsia" w:hAnsiTheme="minorHAnsi" w:cstheme="minorBidi"/>
          <w:sz w:val="22"/>
          <w:szCs w:val="22"/>
          <w:lang w:eastAsia="tr-TR"/>
        </w:rPr>
      </w:pPr>
      <w:hyperlink w:anchor="_Toc384824040" w:history="1">
        <w:r w:rsidR="007374E0" w:rsidRPr="00214601">
          <w:rPr>
            <w:rStyle w:val="Kpr"/>
            <w:b/>
          </w:rPr>
          <w:t>SONUÇ VE DEĞERLENDİRME</w:t>
        </w:r>
        <w:r w:rsidR="007374E0">
          <w:rPr>
            <w:webHidden/>
          </w:rPr>
          <w:tab/>
        </w:r>
        <w:r w:rsidR="007374E0">
          <w:rPr>
            <w:webHidden/>
          </w:rPr>
          <w:fldChar w:fldCharType="begin"/>
        </w:r>
        <w:r w:rsidR="007374E0">
          <w:rPr>
            <w:webHidden/>
          </w:rPr>
          <w:instrText xml:space="preserve"> PAGEREF _Toc384824040 \h </w:instrText>
        </w:r>
        <w:r w:rsidR="007374E0">
          <w:rPr>
            <w:webHidden/>
          </w:rPr>
        </w:r>
        <w:r w:rsidR="007374E0">
          <w:rPr>
            <w:webHidden/>
          </w:rPr>
          <w:fldChar w:fldCharType="separate"/>
        </w:r>
        <w:r w:rsidR="007C769A">
          <w:rPr>
            <w:webHidden/>
          </w:rPr>
          <w:t>121</w:t>
        </w:r>
        <w:r w:rsidR="007374E0">
          <w:rPr>
            <w:webHidden/>
          </w:rPr>
          <w:fldChar w:fldCharType="end"/>
        </w:r>
      </w:hyperlink>
    </w:p>
    <w:p w:rsidR="007374E0" w:rsidRDefault="00E56A11">
      <w:pPr>
        <w:pStyle w:val="T1"/>
        <w:rPr>
          <w:rFonts w:asciiTheme="minorHAnsi" w:eastAsiaTheme="minorEastAsia" w:hAnsiTheme="minorHAnsi" w:cstheme="minorBidi"/>
          <w:sz w:val="22"/>
          <w:szCs w:val="22"/>
          <w:lang w:eastAsia="tr-TR"/>
        </w:rPr>
      </w:pPr>
      <w:hyperlink w:anchor="_Toc384824041" w:history="1">
        <w:r w:rsidR="007374E0" w:rsidRPr="00214601">
          <w:rPr>
            <w:rStyle w:val="Kpr"/>
            <w:b/>
          </w:rPr>
          <w:t>KAYNAKÇA</w:t>
        </w:r>
        <w:r w:rsidR="007374E0">
          <w:rPr>
            <w:webHidden/>
          </w:rPr>
          <w:tab/>
        </w:r>
        <w:r w:rsidR="007374E0">
          <w:rPr>
            <w:webHidden/>
          </w:rPr>
          <w:fldChar w:fldCharType="begin"/>
        </w:r>
        <w:r w:rsidR="007374E0">
          <w:rPr>
            <w:webHidden/>
          </w:rPr>
          <w:instrText xml:space="preserve"> PAGEREF _Toc384824041 \h </w:instrText>
        </w:r>
        <w:r w:rsidR="007374E0">
          <w:rPr>
            <w:webHidden/>
          </w:rPr>
        </w:r>
        <w:r w:rsidR="007374E0">
          <w:rPr>
            <w:webHidden/>
          </w:rPr>
          <w:fldChar w:fldCharType="separate"/>
        </w:r>
        <w:r w:rsidR="007C769A">
          <w:rPr>
            <w:webHidden/>
          </w:rPr>
          <w:t>127</w:t>
        </w:r>
        <w:r w:rsidR="007374E0">
          <w:rPr>
            <w:webHidden/>
          </w:rPr>
          <w:fldChar w:fldCharType="end"/>
        </w:r>
      </w:hyperlink>
    </w:p>
    <w:p w:rsidR="007374E0" w:rsidRDefault="00E56A11">
      <w:pPr>
        <w:pStyle w:val="T1"/>
        <w:rPr>
          <w:rFonts w:asciiTheme="minorHAnsi" w:eastAsiaTheme="minorEastAsia" w:hAnsiTheme="minorHAnsi" w:cstheme="minorBidi"/>
          <w:sz w:val="22"/>
          <w:szCs w:val="22"/>
          <w:lang w:eastAsia="tr-TR"/>
        </w:rPr>
      </w:pPr>
      <w:hyperlink w:anchor="_Toc384824042" w:history="1">
        <w:r w:rsidR="007374E0" w:rsidRPr="00214601">
          <w:rPr>
            <w:rStyle w:val="Kpr"/>
            <w:b/>
          </w:rPr>
          <w:t>İNTERNET ADRESLERİ</w:t>
        </w:r>
        <w:r w:rsidR="007374E0">
          <w:rPr>
            <w:webHidden/>
          </w:rPr>
          <w:tab/>
        </w:r>
        <w:r w:rsidR="007374E0">
          <w:rPr>
            <w:webHidden/>
          </w:rPr>
          <w:fldChar w:fldCharType="begin"/>
        </w:r>
        <w:r w:rsidR="007374E0">
          <w:rPr>
            <w:webHidden/>
          </w:rPr>
          <w:instrText xml:space="preserve"> PAGEREF _Toc384824042 \h </w:instrText>
        </w:r>
        <w:r w:rsidR="007374E0">
          <w:rPr>
            <w:webHidden/>
          </w:rPr>
        </w:r>
        <w:r w:rsidR="007374E0">
          <w:rPr>
            <w:webHidden/>
          </w:rPr>
          <w:fldChar w:fldCharType="separate"/>
        </w:r>
        <w:r w:rsidR="007C769A">
          <w:rPr>
            <w:webHidden/>
          </w:rPr>
          <w:t>138</w:t>
        </w:r>
        <w:r w:rsidR="007374E0">
          <w:rPr>
            <w:webHidden/>
          </w:rPr>
          <w:fldChar w:fldCharType="end"/>
        </w:r>
      </w:hyperlink>
    </w:p>
    <w:p w:rsidR="007374E0" w:rsidRDefault="00E56A11">
      <w:pPr>
        <w:pStyle w:val="T1"/>
        <w:rPr>
          <w:rFonts w:asciiTheme="minorHAnsi" w:eastAsiaTheme="minorEastAsia" w:hAnsiTheme="minorHAnsi" w:cstheme="minorBidi"/>
          <w:sz w:val="22"/>
          <w:szCs w:val="22"/>
          <w:lang w:eastAsia="tr-TR"/>
        </w:rPr>
      </w:pPr>
      <w:hyperlink w:anchor="_Toc384824043" w:history="1">
        <w:r w:rsidR="007374E0" w:rsidRPr="00214601">
          <w:rPr>
            <w:rStyle w:val="Kpr"/>
            <w:b/>
          </w:rPr>
          <w:t>ÖZGEÇMİŞ</w:t>
        </w:r>
        <w:r w:rsidR="007374E0">
          <w:rPr>
            <w:webHidden/>
          </w:rPr>
          <w:tab/>
        </w:r>
        <w:r w:rsidR="007374E0">
          <w:rPr>
            <w:webHidden/>
          </w:rPr>
          <w:fldChar w:fldCharType="begin"/>
        </w:r>
        <w:r w:rsidR="007374E0">
          <w:rPr>
            <w:webHidden/>
          </w:rPr>
          <w:instrText xml:space="preserve"> PAGEREF _Toc384824043 \h </w:instrText>
        </w:r>
        <w:r w:rsidR="007374E0">
          <w:rPr>
            <w:webHidden/>
          </w:rPr>
        </w:r>
        <w:r w:rsidR="007374E0">
          <w:rPr>
            <w:webHidden/>
          </w:rPr>
          <w:fldChar w:fldCharType="separate"/>
        </w:r>
        <w:r w:rsidR="007C769A">
          <w:rPr>
            <w:webHidden/>
          </w:rPr>
          <w:t>140</w:t>
        </w:r>
        <w:r w:rsidR="007374E0">
          <w:rPr>
            <w:webHidden/>
          </w:rPr>
          <w:fldChar w:fldCharType="end"/>
        </w:r>
      </w:hyperlink>
    </w:p>
    <w:p w:rsidR="00FA4BF2" w:rsidRDefault="009A6636" w:rsidP="007E0310">
      <w:pPr>
        <w:pStyle w:val="T1"/>
      </w:pPr>
      <w:r>
        <w:fldChar w:fldCharType="end"/>
      </w:r>
    </w:p>
    <w:bookmarkEnd w:id="12"/>
    <w:bookmarkEnd w:id="13"/>
    <w:p w:rsidR="0044255F" w:rsidRDefault="00FA4BF2" w:rsidP="00E71421">
      <w:pPr>
        <w:pStyle w:val="Balk1"/>
      </w:pPr>
      <w:r>
        <w:br w:type="page"/>
      </w:r>
    </w:p>
    <w:p w:rsidR="0044255F" w:rsidRPr="00E50A4B" w:rsidRDefault="0044255F" w:rsidP="00E71421">
      <w:pPr>
        <w:pStyle w:val="Balk1"/>
      </w:pPr>
      <w:bookmarkStart w:id="15" w:name="_Toc384823968"/>
      <w:r w:rsidRPr="00E50A4B">
        <w:lastRenderedPageBreak/>
        <w:t>KISALTMALAR VE SİMGELER</w:t>
      </w:r>
      <w:bookmarkEnd w:id="15"/>
    </w:p>
    <w:p w:rsidR="0044255F" w:rsidRPr="009C672B" w:rsidRDefault="0044255F" w:rsidP="009C672B">
      <w:pPr>
        <w:spacing w:line="360" w:lineRule="auto"/>
      </w:pPr>
      <w:r>
        <w:rPr>
          <w:b/>
          <w:bCs/>
        </w:rPr>
        <w:t>A</w:t>
      </w:r>
      <w:r w:rsidRPr="009C672B">
        <w:rPr>
          <w:b/>
          <w:bCs/>
        </w:rPr>
        <w:t>AU</w:t>
      </w:r>
      <w:r w:rsidRPr="009C672B">
        <w:rPr>
          <w:b/>
          <w:bCs/>
        </w:rPr>
        <w:tab/>
      </w:r>
      <w:r w:rsidRPr="009C672B">
        <w:rPr>
          <w:b/>
          <w:bCs/>
        </w:rPr>
        <w:tab/>
        <w:t xml:space="preserve">: </w:t>
      </w:r>
      <w:r w:rsidRPr="009C672B">
        <w:t>Assigned Amount Unit (Tahsis Edilmiş Emisyon Birimi)</w:t>
      </w:r>
    </w:p>
    <w:p w:rsidR="0044255F" w:rsidRPr="009C672B" w:rsidRDefault="0044255F" w:rsidP="009C672B">
      <w:pPr>
        <w:spacing w:line="360" w:lineRule="auto"/>
      </w:pPr>
      <w:r w:rsidRPr="009C672B">
        <w:rPr>
          <w:b/>
          <w:bCs/>
        </w:rPr>
        <w:t>AB</w:t>
      </w:r>
      <w:r w:rsidRPr="009C672B">
        <w:rPr>
          <w:b/>
          <w:bCs/>
        </w:rPr>
        <w:tab/>
      </w:r>
      <w:r w:rsidRPr="009C672B">
        <w:rPr>
          <w:b/>
          <w:bCs/>
        </w:rPr>
        <w:tab/>
        <w:t xml:space="preserve">: </w:t>
      </w:r>
      <w:r w:rsidRPr="009C672B">
        <w:t>Avrupa Birliği</w:t>
      </w:r>
    </w:p>
    <w:p w:rsidR="0044255F" w:rsidRPr="009C672B" w:rsidRDefault="0044255F" w:rsidP="009C672B">
      <w:pPr>
        <w:spacing w:line="360" w:lineRule="auto"/>
      </w:pPr>
      <w:r w:rsidRPr="009C672B">
        <w:rPr>
          <w:b/>
          <w:bCs/>
        </w:rPr>
        <w:t>AR1</w:t>
      </w:r>
      <w:r w:rsidRPr="009C672B">
        <w:rPr>
          <w:b/>
          <w:bCs/>
        </w:rPr>
        <w:tab/>
      </w:r>
      <w:r w:rsidRPr="009C672B">
        <w:rPr>
          <w:b/>
          <w:bCs/>
        </w:rPr>
        <w:tab/>
        <w:t xml:space="preserve">: </w:t>
      </w:r>
      <w:r w:rsidRPr="009C672B">
        <w:t>First Assessment Report (Birinci Değerlendirme Raporu)</w:t>
      </w:r>
    </w:p>
    <w:p w:rsidR="0044255F" w:rsidRDefault="0044255F" w:rsidP="009C672B">
      <w:pPr>
        <w:spacing w:line="360" w:lineRule="auto"/>
      </w:pPr>
      <w:r w:rsidRPr="009C672B">
        <w:rPr>
          <w:b/>
          <w:bCs/>
        </w:rPr>
        <w:t>AR4</w:t>
      </w:r>
      <w:r w:rsidRPr="009C672B">
        <w:rPr>
          <w:b/>
          <w:bCs/>
        </w:rPr>
        <w:tab/>
      </w:r>
      <w:r w:rsidRPr="009C672B">
        <w:rPr>
          <w:b/>
          <w:bCs/>
        </w:rPr>
        <w:tab/>
        <w:t xml:space="preserve">: </w:t>
      </w:r>
      <w:r w:rsidRPr="009C672B">
        <w:t>Fourth Assessment Report (Dördüncü Değerlendirme Raporu)</w:t>
      </w:r>
    </w:p>
    <w:p w:rsidR="008960CF" w:rsidRPr="009C672B" w:rsidRDefault="008960CF" w:rsidP="009C672B">
      <w:pPr>
        <w:spacing w:line="360" w:lineRule="auto"/>
      </w:pPr>
      <w:r w:rsidRPr="008960CF">
        <w:rPr>
          <w:b/>
        </w:rPr>
        <w:t>BM</w:t>
      </w:r>
      <w:r>
        <w:tab/>
      </w:r>
      <w:r>
        <w:tab/>
        <w:t>: Birleşmiş Milletler</w:t>
      </w:r>
    </w:p>
    <w:p w:rsidR="0044255F" w:rsidRPr="009C672B" w:rsidRDefault="0044255F" w:rsidP="009C672B">
      <w:pPr>
        <w:spacing w:line="360" w:lineRule="auto"/>
      </w:pPr>
      <w:r w:rsidRPr="009C672B">
        <w:rPr>
          <w:b/>
          <w:bCs/>
        </w:rPr>
        <w:t>BMİDÇS</w:t>
      </w:r>
      <w:r w:rsidRPr="009C672B">
        <w:rPr>
          <w:b/>
          <w:bCs/>
        </w:rPr>
        <w:tab/>
        <w:t xml:space="preserve">: </w:t>
      </w:r>
      <w:r w:rsidRPr="009C672B">
        <w:t>Birleşmiş Milletler İklim Değişikliği Çerçeve Sözleşmesi</w:t>
      </w:r>
    </w:p>
    <w:p w:rsidR="0044255F" w:rsidRPr="009C672B" w:rsidRDefault="0044255F" w:rsidP="009C672B">
      <w:pPr>
        <w:spacing w:line="360" w:lineRule="auto"/>
      </w:pPr>
      <w:r w:rsidRPr="009C672B">
        <w:rPr>
          <w:b/>
          <w:bCs/>
        </w:rPr>
        <w:t>CES</w:t>
      </w:r>
      <w:r w:rsidRPr="009C672B">
        <w:rPr>
          <w:b/>
          <w:bCs/>
        </w:rPr>
        <w:tab/>
      </w:r>
      <w:r w:rsidRPr="009C672B">
        <w:rPr>
          <w:b/>
          <w:bCs/>
        </w:rPr>
        <w:tab/>
        <w:t xml:space="preserve">: </w:t>
      </w:r>
      <w:r w:rsidRPr="009C672B">
        <w:t xml:space="preserve">Constant Elasticity of Substitution (Sabit İkame Esnekliği) </w:t>
      </w:r>
    </w:p>
    <w:p w:rsidR="0044255F" w:rsidRDefault="0044255F" w:rsidP="009C672B">
      <w:pPr>
        <w:spacing w:line="360" w:lineRule="auto"/>
        <w:ind w:left="1410" w:hanging="1410"/>
      </w:pPr>
      <w:r w:rsidRPr="009C672B">
        <w:rPr>
          <w:b/>
          <w:bCs/>
        </w:rPr>
        <w:t>CCAR</w:t>
      </w:r>
      <w:r w:rsidRPr="009C672B">
        <w:rPr>
          <w:b/>
          <w:bCs/>
        </w:rPr>
        <w:tab/>
      </w:r>
      <w:r w:rsidRPr="009C672B">
        <w:rPr>
          <w:b/>
          <w:bCs/>
        </w:rPr>
        <w:tab/>
        <w:t xml:space="preserve">: </w:t>
      </w:r>
      <w:r w:rsidRPr="009C672B">
        <w:t>California Climate Action Register (Kaliforniya İklim Eylem Kayıt Protokolleri)</w:t>
      </w:r>
    </w:p>
    <w:p w:rsidR="00907AE3" w:rsidRDefault="00907AE3" w:rsidP="009C672B">
      <w:pPr>
        <w:spacing w:line="360" w:lineRule="auto"/>
        <w:ind w:left="1410" w:hanging="1410"/>
      </w:pPr>
      <w:r>
        <w:rPr>
          <w:b/>
          <w:bCs/>
        </w:rPr>
        <w:t>CCGS</w:t>
      </w:r>
      <w:r>
        <w:rPr>
          <w:b/>
          <w:bCs/>
        </w:rPr>
        <w:tab/>
        <w:t>:</w:t>
      </w:r>
      <w:r>
        <w:t xml:space="preserve"> </w:t>
      </w:r>
      <w:r w:rsidR="00C808DD" w:rsidRPr="00C808DD">
        <w:t>Geographical Carbon Capture and Storage</w:t>
      </w:r>
      <w:r w:rsidR="00C808DD">
        <w:t xml:space="preserve"> (</w:t>
      </w:r>
      <w:r>
        <w:t>Karbon Yakalama ve Coğrafi Depolama</w:t>
      </w:r>
      <w:r w:rsidR="00C808DD">
        <w:t>)</w:t>
      </w:r>
    </w:p>
    <w:p w:rsidR="006F3CE4" w:rsidRPr="009C672B" w:rsidRDefault="006F3CE4" w:rsidP="009C672B">
      <w:pPr>
        <w:spacing w:line="360" w:lineRule="auto"/>
        <w:ind w:left="1410" w:hanging="1410"/>
      </w:pPr>
      <w:r>
        <w:rPr>
          <w:b/>
          <w:bCs/>
        </w:rPr>
        <w:t>CCM</w:t>
      </w:r>
      <w:r>
        <w:rPr>
          <w:b/>
          <w:bCs/>
        </w:rPr>
        <w:tab/>
        <w:t>:</w:t>
      </w:r>
      <w:r>
        <w:t xml:space="preserve"> </w:t>
      </w:r>
      <w:r w:rsidR="00C808DD" w:rsidRPr="00C808DD">
        <w:t xml:space="preserve">Carbon Capture Project </w:t>
      </w:r>
      <w:r w:rsidR="00C808DD">
        <w:t>(</w:t>
      </w:r>
      <w:r>
        <w:t>Karbon Yakalama Projesi</w:t>
      </w:r>
      <w:r w:rsidR="00C808DD">
        <w:t>)</w:t>
      </w:r>
    </w:p>
    <w:p w:rsidR="0044255F" w:rsidRPr="009C672B" w:rsidRDefault="0044255F" w:rsidP="009C672B">
      <w:pPr>
        <w:spacing w:line="360" w:lineRule="auto"/>
      </w:pPr>
      <w:r w:rsidRPr="009C672B">
        <w:rPr>
          <w:b/>
          <w:bCs/>
        </w:rPr>
        <w:t>CCS</w:t>
      </w:r>
      <w:r w:rsidRPr="009C672B">
        <w:rPr>
          <w:b/>
          <w:bCs/>
        </w:rPr>
        <w:tab/>
      </w:r>
      <w:r w:rsidRPr="009C672B">
        <w:rPr>
          <w:b/>
          <w:bCs/>
        </w:rPr>
        <w:tab/>
        <w:t xml:space="preserve">: </w:t>
      </w:r>
      <w:r w:rsidRPr="009C672B">
        <w:t xml:space="preserve">Carbon Capture and Storage (Karbon Yakalama ve Depolama) </w:t>
      </w:r>
    </w:p>
    <w:p w:rsidR="0044255F" w:rsidRPr="009C672B" w:rsidRDefault="0044255F" w:rsidP="009C672B">
      <w:pPr>
        <w:spacing w:line="360" w:lineRule="auto"/>
      </w:pPr>
      <w:r w:rsidRPr="009C672B">
        <w:rPr>
          <w:b/>
          <w:bCs/>
        </w:rPr>
        <w:t>CCX</w:t>
      </w:r>
      <w:r w:rsidRPr="009C672B">
        <w:rPr>
          <w:b/>
          <w:bCs/>
        </w:rPr>
        <w:tab/>
      </w:r>
      <w:r w:rsidRPr="009C672B">
        <w:rPr>
          <w:b/>
          <w:bCs/>
        </w:rPr>
        <w:tab/>
        <w:t xml:space="preserve">: </w:t>
      </w:r>
      <w:r w:rsidRPr="009C672B">
        <w:t xml:space="preserve">Chicago Climate Exchange (Şikago İklim Borsası) </w:t>
      </w:r>
    </w:p>
    <w:p w:rsidR="0044255F" w:rsidRPr="009C672B" w:rsidRDefault="0044255F" w:rsidP="009C672B">
      <w:pPr>
        <w:spacing w:line="360" w:lineRule="auto"/>
      </w:pPr>
      <w:r w:rsidRPr="009C672B">
        <w:rPr>
          <w:b/>
          <w:bCs/>
        </w:rPr>
        <w:t>CDM</w:t>
      </w:r>
      <w:r w:rsidRPr="009C672B">
        <w:rPr>
          <w:b/>
          <w:bCs/>
        </w:rPr>
        <w:tab/>
      </w:r>
      <w:r w:rsidRPr="009C672B">
        <w:rPr>
          <w:b/>
          <w:bCs/>
        </w:rPr>
        <w:tab/>
        <w:t xml:space="preserve">: </w:t>
      </w:r>
      <w:r w:rsidRPr="009C672B">
        <w:t>Clean Development Mechanism (Temiz Kalkınma Mekanizması)</w:t>
      </w:r>
    </w:p>
    <w:p w:rsidR="0044255F" w:rsidRPr="009C672B" w:rsidRDefault="0044255F" w:rsidP="009C672B">
      <w:pPr>
        <w:spacing w:line="360" w:lineRule="auto"/>
        <w:ind w:left="1410" w:hanging="1410"/>
      </w:pPr>
      <w:r w:rsidRPr="009C672B">
        <w:rPr>
          <w:b/>
          <w:bCs/>
        </w:rPr>
        <w:t>CEMS</w:t>
      </w:r>
      <w:r w:rsidRPr="009C672B">
        <w:rPr>
          <w:b/>
          <w:bCs/>
        </w:rPr>
        <w:tab/>
      </w:r>
      <w:r w:rsidRPr="009C672B">
        <w:rPr>
          <w:b/>
          <w:bCs/>
        </w:rPr>
        <w:tab/>
        <w:t xml:space="preserve">: </w:t>
      </w:r>
      <w:r w:rsidRPr="009C672B">
        <w:t xml:space="preserve">Continuous Emission Monitoring Systems (Devamlı Emisyon Takip Sistemi) </w:t>
      </w:r>
    </w:p>
    <w:p w:rsidR="0044255F" w:rsidRPr="009C672B" w:rsidRDefault="0044255F" w:rsidP="009C672B">
      <w:pPr>
        <w:spacing w:line="360" w:lineRule="auto"/>
      </w:pPr>
      <w:r w:rsidRPr="009C672B">
        <w:rPr>
          <w:b/>
          <w:bCs/>
        </w:rPr>
        <w:t>CER</w:t>
      </w:r>
      <w:r w:rsidRPr="009C672B">
        <w:rPr>
          <w:b/>
          <w:bCs/>
        </w:rPr>
        <w:tab/>
      </w:r>
      <w:r w:rsidRPr="009C672B">
        <w:rPr>
          <w:b/>
          <w:bCs/>
        </w:rPr>
        <w:tab/>
        <w:t xml:space="preserve">: </w:t>
      </w:r>
      <w:r w:rsidRPr="009C672B">
        <w:t>Certification Emissions Reduction (Emisyon Azaltım Kredisi)</w:t>
      </w:r>
    </w:p>
    <w:p w:rsidR="0044255F" w:rsidRDefault="0044255F" w:rsidP="009C672B">
      <w:pPr>
        <w:spacing w:line="360" w:lineRule="auto"/>
      </w:pPr>
      <w:r w:rsidRPr="009C672B">
        <w:rPr>
          <w:b/>
          <w:bCs/>
        </w:rPr>
        <w:t>CH</w:t>
      </w:r>
      <w:r w:rsidRPr="009C672B">
        <w:rPr>
          <w:b/>
          <w:bCs/>
          <w:vertAlign w:val="subscript"/>
        </w:rPr>
        <w:t>4</w:t>
      </w:r>
      <w:r w:rsidRPr="009C672B">
        <w:rPr>
          <w:b/>
          <w:bCs/>
        </w:rPr>
        <w:tab/>
      </w:r>
      <w:r w:rsidRPr="009C672B">
        <w:rPr>
          <w:b/>
          <w:bCs/>
        </w:rPr>
        <w:tab/>
        <w:t xml:space="preserve">: </w:t>
      </w:r>
      <w:r w:rsidRPr="009C672B">
        <w:t xml:space="preserve">Metan </w:t>
      </w:r>
    </w:p>
    <w:p w:rsidR="00A52040" w:rsidRPr="009C672B" w:rsidRDefault="00A52040" w:rsidP="001432AC">
      <w:pPr>
        <w:spacing w:line="360" w:lineRule="auto"/>
        <w:ind w:left="1440" w:hanging="1440"/>
      </w:pPr>
      <w:r w:rsidRPr="00A52040">
        <w:rPr>
          <w:b/>
        </w:rPr>
        <w:t>CMP</w:t>
      </w:r>
      <w:r w:rsidR="001432AC">
        <w:tab/>
      </w:r>
      <w:r>
        <w:t xml:space="preserve">: </w:t>
      </w:r>
      <w:r w:rsidR="001432AC" w:rsidRPr="001432AC">
        <w:t>Meeting of the Parties to the Kyoto Protocol</w:t>
      </w:r>
      <w:r w:rsidR="001432AC">
        <w:t xml:space="preserve"> (</w:t>
      </w:r>
      <w:r>
        <w:t>Kyoto Protokolü Taraflar Toplantısı</w:t>
      </w:r>
      <w:r w:rsidR="001432AC">
        <w:t>)</w:t>
      </w:r>
    </w:p>
    <w:p w:rsidR="0044255F" w:rsidRPr="009C672B" w:rsidRDefault="0044255F" w:rsidP="009C672B">
      <w:pPr>
        <w:spacing w:line="360" w:lineRule="auto"/>
        <w:ind w:left="1440" w:hanging="1440"/>
      </w:pPr>
      <w:r w:rsidRPr="009C672B">
        <w:rPr>
          <w:b/>
          <w:bCs/>
        </w:rPr>
        <w:t>CNRS</w:t>
      </w:r>
      <w:r w:rsidRPr="009C672B">
        <w:rPr>
          <w:b/>
          <w:bCs/>
        </w:rPr>
        <w:tab/>
        <w:t>:</w:t>
      </w:r>
      <w:r w:rsidRPr="009C672B">
        <w:t xml:space="preserve"> Centre National de la Recherche Scientifique (Fr</w:t>
      </w:r>
      <w:r w:rsidR="004338E3">
        <w:t>ansa Ulusal Bilim Araştırma</w:t>
      </w:r>
      <w:r w:rsidRPr="009C672B">
        <w:t xml:space="preserve"> Merkezi)</w:t>
      </w:r>
    </w:p>
    <w:p w:rsidR="0044255F" w:rsidRPr="009C672B" w:rsidRDefault="0044255F" w:rsidP="009C672B">
      <w:pPr>
        <w:spacing w:line="360" w:lineRule="auto"/>
      </w:pPr>
      <w:r w:rsidRPr="009C672B">
        <w:rPr>
          <w:b/>
          <w:bCs/>
        </w:rPr>
        <w:t>CO</w:t>
      </w:r>
      <w:r w:rsidRPr="009C672B">
        <w:rPr>
          <w:b/>
          <w:bCs/>
        </w:rPr>
        <w:tab/>
      </w:r>
      <w:r w:rsidRPr="009C672B">
        <w:rPr>
          <w:b/>
          <w:bCs/>
        </w:rPr>
        <w:tab/>
        <w:t>:</w:t>
      </w:r>
      <w:r w:rsidRPr="009C672B">
        <w:t xml:space="preserve"> Karbonmonoksit</w:t>
      </w:r>
    </w:p>
    <w:p w:rsidR="0044255F" w:rsidRPr="009C672B" w:rsidRDefault="0044255F" w:rsidP="009C672B">
      <w:pPr>
        <w:spacing w:line="360" w:lineRule="auto"/>
      </w:pPr>
      <w:r w:rsidRPr="009C672B">
        <w:rPr>
          <w:b/>
          <w:bCs/>
        </w:rPr>
        <w:t>CO</w:t>
      </w:r>
      <w:r w:rsidRPr="009C672B">
        <w:rPr>
          <w:b/>
          <w:bCs/>
          <w:vertAlign w:val="subscript"/>
        </w:rPr>
        <w:t>2</w:t>
      </w:r>
      <w:r w:rsidRPr="009C672B">
        <w:rPr>
          <w:b/>
          <w:bCs/>
        </w:rPr>
        <w:tab/>
      </w:r>
      <w:r w:rsidRPr="009C672B">
        <w:rPr>
          <w:b/>
          <w:bCs/>
        </w:rPr>
        <w:tab/>
        <w:t>:</w:t>
      </w:r>
      <w:r w:rsidRPr="009C672B">
        <w:t xml:space="preserve"> Karbondioksit</w:t>
      </w:r>
    </w:p>
    <w:p w:rsidR="0044255F" w:rsidRPr="009C672B" w:rsidRDefault="0044255F" w:rsidP="009C672B">
      <w:pPr>
        <w:spacing w:line="360" w:lineRule="auto"/>
      </w:pPr>
      <w:r w:rsidRPr="009C672B">
        <w:rPr>
          <w:b/>
          <w:bCs/>
        </w:rPr>
        <w:t>CO2e</w:t>
      </w:r>
      <w:r w:rsidRPr="009C672B">
        <w:rPr>
          <w:b/>
          <w:bCs/>
        </w:rPr>
        <w:tab/>
      </w:r>
      <w:r w:rsidRPr="009C672B">
        <w:rPr>
          <w:b/>
          <w:bCs/>
        </w:rPr>
        <w:tab/>
        <w:t>:</w:t>
      </w:r>
      <w:r w:rsidRPr="009C672B">
        <w:t xml:space="preserve"> Karbondioksit Eşdeğeri</w:t>
      </w:r>
    </w:p>
    <w:p w:rsidR="0044255F" w:rsidRPr="009C672B" w:rsidRDefault="0044255F" w:rsidP="009C672B">
      <w:pPr>
        <w:spacing w:line="360" w:lineRule="auto"/>
      </w:pPr>
      <w:r w:rsidRPr="009C672B">
        <w:rPr>
          <w:b/>
          <w:bCs/>
        </w:rPr>
        <w:t>COP</w:t>
      </w:r>
      <w:r w:rsidRPr="009C672B">
        <w:rPr>
          <w:b/>
          <w:bCs/>
        </w:rPr>
        <w:tab/>
      </w:r>
      <w:r w:rsidRPr="009C672B">
        <w:rPr>
          <w:b/>
          <w:bCs/>
        </w:rPr>
        <w:tab/>
        <w:t>:</w:t>
      </w:r>
      <w:r w:rsidRPr="009C672B">
        <w:t xml:space="preserve"> Conference of the Parties (Taraflar Konferansı)</w:t>
      </w:r>
    </w:p>
    <w:p w:rsidR="0044255F" w:rsidRPr="009C672B" w:rsidRDefault="0044255F" w:rsidP="009C672B">
      <w:pPr>
        <w:spacing w:line="360" w:lineRule="auto"/>
      </w:pPr>
      <w:r w:rsidRPr="009C672B">
        <w:rPr>
          <w:b/>
          <w:bCs/>
        </w:rPr>
        <w:t>ÇOB</w:t>
      </w:r>
      <w:r w:rsidRPr="009C672B">
        <w:rPr>
          <w:b/>
          <w:bCs/>
        </w:rPr>
        <w:tab/>
      </w:r>
      <w:r w:rsidRPr="009C672B">
        <w:rPr>
          <w:b/>
          <w:bCs/>
        </w:rPr>
        <w:tab/>
        <w:t>:</w:t>
      </w:r>
      <w:r w:rsidRPr="009C672B">
        <w:t xml:space="preserve"> </w:t>
      </w:r>
      <w:r w:rsidR="001A6EBE">
        <w:t xml:space="preserve">Çevre </w:t>
      </w:r>
      <w:r w:rsidRPr="009C672B">
        <w:t xml:space="preserve">Orman ve </w:t>
      </w:r>
      <w:r w:rsidR="00AA6A33">
        <w:t>Orman</w:t>
      </w:r>
      <w:r w:rsidRPr="009C672B">
        <w:t xml:space="preserve"> Bakanlığı</w:t>
      </w:r>
    </w:p>
    <w:p w:rsidR="0044255F" w:rsidRPr="009C672B" w:rsidRDefault="0044255F" w:rsidP="009C672B">
      <w:pPr>
        <w:spacing w:line="360" w:lineRule="auto"/>
      </w:pPr>
      <w:r w:rsidRPr="009C672B">
        <w:rPr>
          <w:b/>
          <w:bCs/>
        </w:rPr>
        <w:t>DPT</w:t>
      </w:r>
      <w:r w:rsidRPr="009C672B">
        <w:rPr>
          <w:b/>
          <w:bCs/>
        </w:rPr>
        <w:tab/>
      </w:r>
      <w:r w:rsidRPr="009C672B">
        <w:rPr>
          <w:b/>
          <w:bCs/>
        </w:rPr>
        <w:tab/>
        <w:t>:</w:t>
      </w:r>
      <w:r w:rsidRPr="009C672B">
        <w:t xml:space="preserve"> Devlet Planlama Teşkilatı</w:t>
      </w:r>
    </w:p>
    <w:p w:rsidR="0044255F" w:rsidRPr="009C672B" w:rsidRDefault="0044255F" w:rsidP="009C672B">
      <w:pPr>
        <w:spacing w:line="360" w:lineRule="auto"/>
      </w:pPr>
      <w:r w:rsidRPr="009C672B">
        <w:rPr>
          <w:b/>
          <w:bCs/>
        </w:rPr>
        <w:t>DSİ</w:t>
      </w:r>
      <w:r w:rsidRPr="009C672B">
        <w:rPr>
          <w:b/>
          <w:bCs/>
        </w:rPr>
        <w:tab/>
      </w:r>
      <w:r w:rsidRPr="009C672B">
        <w:rPr>
          <w:b/>
          <w:bCs/>
        </w:rPr>
        <w:tab/>
      </w:r>
      <w:r w:rsidRPr="009C672B">
        <w:t>: Devlet Su İşleri</w:t>
      </w:r>
    </w:p>
    <w:p w:rsidR="0044255F" w:rsidRPr="009C672B" w:rsidRDefault="0044255F" w:rsidP="009C672B">
      <w:pPr>
        <w:spacing w:line="360" w:lineRule="auto"/>
      </w:pPr>
      <w:r w:rsidRPr="009C672B">
        <w:rPr>
          <w:b/>
          <w:bCs/>
        </w:rPr>
        <w:t>EC</w:t>
      </w:r>
      <w:r w:rsidRPr="009C672B">
        <w:rPr>
          <w:b/>
          <w:bCs/>
        </w:rPr>
        <w:tab/>
      </w:r>
      <w:r w:rsidRPr="009C672B">
        <w:rPr>
          <w:b/>
          <w:bCs/>
        </w:rPr>
        <w:tab/>
        <w:t>:</w:t>
      </w:r>
      <w:r w:rsidRPr="009C672B">
        <w:t xml:space="preserve"> European Comission (Avrupa Komisyonu)</w:t>
      </w:r>
    </w:p>
    <w:p w:rsidR="0044255F" w:rsidRPr="009C672B" w:rsidRDefault="0044255F" w:rsidP="009C672B">
      <w:pPr>
        <w:spacing w:line="360" w:lineRule="auto"/>
      </w:pPr>
      <w:r w:rsidRPr="009C672B">
        <w:rPr>
          <w:b/>
          <w:bCs/>
        </w:rPr>
        <w:t>ED</w:t>
      </w:r>
      <w:r w:rsidRPr="009C672B">
        <w:rPr>
          <w:b/>
          <w:bCs/>
        </w:rPr>
        <w:tab/>
      </w:r>
      <w:r w:rsidRPr="009C672B">
        <w:rPr>
          <w:b/>
          <w:bCs/>
        </w:rPr>
        <w:tab/>
        <w:t>:</w:t>
      </w:r>
      <w:r w:rsidRPr="009C672B">
        <w:t xml:space="preserve"> Ekler Dışı</w:t>
      </w:r>
    </w:p>
    <w:p w:rsidR="0044255F" w:rsidRPr="009C672B" w:rsidRDefault="0044255F" w:rsidP="009C672B">
      <w:pPr>
        <w:spacing w:line="360" w:lineRule="auto"/>
      </w:pPr>
      <w:r w:rsidRPr="009C672B">
        <w:rPr>
          <w:b/>
          <w:bCs/>
        </w:rPr>
        <w:lastRenderedPageBreak/>
        <w:t>EEA</w:t>
      </w:r>
      <w:r w:rsidRPr="009C672B">
        <w:rPr>
          <w:b/>
          <w:bCs/>
        </w:rPr>
        <w:tab/>
      </w:r>
      <w:r w:rsidRPr="009C672B">
        <w:rPr>
          <w:b/>
          <w:bCs/>
        </w:rPr>
        <w:tab/>
        <w:t>:</w:t>
      </w:r>
      <w:r w:rsidRPr="009C672B">
        <w:t xml:space="preserve"> European Environment Agency (Avrupa Çevre Ajansı)</w:t>
      </w:r>
    </w:p>
    <w:p w:rsidR="0044255F" w:rsidRPr="009C672B" w:rsidRDefault="0044255F" w:rsidP="009C672B">
      <w:pPr>
        <w:spacing w:line="360" w:lineRule="auto"/>
        <w:ind w:left="1410" w:hanging="1410"/>
        <w:rPr>
          <w:b/>
          <w:bCs/>
        </w:rPr>
      </w:pPr>
      <w:r w:rsidRPr="009C672B">
        <w:rPr>
          <w:b/>
          <w:bCs/>
        </w:rPr>
        <w:t>ENPEP</w:t>
      </w:r>
      <w:r w:rsidRPr="009C672B">
        <w:rPr>
          <w:b/>
          <w:bCs/>
        </w:rPr>
        <w:tab/>
        <w:t>:</w:t>
      </w:r>
      <w:r w:rsidRPr="009C672B">
        <w:t xml:space="preserve"> Energy and Power Evaluation Program (Enerji ve Güç Planlama Modeli)</w:t>
      </w:r>
    </w:p>
    <w:p w:rsidR="0044255F" w:rsidRPr="009C672B" w:rsidRDefault="0044255F" w:rsidP="009C672B">
      <w:pPr>
        <w:spacing w:line="360" w:lineRule="auto"/>
        <w:rPr>
          <w:b/>
          <w:bCs/>
        </w:rPr>
      </w:pPr>
      <w:r w:rsidRPr="009C672B">
        <w:rPr>
          <w:b/>
          <w:bCs/>
        </w:rPr>
        <w:t>EPA</w:t>
      </w:r>
      <w:r w:rsidRPr="009C672B">
        <w:rPr>
          <w:b/>
          <w:bCs/>
        </w:rPr>
        <w:tab/>
      </w:r>
      <w:r w:rsidRPr="009C672B">
        <w:rPr>
          <w:b/>
          <w:bCs/>
        </w:rPr>
        <w:tab/>
        <w:t>:</w:t>
      </w:r>
      <w:r w:rsidRPr="009C672B">
        <w:t xml:space="preserve"> Environmental Protection Agency (Çevre Koruma Ajansı)</w:t>
      </w:r>
    </w:p>
    <w:p w:rsidR="0044255F" w:rsidRPr="009C672B" w:rsidRDefault="0044255F" w:rsidP="009C672B">
      <w:pPr>
        <w:spacing w:line="360" w:lineRule="auto"/>
      </w:pPr>
      <w:r w:rsidRPr="009C672B">
        <w:rPr>
          <w:b/>
          <w:bCs/>
        </w:rPr>
        <w:t>EPDK</w:t>
      </w:r>
      <w:r w:rsidRPr="009C672B">
        <w:rPr>
          <w:b/>
          <w:bCs/>
        </w:rPr>
        <w:tab/>
      </w:r>
      <w:r w:rsidRPr="009C672B">
        <w:rPr>
          <w:b/>
          <w:bCs/>
        </w:rPr>
        <w:tab/>
        <w:t>:</w:t>
      </w:r>
      <w:r w:rsidRPr="009C672B">
        <w:t xml:space="preserve"> Enerji Piyasası Düzenleme Kurumu</w:t>
      </w:r>
    </w:p>
    <w:p w:rsidR="0044255F" w:rsidRPr="009C672B" w:rsidRDefault="0044255F" w:rsidP="009C672B">
      <w:pPr>
        <w:spacing w:line="360" w:lineRule="auto"/>
      </w:pPr>
      <w:r w:rsidRPr="009C672B">
        <w:rPr>
          <w:b/>
          <w:bCs/>
        </w:rPr>
        <w:t>ERU</w:t>
      </w:r>
      <w:r w:rsidRPr="009C672B">
        <w:rPr>
          <w:b/>
          <w:bCs/>
        </w:rPr>
        <w:tab/>
      </w:r>
      <w:r w:rsidRPr="009C672B">
        <w:rPr>
          <w:b/>
          <w:bCs/>
        </w:rPr>
        <w:tab/>
        <w:t>:</w:t>
      </w:r>
      <w:r w:rsidRPr="009C672B">
        <w:t xml:space="preserve"> Emisssion Reduction Units (Emisyon Azaltım Birimi)</w:t>
      </w:r>
    </w:p>
    <w:p w:rsidR="0044255F" w:rsidRPr="009C672B" w:rsidRDefault="0044255F" w:rsidP="009C672B">
      <w:pPr>
        <w:spacing w:line="360" w:lineRule="auto"/>
      </w:pPr>
      <w:r w:rsidRPr="009C672B">
        <w:rPr>
          <w:b/>
          <w:bCs/>
        </w:rPr>
        <w:t>ET</w:t>
      </w:r>
      <w:r w:rsidRPr="009C672B">
        <w:rPr>
          <w:b/>
          <w:bCs/>
        </w:rPr>
        <w:tab/>
      </w:r>
      <w:r w:rsidRPr="009C672B">
        <w:rPr>
          <w:b/>
          <w:bCs/>
        </w:rPr>
        <w:tab/>
        <w:t xml:space="preserve">: </w:t>
      </w:r>
      <w:r w:rsidRPr="009C672B">
        <w:t>Emisyon Ticaret</w:t>
      </w:r>
      <w:r w:rsidR="001A6EBE">
        <w:t>i</w:t>
      </w:r>
    </w:p>
    <w:p w:rsidR="0044255F" w:rsidRPr="009C672B" w:rsidRDefault="0044255F" w:rsidP="009C672B">
      <w:pPr>
        <w:spacing w:line="360" w:lineRule="auto"/>
      </w:pPr>
      <w:r w:rsidRPr="009C672B">
        <w:rPr>
          <w:b/>
          <w:bCs/>
        </w:rPr>
        <w:t>ETKB</w:t>
      </w:r>
      <w:r w:rsidRPr="009C672B">
        <w:rPr>
          <w:b/>
          <w:bCs/>
        </w:rPr>
        <w:tab/>
      </w:r>
      <w:r w:rsidRPr="009C672B">
        <w:rPr>
          <w:b/>
          <w:bCs/>
        </w:rPr>
        <w:tab/>
        <w:t>:</w:t>
      </w:r>
      <w:r w:rsidRPr="009C672B">
        <w:t xml:space="preserve"> Enerji ve Tabii Kaynaklar Bakanlığı</w:t>
      </w:r>
    </w:p>
    <w:p w:rsidR="0044255F" w:rsidRPr="009C672B" w:rsidRDefault="0044255F" w:rsidP="009C672B">
      <w:pPr>
        <w:spacing w:line="360" w:lineRule="auto"/>
        <w:rPr>
          <w:b/>
          <w:bCs/>
        </w:rPr>
      </w:pPr>
      <w:r w:rsidRPr="009C672B">
        <w:rPr>
          <w:b/>
          <w:bCs/>
        </w:rPr>
        <w:t>ETS</w:t>
      </w:r>
      <w:r w:rsidRPr="009C672B">
        <w:rPr>
          <w:b/>
          <w:bCs/>
        </w:rPr>
        <w:tab/>
      </w:r>
      <w:r w:rsidRPr="009C672B">
        <w:rPr>
          <w:b/>
          <w:bCs/>
        </w:rPr>
        <w:tab/>
        <w:t xml:space="preserve">: </w:t>
      </w:r>
      <w:r w:rsidRPr="009C672B">
        <w:t>Emission Trading System (Emisyon Ticareti Sistemi)</w:t>
      </w:r>
    </w:p>
    <w:p w:rsidR="0044255F" w:rsidRPr="009C672B" w:rsidRDefault="0044255F" w:rsidP="009C672B">
      <w:pPr>
        <w:spacing w:line="360" w:lineRule="auto"/>
        <w:rPr>
          <w:b/>
          <w:bCs/>
        </w:rPr>
      </w:pPr>
      <w:r w:rsidRPr="009C672B">
        <w:rPr>
          <w:b/>
          <w:bCs/>
        </w:rPr>
        <w:t>EUA</w:t>
      </w:r>
      <w:r w:rsidRPr="009C672B">
        <w:rPr>
          <w:b/>
          <w:bCs/>
        </w:rPr>
        <w:tab/>
      </w:r>
      <w:r w:rsidRPr="009C672B">
        <w:rPr>
          <w:b/>
          <w:bCs/>
        </w:rPr>
        <w:tab/>
        <w:t xml:space="preserve">: </w:t>
      </w:r>
      <w:r w:rsidRPr="009C672B">
        <w:t>European Allowance Units (Ton Başına Birim Permi)</w:t>
      </w:r>
    </w:p>
    <w:p w:rsidR="0044255F" w:rsidRPr="009C672B" w:rsidRDefault="0044255F" w:rsidP="009C672B">
      <w:pPr>
        <w:spacing w:line="360" w:lineRule="auto"/>
        <w:rPr>
          <w:b/>
          <w:bCs/>
        </w:rPr>
      </w:pPr>
      <w:r w:rsidRPr="009C672B">
        <w:rPr>
          <w:b/>
          <w:bCs/>
        </w:rPr>
        <w:t>EU ETS</w:t>
      </w:r>
      <w:r w:rsidRPr="009C672B">
        <w:rPr>
          <w:b/>
          <w:bCs/>
        </w:rPr>
        <w:tab/>
        <w:t xml:space="preserve">: </w:t>
      </w:r>
      <w:r w:rsidRPr="009C672B">
        <w:t>European Emission Trading System (AB Emisyon Ticareti Sistemi)</w:t>
      </w:r>
    </w:p>
    <w:p w:rsidR="0044255F" w:rsidRPr="009C672B" w:rsidRDefault="0044255F" w:rsidP="009C672B">
      <w:pPr>
        <w:spacing w:line="360" w:lineRule="auto"/>
      </w:pPr>
      <w:r w:rsidRPr="009C672B">
        <w:rPr>
          <w:b/>
          <w:bCs/>
        </w:rPr>
        <w:t>FAQ</w:t>
      </w:r>
      <w:r w:rsidRPr="009C672B">
        <w:rPr>
          <w:b/>
          <w:bCs/>
        </w:rPr>
        <w:tab/>
      </w:r>
      <w:r w:rsidRPr="009C672B">
        <w:rPr>
          <w:b/>
          <w:bCs/>
        </w:rPr>
        <w:tab/>
        <w:t xml:space="preserve">: </w:t>
      </w:r>
      <w:r w:rsidRPr="009C672B">
        <w:t>Frequently Asked Questions (Sık Sorulan Sorular)</w:t>
      </w:r>
    </w:p>
    <w:p w:rsidR="0044255F" w:rsidRPr="009C672B" w:rsidRDefault="0044255F" w:rsidP="009C672B">
      <w:pPr>
        <w:spacing w:line="360" w:lineRule="auto"/>
        <w:ind w:left="1440" w:hanging="1440"/>
      </w:pPr>
      <w:r w:rsidRPr="009C672B">
        <w:rPr>
          <w:b/>
          <w:bCs/>
        </w:rPr>
        <w:t>FAO</w:t>
      </w:r>
      <w:r w:rsidRPr="009C672B">
        <w:rPr>
          <w:b/>
          <w:bCs/>
        </w:rPr>
        <w:tab/>
        <w:t xml:space="preserve">: </w:t>
      </w:r>
      <w:r w:rsidRPr="009C672B">
        <w:t>Food and Agriculture Organization (Birleşmiş Milletler Gıda ve Tarım Örgütü)</w:t>
      </w:r>
      <w:r w:rsidR="00C42974" w:rsidRPr="00C42974">
        <w:t xml:space="preserve"> </w:t>
      </w:r>
    </w:p>
    <w:p w:rsidR="0044255F" w:rsidRPr="009C672B" w:rsidRDefault="0044255F" w:rsidP="009C672B">
      <w:pPr>
        <w:spacing w:line="360" w:lineRule="auto"/>
      </w:pPr>
      <w:r w:rsidRPr="009C672B">
        <w:rPr>
          <w:b/>
          <w:bCs/>
        </w:rPr>
        <w:t>Gg</w:t>
      </w:r>
      <w:r w:rsidRPr="009C672B">
        <w:rPr>
          <w:b/>
          <w:bCs/>
        </w:rPr>
        <w:tab/>
      </w:r>
      <w:r w:rsidRPr="009C672B">
        <w:rPr>
          <w:b/>
          <w:bCs/>
        </w:rPr>
        <w:tab/>
        <w:t xml:space="preserve">: </w:t>
      </w:r>
      <w:r w:rsidRPr="009C672B">
        <w:t>Giga Gram (Milyar Gram, Bin Ton)</w:t>
      </w:r>
    </w:p>
    <w:p w:rsidR="0044255F" w:rsidRPr="009C672B" w:rsidRDefault="0044255F" w:rsidP="009C672B">
      <w:pPr>
        <w:spacing w:line="360" w:lineRule="auto"/>
      </w:pPr>
      <w:r w:rsidRPr="009C672B">
        <w:rPr>
          <w:b/>
          <w:bCs/>
        </w:rPr>
        <w:t>GSYİH</w:t>
      </w:r>
      <w:r w:rsidRPr="009C672B">
        <w:rPr>
          <w:b/>
          <w:bCs/>
        </w:rPr>
        <w:tab/>
        <w:t xml:space="preserve">: </w:t>
      </w:r>
      <w:r w:rsidRPr="009C672B">
        <w:t>Gayri Safi Yurtiçi Hasıla</w:t>
      </w:r>
    </w:p>
    <w:p w:rsidR="0044255F" w:rsidRPr="009C672B" w:rsidRDefault="0044255F" w:rsidP="009C672B">
      <w:pPr>
        <w:spacing w:line="360" w:lineRule="auto"/>
        <w:rPr>
          <w:b/>
          <w:bCs/>
        </w:rPr>
      </w:pPr>
      <w:r w:rsidRPr="009C672B">
        <w:rPr>
          <w:b/>
          <w:bCs/>
        </w:rPr>
        <w:t>Gt</w:t>
      </w:r>
      <w:r w:rsidRPr="009C672B">
        <w:rPr>
          <w:b/>
          <w:bCs/>
        </w:rPr>
        <w:tab/>
      </w:r>
      <w:r w:rsidRPr="009C672B">
        <w:rPr>
          <w:b/>
          <w:bCs/>
        </w:rPr>
        <w:tab/>
        <w:t xml:space="preserve">: </w:t>
      </w:r>
      <w:r w:rsidRPr="009C672B">
        <w:t>Giga Ton</w:t>
      </w:r>
    </w:p>
    <w:p w:rsidR="0044255F" w:rsidRPr="009C672B" w:rsidRDefault="0044255F" w:rsidP="009C672B">
      <w:pPr>
        <w:spacing w:line="360" w:lineRule="auto"/>
        <w:rPr>
          <w:b/>
          <w:bCs/>
        </w:rPr>
      </w:pPr>
      <w:r w:rsidRPr="009C672B">
        <w:rPr>
          <w:b/>
          <w:bCs/>
        </w:rPr>
        <w:t>GtCO2</w:t>
      </w:r>
      <w:r w:rsidRPr="009C672B">
        <w:rPr>
          <w:b/>
          <w:bCs/>
        </w:rPr>
        <w:tab/>
        <w:t xml:space="preserve">: </w:t>
      </w:r>
      <w:r w:rsidRPr="009C672B">
        <w:t>Giga Ton Karbondioksit</w:t>
      </w:r>
    </w:p>
    <w:p w:rsidR="0044255F" w:rsidRDefault="0044255F" w:rsidP="009C672B">
      <w:pPr>
        <w:spacing w:line="360" w:lineRule="auto"/>
      </w:pPr>
      <w:r w:rsidRPr="009C672B">
        <w:rPr>
          <w:b/>
          <w:bCs/>
        </w:rPr>
        <w:t>GW</w:t>
      </w:r>
      <w:r w:rsidRPr="009C672B">
        <w:rPr>
          <w:b/>
          <w:bCs/>
        </w:rPr>
        <w:tab/>
      </w:r>
      <w:r w:rsidRPr="009C672B">
        <w:rPr>
          <w:b/>
          <w:bCs/>
        </w:rPr>
        <w:tab/>
        <w:t xml:space="preserve">: </w:t>
      </w:r>
      <w:r w:rsidRPr="009C672B">
        <w:t>Giga watt</w:t>
      </w:r>
    </w:p>
    <w:p w:rsidR="00E0243A" w:rsidRPr="00E0243A" w:rsidRDefault="00E0243A" w:rsidP="009C672B">
      <w:pPr>
        <w:spacing w:line="360" w:lineRule="auto"/>
      </w:pPr>
      <w:r w:rsidRPr="00E0243A">
        <w:rPr>
          <w:b/>
        </w:rPr>
        <w:t>H</w:t>
      </w:r>
      <w:r w:rsidRPr="00E0243A">
        <w:rPr>
          <w:b/>
          <w:vertAlign w:val="subscript"/>
        </w:rPr>
        <w:t>2</w:t>
      </w:r>
      <w:r w:rsidRPr="00E0243A">
        <w:rPr>
          <w:b/>
        </w:rPr>
        <w:t>O:</w:t>
      </w:r>
      <w:r>
        <w:rPr>
          <w:b/>
        </w:rPr>
        <w:tab/>
      </w:r>
      <w:r>
        <w:rPr>
          <w:b/>
        </w:rPr>
        <w:tab/>
      </w:r>
      <w:r w:rsidRPr="00E0243A">
        <w:t>: Su</w:t>
      </w:r>
    </w:p>
    <w:p w:rsidR="0044255F" w:rsidRPr="009C672B" w:rsidRDefault="0044255F" w:rsidP="009C672B">
      <w:pPr>
        <w:spacing w:line="360" w:lineRule="auto"/>
      </w:pPr>
      <w:r w:rsidRPr="009C672B">
        <w:rPr>
          <w:b/>
          <w:bCs/>
        </w:rPr>
        <w:t>HFC</w:t>
      </w:r>
      <w:r w:rsidRPr="009C672B">
        <w:rPr>
          <w:b/>
          <w:bCs/>
        </w:rPr>
        <w:tab/>
      </w:r>
      <w:r w:rsidRPr="009C672B">
        <w:rPr>
          <w:b/>
          <w:bCs/>
        </w:rPr>
        <w:tab/>
        <w:t xml:space="preserve">: </w:t>
      </w:r>
      <w:r w:rsidRPr="009C672B">
        <w:t>Hidroflorokarbon</w:t>
      </w:r>
    </w:p>
    <w:p w:rsidR="0044255F" w:rsidRPr="009C672B" w:rsidRDefault="0044255F" w:rsidP="009C672B">
      <w:pPr>
        <w:spacing w:line="360" w:lineRule="auto"/>
      </w:pPr>
      <w:r w:rsidRPr="009C672B">
        <w:rPr>
          <w:b/>
          <w:bCs/>
        </w:rPr>
        <w:t>IEA</w:t>
      </w:r>
      <w:r w:rsidRPr="009C672B">
        <w:rPr>
          <w:b/>
          <w:bCs/>
        </w:rPr>
        <w:tab/>
      </w:r>
      <w:r w:rsidRPr="009C672B">
        <w:rPr>
          <w:b/>
          <w:bCs/>
        </w:rPr>
        <w:tab/>
        <w:t xml:space="preserve">: </w:t>
      </w:r>
      <w:r w:rsidRPr="009C672B">
        <w:t>International Energy Agency (Uluslararası Enerji Ajansı)</w:t>
      </w:r>
    </w:p>
    <w:p w:rsidR="0044255F" w:rsidRPr="009C672B" w:rsidRDefault="0044255F" w:rsidP="009C672B">
      <w:pPr>
        <w:spacing w:line="360" w:lineRule="auto"/>
        <w:ind w:left="1440" w:hanging="1440"/>
      </w:pPr>
      <w:r w:rsidRPr="009C672B">
        <w:rPr>
          <w:b/>
          <w:bCs/>
        </w:rPr>
        <w:t>IPCC</w:t>
      </w:r>
      <w:r w:rsidRPr="009C672B">
        <w:rPr>
          <w:b/>
          <w:bCs/>
        </w:rPr>
        <w:tab/>
        <w:t xml:space="preserve">: </w:t>
      </w:r>
      <w:r w:rsidRPr="009C672B">
        <w:t>Intergovernmental Panel on Climate Change (Hükümetlerarası İklim Değişikliği Paneli)</w:t>
      </w:r>
    </w:p>
    <w:p w:rsidR="0044255F" w:rsidRDefault="0044255F" w:rsidP="009C672B">
      <w:pPr>
        <w:spacing w:line="360" w:lineRule="auto"/>
      </w:pPr>
      <w:r w:rsidRPr="009C672B">
        <w:rPr>
          <w:b/>
          <w:bCs/>
        </w:rPr>
        <w:t>İDÇS</w:t>
      </w:r>
      <w:r w:rsidRPr="009C672B">
        <w:rPr>
          <w:b/>
          <w:bCs/>
        </w:rPr>
        <w:tab/>
      </w:r>
      <w:r w:rsidRPr="009C672B">
        <w:rPr>
          <w:b/>
          <w:bCs/>
        </w:rPr>
        <w:tab/>
        <w:t xml:space="preserve">: </w:t>
      </w:r>
      <w:r w:rsidRPr="009C672B">
        <w:t>İklim Değişikliği Çerçeve Sözleşmesi</w:t>
      </w:r>
    </w:p>
    <w:p w:rsidR="003E4185" w:rsidRPr="009C672B" w:rsidRDefault="003E4185" w:rsidP="009C672B">
      <w:pPr>
        <w:spacing w:line="360" w:lineRule="auto"/>
      </w:pPr>
      <w:r w:rsidRPr="003E4185">
        <w:rPr>
          <w:b/>
        </w:rPr>
        <w:t>İDEP</w:t>
      </w:r>
      <w:r>
        <w:tab/>
      </w:r>
      <w:r>
        <w:tab/>
        <w:t>: İklim Değişikliği Ulusal Eylem Planı</w:t>
      </w:r>
    </w:p>
    <w:p w:rsidR="0044255F" w:rsidRPr="009C672B" w:rsidRDefault="0044255F" w:rsidP="009C672B">
      <w:pPr>
        <w:spacing w:line="360" w:lineRule="auto"/>
      </w:pPr>
      <w:r w:rsidRPr="009C672B">
        <w:rPr>
          <w:b/>
          <w:bCs/>
        </w:rPr>
        <w:t>İDKK</w:t>
      </w:r>
      <w:r w:rsidRPr="009C672B">
        <w:rPr>
          <w:b/>
          <w:bCs/>
        </w:rPr>
        <w:tab/>
      </w:r>
      <w:r w:rsidRPr="009C672B">
        <w:rPr>
          <w:b/>
          <w:bCs/>
        </w:rPr>
        <w:tab/>
        <w:t xml:space="preserve">: </w:t>
      </w:r>
      <w:r w:rsidRPr="009C672B">
        <w:t>İklim Değişikliği Koordinasyon Kurulu</w:t>
      </w:r>
    </w:p>
    <w:p w:rsidR="0044255F" w:rsidRPr="009C672B" w:rsidRDefault="0044255F" w:rsidP="009C672B">
      <w:pPr>
        <w:spacing w:line="360" w:lineRule="auto"/>
      </w:pPr>
      <w:r w:rsidRPr="009C672B">
        <w:rPr>
          <w:b/>
          <w:bCs/>
        </w:rPr>
        <w:t>JI</w:t>
      </w:r>
      <w:r w:rsidRPr="009C672B">
        <w:rPr>
          <w:b/>
          <w:bCs/>
        </w:rPr>
        <w:tab/>
      </w:r>
      <w:r w:rsidRPr="009C672B">
        <w:rPr>
          <w:b/>
          <w:bCs/>
        </w:rPr>
        <w:tab/>
        <w:t xml:space="preserve">: </w:t>
      </w:r>
      <w:r w:rsidRPr="009C672B">
        <w:t>Joint Implementation (Ortak Yürütme)</w:t>
      </w:r>
    </w:p>
    <w:p w:rsidR="0044255F" w:rsidRPr="009C672B" w:rsidRDefault="0044255F" w:rsidP="009C672B">
      <w:pPr>
        <w:spacing w:line="360" w:lineRule="auto"/>
      </w:pPr>
      <w:r w:rsidRPr="009C672B">
        <w:rPr>
          <w:b/>
          <w:bCs/>
        </w:rPr>
        <w:t>KP</w:t>
      </w:r>
      <w:r w:rsidRPr="009C672B">
        <w:rPr>
          <w:b/>
          <w:bCs/>
        </w:rPr>
        <w:tab/>
      </w:r>
      <w:r w:rsidRPr="009C672B">
        <w:rPr>
          <w:b/>
          <w:bCs/>
        </w:rPr>
        <w:tab/>
        <w:t xml:space="preserve">: </w:t>
      </w:r>
      <w:r w:rsidRPr="009C672B">
        <w:t>Kyoto Protokolü</w:t>
      </w:r>
    </w:p>
    <w:p w:rsidR="0044255F" w:rsidRPr="009C672B" w:rsidRDefault="0044255F" w:rsidP="009C672B">
      <w:pPr>
        <w:spacing w:line="360" w:lineRule="auto"/>
      </w:pPr>
      <w:r w:rsidRPr="009C672B">
        <w:rPr>
          <w:b/>
          <w:bCs/>
        </w:rPr>
        <w:t>KPEM</w:t>
      </w:r>
      <w:r w:rsidRPr="009C672B">
        <w:rPr>
          <w:b/>
          <w:bCs/>
        </w:rPr>
        <w:tab/>
        <w:t xml:space="preserve">: </w:t>
      </w:r>
      <w:r w:rsidRPr="009C672B">
        <w:t>Kyoto Protokolü Esneklik Mekanizmaları</w:t>
      </w:r>
    </w:p>
    <w:p w:rsidR="0044255F" w:rsidRPr="009C672B" w:rsidRDefault="0044255F" w:rsidP="009C672B">
      <w:pPr>
        <w:spacing w:line="360" w:lineRule="auto"/>
      </w:pPr>
      <w:r w:rsidRPr="009C672B">
        <w:rPr>
          <w:b/>
          <w:bCs/>
        </w:rPr>
        <w:t>KV</w:t>
      </w:r>
      <w:r w:rsidRPr="009C672B">
        <w:rPr>
          <w:b/>
          <w:bCs/>
        </w:rPr>
        <w:tab/>
      </w:r>
      <w:r w:rsidRPr="009C672B">
        <w:rPr>
          <w:b/>
          <w:bCs/>
        </w:rPr>
        <w:tab/>
        <w:t xml:space="preserve">: </w:t>
      </w:r>
      <w:r w:rsidRPr="009C672B">
        <w:t xml:space="preserve">Karbon Vergisi </w:t>
      </w:r>
    </w:p>
    <w:p w:rsidR="0044255F" w:rsidRPr="009C672B" w:rsidRDefault="0044255F" w:rsidP="009C672B">
      <w:pPr>
        <w:spacing w:line="360" w:lineRule="auto"/>
      </w:pPr>
      <w:r w:rsidRPr="009C672B">
        <w:rPr>
          <w:b/>
          <w:bCs/>
        </w:rPr>
        <w:t>KWES</w:t>
      </w:r>
      <w:r w:rsidRPr="009C672B">
        <w:rPr>
          <w:b/>
          <w:bCs/>
        </w:rPr>
        <w:tab/>
        <w:t xml:space="preserve">: </w:t>
      </w:r>
      <w:r w:rsidRPr="009C672B">
        <w:t>Key Word Energy Statistics (Enerji İstatistikleri Anahtar Sözcükler)</w:t>
      </w:r>
    </w:p>
    <w:p w:rsidR="0044255F" w:rsidRPr="009C672B" w:rsidRDefault="0044255F" w:rsidP="009C672B">
      <w:pPr>
        <w:spacing w:line="360" w:lineRule="auto"/>
      </w:pPr>
      <w:r w:rsidRPr="009C672B">
        <w:rPr>
          <w:b/>
          <w:bCs/>
        </w:rPr>
        <w:t>LPG</w:t>
      </w:r>
      <w:r w:rsidRPr="009C672B">
        <w:rPr>
          <w:b/>
          <w:bCs/>
        </w:rPr>
        <w:tab/>
      </w:r>
      <w:r w:rsidRPr="009C672B">
        <w:rPr>
          <w:b/>
          <w:bCs/>
        </w:rPr>
        <w:tab/>
        <w:t xml:space="preserve">: </w:t>
      </w:r>
      <w:r w:rsidRPr="009C672B">
        <w:t>Likit Petrol Gazı</w:t>
      </w:r>
    </w:p>
    <w:p w:rsidR="0044255F" w:rsidRPr="009C672B" w:rsidRDefault="0044255F" w:rsidP="009C672B">
      <w:pPr>
        <w:spacing w:line="360" w:lineRule="auto"/>
        <w:ind w:left="1560" w:hanging="1560"/>
      </w:pPr>
      <w:proofErr w:type="gramStart"/>
      <w:r w:rsidRPr="009C672B">
        <w:rPr>
          <w:b/>
          <w:bCs/>
        </w:rPr>
        <w:lastRenderedPageBreak/>
        <w:t xml:space="preserve">LULUCF       : </w:t>
      </w:r>
      <w:r w:rsidRPr="009C672B">
        <w:t>Land</w:t>
      </w:r>
      <w:proofErr w:type="gramEnd"/>
      <w:r w:rsidRPr="009C672B">
        <w:t xml:space="preserve"> Use Land Use Change and Forestry (Arazi Kullanımı, Arazi Kullanım Değişikliği ve Ormancılık)</w:t>
      </w:r>
    </w:p>
    <w:p w:rsidR="0044255F" w:rsidRPr="009C672B" w:rsidRDefault="0044255F" w:rsidP="009C672B">
      <w:pPr>
        <w:spacing w:line="360" w:lineRule="auto"/>
        <w:rPr>
          <w:b/>
          <w:bCs/>
        </w:rPr>
      </w:pPr>
      <w:r w:rsidRPr="009C672B">
        <w:rPr>
          <w:b/>
          <w:bCs/>
        </w:rPr>
        <w:t>MAC</w:t>
      </w:r>
      <w:r w:rsidRPr="009C672B">
        <w:rPr>
          <w:b/>
          <w:bCs/>
        </w:rPr>
        <w:tab/>
      </w:r>
      <w:r w:rsidRPr="009C672B">
        <w:rPr>
          <w:b/>
          <w:bCs/>
        </w:rPr>
        <w:tab/>
        <w:t xml:space="preserve">: </w:t>
      </w:r>
      <w:r w:rsidRPr="009C672B">
        <w:t>Marginal Abatement Cost (Marjinal Azaltım Maliyeti)</w:t>
      </w:r>
    </w:p>
    <w:p w:rsidR="0044255F" w:rsidRPr="009C672B" w:rsidRDefault="0044255F" w:rsidP="009C672B">
      <w:pPr>
        <w:spacing w:line="360" w:lineRule="auto"/>
        <w:ind w:left="1410" w:hanging="1410"/>
        <w:rPr>
          <w:b/>
          <w:bCs/>
        </w:rPr>
      </w:pPr>
      <w:r w:rsidRPr="009C672B">
        <w:rPr>
          <w:b/>
          <w:bCs/>
        </w:rPr>
        <w:t>MAED</w:t>
      </w:r>
      <w:r w:rsidRPr="009C672B">
        <w:rPr>
          <w:b/>
          <w:bCs/>
        </w:rPr>
        <w:tab/>
        <w:t xml:space="preserve">: </w:t>
      </w:r>
      <w:r w:rsidRPr="009C672B">
        <w:t>Model for Analysis of the Energy Demand (Enerji Talebi Analizi Modeli)</w:t>
      </w:r>
    </w:p>
    <w:p w:rsidR="0044255F" w:rsidRPr="009C672B" w:rsidRDefault="0044255F" w:rsidP="009C672B">
      <w:pPr>
        <w:spacing w:line="360" w:lineRule="auto"/>
        <w:ind w:left="1440" w:hanging="1440"/>
      </w:pPr>
      <w:r w:rsidRPr="009C672B">
        <w:rPr>
          <w:b/>
          <w:bCs/>
        </w:rPr>
        <w:t>MİO</w:t>
      </w:r>
      <w:r w:rsidRPr="009C672B">
        <w:rPr>
          <w:b/>
          <w:bCs/>
        </w:rPr>
        <w:tab/>
        <w:t xml:space="preserve">: </w:t>
      </w:r>
      <w:r w:rsidR="001A6EBE">
        <w:t>Marjinal İkame Oranı</w:t>
      </w:r>
      <w:r w:rsidRPr="009C672B">
        <w:t xml:space="preserve"> (Marginal Rate of Substitution, MRS)</w:t>
      </w:r>
    </w:p>
    <w:p w:rsidR="0044255F" w:rsidRPr="009C672B" w:rsidRDefault="0044255F" w:rsidP="009C672B">
      <w:pPr>
        <w:spacing w:line="360" w:lineRule="auto"/>
        <w:ind w:left="1440" w:hanging="1440"/>
      </w:pPr>
      <w:r w:rsidRPr="009C672B">
        <w:rPr>
          <w:b/>
          <w:bCs/>
        </w:rPr>
        <w:t>MIT</w:t>
      </w:r>
      <w:r w:rsidRPr="009C672B">
        <w:rPr>
          <w:b/>
          <w:bCs/>
        </w:rPr>
        <w:tab/>
        <w:t xml:space="preserve">: </w:t>
      </w:r>
      <w:r w:rsidRPr="009C672B">
        <w:t>Massachussets Institute of Technology (Massachussets Teknoloji Enstitüsü)</w:t>
      </w:r>
    </w:p>
    <w:p w:rsidR="0044255F" w:rsidRPr="009C672B" w:rsidRDefault="0044255F" w:rsidP="009C672B">
      <w:pPr>
        <w:spacing w:line="360" w:lineRule="auto"/>
        <w:rPr>
          <w:b/>
          <w:bCs/>
        </w:rPr>
      </w:pPr>
      <w:r w:rsidRPr="009C672B">
        <w:rPr>
          <w:b/>
          <w:bCs/>
        </w:rPr>
        <w:t>Mt</w:t>
      </w:r>
      <w:r w:rsidRPr="009C672B">
        <w:rPr>
          <w:b/>
          <w:bCs/>
        </w:rPr>
        <w:tab/>
      </w:r>
      <w:r w:rsidRPr="009C672B">
        <w:rPr>
          <w:b/>
          <w:bCs/>
        </w:rPr>
        <w:tab/>
        <w:t xml:space="preserve">: </w:t>
      </w:r>
      <w:r w:rsidRPr="009C672B">
        <w:t>Milyon ton</w:t>
      </w:r>
    </w:p>
    <w:p w:rsidR="0044255F" w:rsidRPr="009C672B" w:rsidRDefault="0044255F" w:rsidP="009C672B">
      <w:pPr>
        <w:spacing w:line="360" w:lineRule="auto"/>
      </w:pPr>
      <w:r w:rsidRPr="009C672B">
        <w:rPr>
          <w:b/>
          <w:bCs/>
        </w:rPr>
        <w:t>Mt CO</w:t>
      </w:r>
      <w:r w:rsidRPr="009C672B">
        <w:rPr>
          <w:b/>
          <w:bCs/>
          <w:vertAlign w:val="subscript"/>
        </w:rPr>
        <w:t>2</w:t>
      </w:r>
      <w:r w:rsidRPr="009C672B">
        <w:rPr>
          <w:b/>
          <w:bCs/>
        </w:rPr>
        <w:t>e</w:t>
      </w:r>
      <w:r w:rsidRPr="009C672B">
        <w:rPr>
          <w:b/>
          <w:bCs/>
        </w:rPr>
        <w:tab/>
        <w:t>:</w:t>
      </w:r>
      <w:r w:rsidRPr="009C672B">
        <w:t xml:space="preserve"> Milyon Ton Karbondioksit Eşdeğeri</w:t>
      </w:r>
    </w:p>
    <w:p w:rsidR="0044255F" w:rsidRDefault="0044255F" w:rsidP="009C672B">
      <w:pPr>
        <w:spacing w:line="360" w:lineRule="auto"/>
      </w:pPr>
      <w:r w:rsidRPr="009C672B">
        <w:rPr>
          <w:b/>
          <w:bCs/>
        </w:rPr>
        <w:t>Mt CO</w:t>
      </w:r>
      <w:r w:rsidRPr="009C672B">
        <w:rPr>
          <w:b/>
          <w:bCs/>
          <w:vertAlign w:val="subscript"/>
        </w:rPr>
        <w:t>2</w:t>
      </w:r>
      <w:r w:rsidRPr="009C672B">
        <w:rPr>
          <w:b/>
          <w:bCs/>
        </w:rPr>
        <w:tab/>
        <w:t xml:space="preserve">: </w:t>
      </w:r>
      <w:r w:rsidRPr="009C672B">
        <w:t>Milyon Ton Karbondioksit</w:t>
      </w:r>
    </w:p>
    <w:p w:rsidR="003367F4" w:rsidRPr="009C672B" w:rsidRDefault="003367F4" w:rsidP="009C672B">
      <w:pPr>
        <w:spacing w:line="360" w:lineRule="auto"/>
      </w:pPr>
      <w:r w:rsidRPr="003367F4">
        <w:rPr>
          <w:b/>
        </w:rPr>
        <w:t>Mtep</w:t>
      </w:r>
      <w:r w:rsidRPr="003367F4">
        <w:rPr>
          <w:b/>
        </w:rPr>
        <w:tab/>
      </w:r>
      <w:r>
        <w:tab/>
        <w:t>: Milyon Ton Eşdeğeri Petrol</w:t>
      </w:r>
    </w:p>
    <w:p w:rsidR="0044255F" w:rsidRPr="009C672B" w:rsidRDefault="0044255F" w:rsidP="009C672B">
      <w:pPr>
        <w:spacing w:line="360" w:lineRule="auto"/>
        <w:ind w:left="1410" w:hanging="1410"/>
      </w:pPr>
      <w:r w:rsidRPr="009C672B">
        <w:rPr>
          <w:b/>
          <w:bCs/>
        </w:rPr>
        <w:t>MTİO</w:t>
      </w:r>
      <w:r w:rsidRPr="009C672B">
        <w:rPr>
          <w:b/>
          <w:bCs/>
        </w:rPr>
        <w:tab/>
      </w:r>
      <w:r w:rsidRPr="009C672B">
        <w:rPr>
          <w:b/>
          <w:bCs/>
        </w:rPr>
        <w:tab/>
        <w:t xml:space="preserve">: </w:t>
      </w:r>
      <w:r w:rsidR="001A6EBE">
        <w:t>Marjinal Teknik İkame Oranı</w:t>
      </w:r>
      <w:r w:rsidRPr="009C672B">
        <w:t xml:space="preserve"> (Marginal Rate of Technical Substitution, MRTS)</w:t>
      </w:r>
    </w:p>
    <w:p w:rsidR="0044255F" w:rsidRPr="009C672B" w:rsidRDefault="0044255F" w:rsidP="009C672B">
      <w:pPr>
        <w:spacing w:line="360" w:lineRule="auto"/>
      </w:pPr>
      <w:r w:rsidRPr="009C672B">
        <w:rPr>
          <w:b/>
          <w:bCs/>
        </w:rPr>
        <w:t>Mtoe</w:t>
      </w:r>
      <w:r w:rsidRPr="009C672B">
        <w:rPr>
          <w:b/>
          <w:bCs/>
        </w:rPr>
        <w:tab/>
      </w:r>
      <w:r w:rsidRPr="009C672B">
        <w:rPr>
          <w:b/>
          <w:bCs/>
        </w:rPr>
        <w:tab/>
        <w:t xml:space="preserve">: </w:t>
      </w:r>
      <w:r w:rsidR="00897A09">
        <w:t>Million T</w:t>
      </w:r>
      <w:r w:rsidRPr="009C672B">
        <w:t xml:space="preserve">onnes </w:t>
      </w:r>
      <w:r w:rsidR="00897A09">
        <w:t>O</w:t>
      </w:r>
      <w:r w:rsidRPr="009C672B">
        <w:t xml:space="preserve">il </w:t>
      </w:r>
      <w:r w:rsidR="00897A09">
        <w:t>Equivalant (Milyon T</w:t>
      </w:r>
      <w:r w:rsidRPr="009C672B">
        <w:t xml:space="preserve">on </w:t>
      </w:r>
      <w:r w:rsidR="00897A09">
        <w:t>P</w:t>
      </w:r>
      <w:r w:rsidRPr="009C672B">
        <w:t xml:space="preserve">etrol </w:t>
      </w:r>
      <w:r w:rsidR="00897A09">
        <w:t>E</w:t>
      </w:r>
      <w:r w:rsidRPr="009C672B">
        <w:t>şdeğeri)</w:t>
      </w:r>
    </w:p>
    <w:p w:rsidR="0044255F" w:rsidRPr="009C672B" w:rsidRDefault="0044255F" w:rsidP="009C672B">
      <w:pPr>
        <w:spacing w:line="360" w:lineRule="auto"/>
      </w:pPr>
      <w:r w:rsidRPr="009C672B">
        <w:rPr>
          <w:b/>
          <w:bCs/>
        </w:rPr>
        <w:t>MW</w:t>
      </w:r>
      <w:r w:rsidRPr="009C672B">
        <w:rPr>
          <w:b/>
          <w:bCs/>
        </w:rPr>
        <w:tab/>
      </w:r>
      <w:r w:rsidRPr="009C672B">
        <w:rPr>
          <w:b/>
          <w:bCs/>
        </w:rPr>
        <w:tab/>
        <w:t xml:space="preserve">: </w:t>
      </w:r>
      <w:r w:rsidR="00897A09">
        <w:t>Mega W</w:t>
      </w:r>
      <w:r w:rsidRPr="009C672B">
        <w:t>att</w:t>
      </w:r>
    </w:p>
    <w:p w:rsidR="0044255F" w:rsidRPr="009C672B" w:rsidRDefault="0044255F" w:rsidP="009C672B">
      <w:pPr>
        <w:spacing w:line="360" w:lineRule="auto"/>
        <w:ind w:left="1410" w:hanging="1410"/>
        <w:rPr>
          <w:b/>
          <w:bCs/>
        </w:rPr>
      </w:pPr>
      <w:r w:rsidRPr="009C672B">
        <w:rPr>
          <w:b/>
          <w:bCs/>
        </w:rPr>
        <w:t>NAMA</w:t>
      </w:r>
      <w:r w:rsidRPr="009C672B">
        <w:rPr>
          <w:b/>
          <w:bCs/>
        </w:rPr>
        <w:tab/>
        <w:t xml:space="preserve">: </w:t>
      </w:r>
      <w:r w:rsidRPr="009C672B">
        <w:rPr>
          <w:lang w:val="da-DK"/>
        </w:rPr>
        <w:t xml:space="preserve">Nationally Appropriate Mitigation Actions </w:t>
      </w:r>
      <w:r w:rsidRPr="009C672B">
        <w:t>(</w:t>
      </w:r>
      <w:r w:rsidRPr="009C672B">
        <w:rPr>
          <w:lang w:val="da-DK"/>
        </w:rPr>
        <w:t>Ulusal Programlara Uygun Azaltım Faaliyetleri</w:t>
      </w:r>
      <w:r w:rsidRPr="009C672B">
        <w:t>)</w:t>
      </w:r>
    </w:p>
    <w:p w:rsidR="0044255F" w:rsidRDefault="0044255F" w:rsidP="009C672B">
      <w:pPr>
        <w:spacing w:line="360" w:lineRule="auto"/>
      </w:pPr>
      <w:r w:rsidRPr="009C672B">
        <w:rPr>
          <w:b/>
          <w:bCs/>
        </w:rPr>
        <w:t>NAP</w:t>
      </w:r>
      <w:r w:rsidRPr="009C672B">
        <w:rPr>
          <w:b/>
          <w:bCs/>
        </w:rPr>
        <w:tab/>
      </w:r>
      <w:r w:rsidRPr="009C672B">
        <w:rPr>
          <w:b/>
          <w:bCs/>
        </w:rPr>
        <w:tab/>
        <w:t xml:space="preserve">: </w:t>
      </w:r>
      <w:r w:rsidRPr="009C672B">
        <w:t>National Allocation Plan (Ulusal Taahhüt Planı)</w:t>
      </w:r>
    </w:p>
    <w:p w:rsidR="0066476C" w:rsidRPr="009C672B" w:rsidRDefault="0066476C" w:rsidP="009C672B">
      <w:pPr>
        <w:spacing w:line="360" w:lineRule="auto"/>
        <w:rPr>
          <w:b/>
          <w:bCs/>
        </w:rPr>
      </w:pPr>
      <w:r w:rsidRPr="00E67392">
        <w:rPr>
          <w:b/>
        </w:rPr>
        <w:t>NIR</w:t>
      </w:r>
      <w:r>
        <w:tab/>
      </w:r>
      <w:r>
        <w:tab/>
        <w:t xml:space="preserve">: Ulusal </w:t>
      </w:r>
      <w:r w:rsidR="00E67392">
        <w:t>Envanter Raporu</w:t>
      </w:r>
    </w:p>
    <w:p w:rsidR="0044255F" w:rsidRPr="009C672B" w:rsidRDefault="0044255F" w:rsidP="009C672B">
      <w:pPr>
        <w:spacing w:line="360" w:lineRule="auto"/>
      </w:pPr>
      <w:r w:rsidRPr="009C672B">
        <w:rPr>
          <w:b/>
          <w:bCs/>
        </w:rPr>
        <w:t>NO</w:t>
      </w:r>
      <w:r w:rsidRPr="009C672B">
        <w:rPr>
          <w:b/>
          <w:bCs/>
        </w:rPr>
        <w:tab/>
      </w:r>
      <w:r w:rsidRPr="009C672B">
        <w:rPr>
          <w:b/>
          <w:bCs/>
        </w:rPr>
        <w:tab/>
        <w:t xml:space="preserve">: </w:t>
      </w:r>
      <w:r w:rsidRPr="009C672B">
        <w:t>Azotmonoksit</w:t>
      </w:r>
    </w:p>
    <w:p w:rsidR="0044255F" w:rsidRPr="009C672B" w:rsidRDefault="0044255F" w:rsidP="009C672B">
      <w:pPr>
        <w:spacing w:line="360" w:lineRule="auto"/>
      </w:pPr>
      <w:r w:rsidRPr="009C672B">
        <w:rPr>
          <w:b/>
          <w:bCs/>
        </w:rPr>
        <w:t>N</w:t>
      </w:r>
      <w:r w:rsidRPr="009C672B">
        <w:rPr>
          <w:b/>
          <w:bCs/>
          <w:vertAlign w:val="subscript"/>
        </w:rPr>
        <w:t>2</w:t>
      </w:r>
      <w:r w:rsidRPr="009C672B">
        <w:rPr>
          <w:b/>
          <w:bCs/>
        </w:rPr>
        <w:t>O</w:t>
      </w:r>
      <w:r w:rsidRPr="009C672B">
        <w:rPr>
          <w:b/>
          <w:bCs/>
        </w:rPr>
        <w:tab/>
      </w:r>
      <w:r w:rsidRPr="009C672B">
        <w:rPr>
          <w:b/>
          <w:bCs/>
        </w:rPr>
        <w:tab/>
        <w:t xml:space="preserve">: </w:t>
      </w:r>
      <w:r w:rsidRPr="009C672B">
        <w:t>Diazotmonoksit</w:t>
      </w:r>
    </w:p>
    <w:p w:rsidR="0044255F" w:rsidRPr="009C672B" w:rsidRDefault="0044255F" w:rsidP="009C672B">
      <w:pPr>
        <w:spacing w:line="360" w:lineRule="auto"/>
      </w:pPr>
      <w:r w:rsidRPr="009C672B">
        <w:rPr>
          <w:b/>
          <w:bCs/>
        </w:rPr>
        <w:t>NO</w:t>
      </w:r>
      <w:r w:rsidRPr="009C672B">
        <w:rPr>
          <w:b/>
          <w:bCs/>
          <w:vertAlign w:val="subscript"/>
        </w:rPr>
        <w:t>2</w:t>
      </w:r>
      <w:r w:rsidRPr="009C672B">
        <w:rPr>
          <w:b/>
          <w:bCs/>
        </w:rPr>
        <w:tab/>
      </w:r>
      <w:r w:rsidRPr="009C672B">
        <w:rPr>
          <w:b/>
          <w:bCs/>
        </w:rPr>
        <w:tab/>
        <w:t xml:space="preserve">: </w:t>
      </w:r>
      <w:r w:rsidRPr="009C672B">
        <w:t>Azotdioksit</w:t>
      </w:r>
    </w:p>
    <w:p w:rsidR="0044255F" w:rsidRPr="009C672B" w:rsidRDefault="0044255F" w:rsidP="009C672B">
      <w:pPr>
        <w:spacing w:line="360" w:lineRule="auto"/>
      </w:pPr>
      <w:r w:rsidRPr="009C672B">
        <w:rPr>
          <w:b/>
          <w:bCs/>
        </w:rPr>
        <w:t>NO</w:t>
      </w:r>
      <w:r w:rsidRPr="009C672B">
        <w:rPr>
          <w:b/>
          <w:bCs/>
          <w:vertAlign w:val="subscript"/>
        </w:rPr>
        <w:t>x</w:t>
      </w:r>
      <w:r w:rsidRPr="009C672B">
        <w:rPr>
          <w:b/>
          <w:bCs/>
        </w:rPr>
        <w:tab/>
      </w:r>
      <w:r w:rsidRPr="009C672B">
        <w:rPr>
          <w:b/>
          <w:bCs/>
        </w:rPr>
        <w:tab/>
        <w:t xml:space="preserve">: </w:t>
      </w:r>
      <w:r w:rsidRPr="009C672B">
        <w:t>Azotoksit</w:t>
      </w:r>
    </w:p>
    <w:p w:rsidR="0044255F" w:rsidRPr="009C672B" w:rsidRDefault="0044255F" w:rsidP="009C672B">
      <w:pPr>
        <w:spacing w:line="360" w:lineRule="auto"/>
        <w:ind w:left="1410" w:hanging="1410"/>
      </w:pPr>
      <w:r w:rsidRPr="009C672B">
        <w:rPr>
          <w:b/>
          <w:bCs/>
        </w:rPr>
        <w:t>NSW</w:t>
      </w:r>
      <w:r w:rsidRPr="009C672B">
        <w:rPr>
          <w:b/>
          <w:bCs/>
        </w:rPr>
        <w:tab/>
        <w:t xml:space="preserve">: </w:t>
      </w:r>
      <w:r w:rsidRPr="009C672B">
        <w:t xml:space="preserve">New South Wales </w:t>
      </w:r>
      <w:r w:rsidR="003463A8">
        <w:t>Sera Gazı</w:t>
      </w:r>
      <w:r w:rsidRPr="009C672B">
        <w:t xml:space="preserve"> Azaltımı Planı</w:t>
      </w:r>
    </w:p>
    <w:p w:rsidR="0044255F" w:rsidRPr="009C672B" w:rsidRDefault="0044255F" w:rsidP="009C672B">
      <w:pPr>
        <w:spacing w:line="360" w:lineRule="auto"/>
        <w:ind w:left="1410" w:hanging="1410"/>
      </w:pPr>
      <w:r w:rsidRPr="009C672B">
        <w:rPr>
          <w:b/>
          <w:bCs/>
        </w:rPr>
        <w:t>NZ ETS</w:t>
      </w:r>
      <w:r w:rsidRPr="009C672B">
        <w:rPr>
          <w:b/>
          <w:bCs/>
        </w:rPr>
        <w:tab/>
        <w:t xml:space="preserve">: </w:t>
      </w:r>
      <w:r w:rsidRPr="009C672B">
        <w:t>New Zeland Emission Trading Scheme (Yeni Zelenda Emisyon Ticareti Sistemi)</w:t>
      </w:r>
    </w:p>
    <w:p w:rsidR="0044255F" w:rsidRPr="009C672B" w:rsidRDefault="0044255F" w:rsidP="009C672B">
      <w:pPr>
        <w:spacing w:line="360" w:lineRule="auto"/>
      </w:pPr>
      <w:r w:rsidRPr="009C672B">
        <w:rPr>
          <w:b/>
          <w:bCs/>
        </w:rPr>
        <w:t>O</w:t>
      </w:r>
      <w:r w:rsidRPr="009C672B">
        <w:rPr>
          <w:b/>
          <w:bCs/>
          <w:vertAlign w:val="subscript"/>
        </w:rPr>
        <w:t>3</w:t>
      </w:r>
      <w:r w:rsidRPr="009C672B">
        <w:rPr>
          <w:b/>
          <w:bCs/>
          <w:vertAlign w:val="subscript"/>
        </w:rPr>
        <w:tab/>
      </w:r>
      <w:r w:rsidRPr="009C672B">
        <w:rPr>
          <w:b/>
          <w:bCs/>
          <w:vertAlign w:val="subscript"/>
        </w:rPr>
        <w:tab/>
      </w:r>
      <w:r w:rsidRPr="009C672B">
        <w:rPr>
          <w:b/>
          <w:bCs/>
        </w:rPr>
        <w:t xml:space="preserve">: </w:t>
      </w:r>
      <w:r w:rsidRPr="009C672B">
        <w:t>Ozon</w:t>
      </w:r>
    </w:p>
    <w:p w:rsidR="0044255F" w:rsidRPr="009C672B" w:rsidRDefault="0044255F" w:rsidP="009C672B">
      <w:pPr>
        <w:spacing w:line="360" w:lineRule="auto"/>
        <w:ind w:left="1440" w:hanging="1440"/>
        <w:rPr>
          <w:b/>
          <w:bCs/>
        </w:rPr>
      </w:pPr>
      <w:r w:rsidRPr="009C672B">
        <w:rPr>
          <w:b/>
          <w:bCs/>
        </w:rPr>
        <w:t>OECD</w:t>
      </w:r>
      <w:r w:rsidRPr="009C672B">
        <w:rPr>
          <w:b/>
          <w:bCs/>
        </w:rPr>
        <w:tab/>
        <w:t xml:space="preserve">: </w:t>
      </w:r>
      <w:r w:rsidR="00897A09">
        <w:t>Organisation for Economic Co-O</w:t>
      </w:r>
      <w:r w:rsidRPr="009C672B">
        <w:t>peration and Development (Ekonomik Kalkınma ve İşbirliği Örgütü)</w:t>
      </w:r>
    </w:p>
    <w:p w:rsidR="0044255F" w:rsidRPr="009C672B" w:rsidRDefault="0044255F" w:rsidP="009C672B">
      <w:pPr>
        <w:spacing w:line="360" w:lineRule="auto"/>
        <w:ind w:left="1440" w:hanging="1440"/>
        <w:rPr>
          <w:b/>
          <w:bCs/>
        </w:rPr>
      </w:pPr>
      <w:r w:rsidRPr="009C672B">
        <w:rPr>
          <w:b/>
          <w:bCs/>
        </w:rPr>
        <w:t>OPEC</w:t>
      </w:r>
      <w:r w:rsidRPr="009C672B">
        <w:rPr>
          <w:b/>
          <w:bCs/>
        </w:rPr>
        <w:tab/>
        <w:t xml:space="preserve">: </w:t>
      </w:r>
      <w:r w:rsidRPr="009C672B">
        <w:t>Organization of the Petroleum Exporting Countries (Petrol İhraç Eden Ülkeler)</w:t>
      </w:r>
    </w:p>
    <w:p w:rsidR="0044255F" w:rsidRPr="009C672B" w:rsidRDefault="0044255F" w:rsidP="009C672B">
      <w:pPr>
        <w:spacing w:line="360" w:lineRule="auto"/>
        <w:ind w:left="1440" w:hanging="1440"/>
        <w:rPr>
          <w:b/>
          <w:bCs/>
        </w:rPr>
      </w:pPr>
      <w:r w:rsidRPr="009C672B">
        <w:rPr>
          <w:b/>
          <w:bCs/>
        </w:rPr>
        <w:t>OTC</w:t>
      </w:r>
      <w:r w:rsidRPr="009C672B">
        <w:rPr>
          <w:b/>
          <w:bCs/>
        </w:rPr>
        <w:tab/>
        <w:t xml:space="preserve">: </w:t>
      </w:r>
      <w:r w:rsidRPr="009C672B">
        <w:t>Over the Counter (Tezgah Üstü Piyasalar, Borsa Dışı Alım)</w:t>
      </w:r>
    </w:p>
    <w:p w:rsidR="0044255F" w:rsidRPr="009C672B" w:rsidRDefault="0044255F" w:rsidP="009C672B">
      <w:pPr>
        <w:spacing w:line="360" w:lineRule="auto"/>
      </w:pPr>
      <w:r w:rsidRPr="009C672B">
        <w:rPr>
          <w:b/>
          <w:bCs/>
        </w:rPr>
        <w:t>P1</w:t>
      </w:r>
      <w:r w:rsidRPr="009C672B">
        <w:rPr>
          <w:b/>
          <w:bCs/>
        </w:rPr>
        <w:tab/>
      </w:r>
      <w:r w:rsidRPr="009C672B">
        <w:rPr>
          <w:b/>
          <w:bCs/>
        </w:rPr>
        <w:tab/>
        <w:t xml:space="preserve">: </w:t>
      </w:r>
      <w:r w:rsidRPr="009C672B">
        <w:t>Phase 1 (1. Safha)</w:t>
      </w:r>
    </w:p>
    <w:p w:rsidR="0044255F" w:rsidRPr="009C672B" w:rsidRDefault="0044255F" w:rsidP="009C672B">
      <w:pPr>
        <w:spacing w:line="360" w:lineRule="auto"/>
      </w:pPr>
      <w:r w:rsidRPr="009C672B">
        <w:rPr>
          <w:b/>
          <w:bCs/>
        </w:rPr>
        <w:lastRenderedPageBreak/>
        <w:t>PEGSÜ</w:t>
      </w:r>
      <w:r w:rsidRPr="009C672B">
        <w:rPr>
          <w:b/>
          <w:bCs/>
        </w:rPr>
        <w:tab/>
        <w:t xml:space="preserve">: </w:t>
      </w:r>
      <w:r w:rsidRPr="009C672B">
        <w:t>Pazar Ekonomisine Geçiş Sürecinde Olan Ülkeler</w:t>
      </w:r>
    </w:p>
    <w:p w:rsidR="0044255F" w:rsidRPr="009C672B" w:rsidRDefault="0044255F" w:rsidP="009C672B">
      <w:pPr>
        <w:spacing w:line="360" w:lineRule="auto"/>
      </w:pPr>
      <w:r w:rsidRPr="009C672B">
        <w:rPr>
          <w:b/>
          <w:bCs/>
        </w:rPr>
        <w:t>PFC</w:t>
      </w:r>
      <w:r w:rsidRPr="009C672B">
        <w:rPr>
          <w:b/>
          <w:bCs/>
        </w:rPr>
        <w:tab/>
      </w:r>
      <w:r w:rsidRPr="009C672B">
        <w:rPr>
          <w:b/>
          <w:bCs/>
        </w:rPr>
        <w:tab/>
        <w:t xml:space="preserve">: </w:t>
      </w:r>
      <w:r w:rsidRPr="009C672B">
        <w:t>Perflorokarbon</w:t>
      </w:r>
    </w:p>
    <w:p w:rsidR="0044255F" w:rsidRPr="009C672B" w:rsidRDefault="0044255F" w:rsidP="009C672B">
      <w:pPr>
        <w:spacing w:line="360" w:lineRule="auto"/>
      </w:pPr>
      <w:r w:rsidRPr="009C672B">
        <w:rPr>
          <w:b/>
          <w:bCs/>
        </w:rPr>
        <w:t>Ppb</w:t>
      </w:r>
      <w:r w:rsidRPr="009C672B">
        <w:rPr>
          <w:b/>
          <w:bCs/>
        </w:rPr>
        <w:tab/>
      </w:r>
      <w:r w:rsidRPr="009C672B">
        <w:rPr>
          <w:b/>
          <w:bCs/>
        </w:rPr>
        <w:tab/>
        <w:t xml:space="preserve">: </w:t>
      </w:r>
      <w:r w:rsidRPr="009C672B">
        <w:t>Parts per billion (Milyarda bir)</w:t>
      </w:r>
    </w:p>
    <w:p w:rsidR="0044255F" w:rsidRDefault="0044255F" w:rsidP="009C672B">
      <w:pPr>
        <w:spacing w:line="360" w:lineRule="auto"/>
      </w:pPr>
      <w:r w:rsidRPr="009C672B">
        <w:rPr>
          <w:b/>
          <w:bCs/>
        </w:rPr>
        <w:t>Ppm</w:t>
      </w:r>
      <w:r w:rsidRPr="009C672B">
        <w:rPr>
          <w:b/>
          <w:bCs/>
        </w:rPr>
        <w:tab/>
      </w:r>
      <w:r w:rsidRPr="009C672B">
        <w:rPr>
          <w:b/>
          <w:bCs/>
        </w:rPr>
        <w:tab/>
        <w:t xml:space="preserve">: </w:t>
      </w:r>
      <w:r w:rsidRPr="009C672B">
        <w:t>Parts per million (Milyonda bir)</w:t>
      </w:r>
    </w:p>
    <w:p w:rsidR="004B1A73" w:rsidRPr="009C672B" w:rsidRDefault="004B1A73" w:rsidP="009C672B">
      <w:pPr>
        <w:spacing w:line="360" w:lineRule="auto"/>
        <w:rPr>
          <w:b/>
          <w:bCs/>
        </w:rPr>
      </w:pPr>
      <w:r w:rsidRPr="004B1A73">
        <w:rPr>
          <w:b/>
        </w:rPr>
        <w:t>PRC</w:t>
      </w:r>
      <w:r>
        <w:tab/>
      </w:r>
      <w:r>
        <w:tab/>
        <w:t>: Çin Halk Cumhuriyeti</w:t>
      </w:r>
    </w:p>
    <w:p w:rsidR="0044255F" w:rsidRPr="009C672B" w:rsidRDefault="0044255F" w:rsidP="009C672B">
      <w:pPr>
        <w:spacing w:line="360" w:lineRule="auto"/>
        <w:ind w:left="1410" w:hanging="1410"/>
        <w:rPr>
          <w:b/>
          <w:bCs/>
        </w:rPr>
      </w:pPr>
      <w:r w:rsidRPr="009C672B">
        <w:rPr>
          <w:b/>
          <w:bCs/>
        </w:rPr>
        <w:t>RECLAIM</w:t>
      </w:r>
      <w:r w:rsidRPr="009C672B">
        <w:rPr>
          <w:b/>
          <w:bCs/>
        </w:rPr>
        <w:tab/>
        <w:t xml:space="preserve">: </w:t>
      </w:r>
      <w:r w:rsidRPr="009C672B">
        <w:t>California’s Regional Clean Air Incentive Market (California Bölgesel Temiz Hava Teşvik Piyasası)</w:t>
      </w:r>
    </w:p>
    <w:p w:rsidR="0044255F" w:rsidRPr="009C672B" w:rsidRDefault="0044255F" w:rsidP="009C672B">
      <w:pPr>
        <w:spacing w:line="360" w:lineRule="auto"/>
        <w:ind w:left="1410" w:hanging="1410"/>
        <w:rPr>
          <w:b/>
          <w:bCs/>
        </w:rPr>
      </w:pPr>
      <w:r w:rsidRPr="009C672B">
        <w:rPr>
          <w:b/>
          <w:bCs/>
        </w:rPr>
        <w:t>REDD</w:t>
      </w:r>
      <w:r w:rsidRPr="009C672B">
        <w:rPr>
          <w:b/>
          <w:bCs/>
        </w:rPr>
        <w:tab/>
      </w:r>
      <w:r w:rsidRPr="009C672B">
        <w:rPr>
          <w:b/>
          <w:bCs/>
        </w:rPr>
        <w:tab/>
        <w:t xml:space="preserve">: </w:t>
      </w:r>
      <w:r w:rsidRPr="009C672B">
        <w:t>Reduced Emissions from Deforestation and Degradation (Ormansızlaşma ve Orman Bozulumundan Kaynaklanan Emisyonların Azaltımı)</w:t>
      </w:r>
    </w:p>
    <w:p w:rsidR="0044255F" w:rsidRPr="009C672B" w:rsidRDefault="0044255F" w:rsidP="009C672B">
      <w:pPr>
        <w:spacing w:line="360" w:lineRule="auto"/>
        <w:rPr>
          <w:b/>
          <w:bCs/>
        </w:rPr>
      </w:pPr>
      <w:r w:rsidRPr="009C672B">
        <w:rPr>
          <w:b/>
          <w:bCs/>
        </w:rPr>
        <w:t>RGGI</w:t>
      </w:r>
      <w:r w:rsidRPr="009C672B">
        <w:rPr>
          <w:b/>
          <w:bCs/>
        </w:rPr>
        <w:tab/>
      </w:r>
      <w:r w:rsidRPr="009C672B">
        <w:rPr>
          <w:b/>
          <w:bCs/>
        </w:rPr>
        <w:tab/>
        <w:t xml:space="preserve">: </w:t>
      </w:r>
      <w:r w:rsidRPr="009C672B">
        <w:t xml:space="preserve">Regional Greenhouse Gas Initiative (Bölgesel </w:t>
      </w:r>
      <w:r w:rsidR="003463A8">
        <w:t>Sera Gazı</w:t>
      </w:r>
      <w:r w:rsidRPr="009C672B">
        <w:t xml:space="preserve"> Girişimi)</w:t>
      </w:r>
    </w:p>
    <w:p w:rsidR="0044255F" w:rsidRPr="009C672B" w:rsidRDefault="0044255F" w:rsidP="009C672B">
      <w:pPr>
        <w:spacing w:line="360" w:lineRule="auto"/>
      </w:pPr>
      <w:r w:rsidRPr="009C672B">
        <w:rPr>
          <w:b/>
          <w:bCs/>
        </w:rPr>
        <w:t>RMU</w:t>
      </w:r>
      <w:r w:rsidRPr="009C672B">
        <w:rPr>
          <w:b/>
          <w:bCs/>
        </w:rPr>
        <w:tab/>
      </w:r>
      <w:r w:rsidRPr="009C672B">
        <w:rPr>
          <w:b/>
          <w:bCs/>
        </w:rPr>
        <w:tab/>
        <w:t>:</w:t>
      </w:r>
      <w:r w:rsidRPr="009C672B">
        <w:t xml:space="preserve"> Removal Units (Karbon Uzaklaştırma Birimi)</w:t>
      </w:r>
    </w:p>
    <w:p w:rsidR="0044255F" w:rsidRPr="009C672B" w:rsidRDefault="0044255F" w:rsidP="009C672B">
      <w:pPr>
        <w:spacing w:line="360" w:lineRule="auto"/>
      </w:pPr>
      <w:r w:rsidRPr="009C672B">
        <w:rPr>
          <w:b/>
          <w:bCs/>
        </w:rPr>
        <w:t>SF</w:t>
      </w:r>
      <w:r w:rsidRPr="009C672B">
        <w:rPr>
          <w:b/>
          <w:bCs/>
          <w:vertAlign w:val="subscript"/>
        </w:rPr>
        <w:t>6</w:t>
      </w:r>
      <w:r w:rsidRPr="009C672B">
        <w:rPr>
          <w:b/>
          <w:bCs/>
          <w:vertAlign w:val="subscript"/>
        </w:rPr>
        <w:tab/>
      </w:r>
      <w:r w:rsidRPr="009C672B">
        <w:rPr>
          <w:b/>
          <w:bCs/>
          <w:vertAlign w:val="subscript"/>
        </w:rPr>
        <w:tab/>
      </w:r>
      <w:r w:rsidRPr="009C672B">
        <w:rPr>
          <w:b/>
          <w:bCs/>
        </w:rPr>
        <w:t xml:space="preserve">: </w:t>
      </w:r>
      <w:r w:rsidRPr="009C672B">
        <w:t>Sülfürhekzaflorid</w:t>
      </w:r>
    </w:p>
    <w:p w:rsidR="0044255F" w:rsidRPr="009C672B" w:rsidRDefault="0044255F" w:rsidP="009C672B">
      <w:pPr>
        <w:spacing w:line="360" w:lineRule="auto"/>
      </w:pPr>
      <w:r w:rsidRPr="009C672B">
        <w:rPr>
          <w:b/>
          <w:bCs/>
        </w:rPr>
        <w:t>SHM</w:t>
      </w:r>
      <w:r w:rsidRPr="009C672B">
        <w:rPr>
          <w:b/>
          <w:bCs/>
        </w:rPr>
        <w:tab/>
      </w:r>
      <w:r w:rsidRPr="009C672B">
        <w:rPr>
          <w:b/>
          <w:bCs/>
        </w:rPr>
        <w:tab/>
        <w:t>:</w:t>
      </w:r>
      <w:r w:rsidRPr="009C672B">
        <w:t xml:space="preserve"> Sosyal Hesaplamalar Matrisi</w:t>
      </w:r>
    </w:p>
    <w:p w:rsidR="0044255F" w:rsidRPr="009C672B" w:rsidRDefault="0044255F" w:rsidP="009C672B">
      <w:pPr>
        <w:spacing w:line="360" w:lineRule="auto"/>
      </w:pPr>
      <w:r w:rsidRPr="009C672B">
        <w:rPr>
          <w:b/>
          <w:bCs/>
        </w:rPr>
        <w:t>SO2</w:t>
      </w:r>
      <w:r w:rsidRPr="009C672B">
        <w:rPr>
          <w:b/>
          <w:bCs/>
        </w:rPr>
        <w:tab/>
      </w:r>
      <w:r w:rsidRPr="009C672B">
        <w:rPr>
          <w:b/>
          <w:bCs/>
        </w:rPr>
        <w:tab/>
        <w:t>:</w:t>
      </w:r>
      <w:r w:rsidRPr="009C672B">
        <w:t xml:space="preserve"> Kükürtdioksit</w:t>
      </w:r>
    </w:p>
    <w:p w:rsidR="0044255F" w:rsidRPr="009C672B" w:rsidRDefault="0044255F" w:rsidP="009C672B">
      <w:pPr>
        <w:spacing w:line="360" w:lineRule="auto"/>
        <w:ind w:left="1440" w:hanging="1440"/>
      </w:pPr>
      <w:r w:rsidRPr="009C672B">
        <w:rPr>
          <w:b/>
          <w:bCs/>
        </w:rPr>
        <w:t>SPM</w:t>
      </w:r>
      <w:r w:rsidRPr="009C672B">
        <w:rPr>
          <w:b/>
          <w:bCs/>
        </w:rPr>
        <w:tab/>
        <w:t>:</w:t>
      </w:r>
      <w:r w:rsidRPr="009C672B">
        <w:t xml:space="preserve"> Summary For Policy Makers (Politika Yapıcılar İçin Özet)</w:t>
      </w:r>
    </w:p>
    <w:p w:rsidR="0044255F" w:rsidRDefault="0044255F" w:rsidP="009C672B">
      <w:pPr>
        <w:spacing w:line="360" w:lineRule="auto"/>
        <w:ind w:left="1440" w:hanging="1440"/>
      </w:pPr>
      <w:r w:rsidRPr="009C672B">
        <w:rPr>
          <w:b/>
          <w:bCs/>
        </w:rPr>
        <w:t>SRES</w:t>
      </w:r>
      <w:r w:rsidRPr="009C672B">
        <w:rPr>
          <w:b/>
          <w:bCs/>
        </w:rPr>
        <w:tab/>
        <w:t>:</w:t>
      </w:r>
      <w:r w:rsidRPr="009C672B">
        <w:t xml:space="preserve"> Special Report on Emission Scenarios (Emisyon Senaryoları Özel Raporu)</w:t>
      </w:r>
    </w:p>
    <w:p w:rsidR="00E9063A" w:rsidRPr="00E9063A" w:rsidRDefault="00E9063A" w:rsidP="009C672B">
      <w:pPr>
        <w:spacing w:line="360" w:lineRule="auto"/>
        <w:ind w:left="1440" w:hanging="1440"/>
        <w:rPr>
          <w:bCs/>
        </w:rPr>
      </w:pPr>
      <w:r>
        <w:rPr>
          <w:b/>
          <w:bCs/>
        </w:rPr>
        <w:t>TAR</w:t>
      </w:r>
      <w:r>
        <w:rPr>
          <w:b/>
          <w:bCs/>
        </w:rPr>
        <w:tab/>
        <w:t>:</w:t>
      </w:r>
      <w:r>
        <w:t xml:space="preserve"> </w:t>
      </w:r>
      <w:r w:rsidRPr="00E9063A">
        <w:rPr>
          <w:bCs/>
        </w:rPr>
        <w:t>Third Assessment Report</w:t>
      </w:r>
      <w:r>
        <w:rPr>
          <w:bCs/>
        </w:rPr>
        <w:t xml:space="preserve"> (</w:t>
      </w:r>
      <w:r w:rsidRPr="00E9063A">
        <w:rPr>
          <w:bCs/>
        </w:rPr>
        <w:t>Üçüncü Değerlendirme Raporu)</w:t>
      </w:r>
    </w:p>
    <w:p w:rsidR="0044255F" w:rsidRDefault="0044255F" w:rsidP="009C672B">
      <w:pPr>
        <w:spacing w:line="360" w:lineRule="auto"/>
        <w:rPr>
          <w:shd w:val="clear" w:color="auto" w:fill="FFFFFF"/>
        </w:rPr>
      </w:pPr>
      <w:r w:rsidRPr="009C672B">
        <w:rPr>
          <w:b/>
          <w:bCs/>
        </w:rPr>
        <w:t>TEAŞ</w:t>
      </w:r>
      <w:r w:rsidRPr="009C672B">
        <w:rPr>
          <w:b/>
          <w:bCs/>
        </w:rPr>
        <w:tab/>
      </w:r>
      <w:r w:rsidRPr="009C672B">
        <w:rPr>
          <w:b/>
          <w:bCs/>
        </w:rPr>
        <w:tab/>
        <w:t xml:space="preserve">: </w:t>
      </w:r>
      <w:r w:rsidRPr="009C672B">
        <w:rPr>
          <w:shd w:val="clear" w:color="auto" w:fill="FFFFFF"/>
        </w:rPr>
        <w:t>Türkiye Elektrik Üretim İletim Anonim Şirketi</w:t>
      </w:r>
    </w:p>
    <w:p w:rsidR="00E97372" w:rsidRPr="009C672B" w:rsidRDefault="00E97372" w:rsidP="009C672B">
      <w:pPr>
        <w:spacing w:line="360" w:lineRule="auto"/>
      </w:pPr>
      <w:r w:rsidRPr="00E97372">
        <w:rPr>
          <w:b/>
          <w:shd w:val="clear" w:color="auto" w:fill="FFFFFF"/>
        </w:rPr>
        <w:t>TEP</w:t>
      </w:r>
      <w:r>
        <w:rPr>
          <w:shd w:val="clear" w:color="auto" w:fill="FFFFFF"/>
        </w:rPr>
        <w:tab/>
      </w:r>
      <w:r>
        <w:rPr>
          <w:shd w:val="clear" w:color="auto" w:fill="FFFFFF"/>
        </w:rPr>
        <w:tab/>
        <w:t>: T</w:t>
      </w:r>
      <w:r>
        <w:rPr>
          <w:bCs/>
        </w:rPr>
        <w:t>on Eşdeğeri Petrol</w:t>
      </w:r>
    </w:p>
    <w:p w:rsidR="0044255F" w:rsidRDefault="0044255F" w:rsidP="009C672B">
      <w:pPr>
        <w:spacing w:line="360" w:lineRule="auto"/>
      </w:pPr>
      <w:r w:rsidRPr="009C672B">
        <w:rPr>
          <w:b/>
          <w:bCs/>
        </w:rPr>
        <w:t>TFC</w:t>
      </w:r>
      <w:r w:rsidRPr="009C672B">
        <w:rPr>
          <w:b/>
          <w:bCs/>
        </w:rPr>
        <w:tab/>
      </w:r>
      <w:r w:rsidRPr="009C672B">
        <w:rPr>
          <w:b/>
          <w:bCs/>
        </w:rPr>
        <w:tab/>
        <w:t xml:space="preserve">: </w:t>
      </w:r>
      <w:r w:rsidRPr="009C672B">
        <w:t>Total Final Energy Consumption (Toplam Nihai Enerji Tüketimi)</w:t>
      </w:r>
    </w:p>
    <w:p w:rsidR="00244AB8" w:rsidRPr="009C672B" w:rsidRDefault="00244AB8" w:rsidP="009C672B">
      <w:pPr>
        <w:spacing w:line="360" w:lineRule="auto"/>
      </w:pPr>
      <w:r w:rsidRPr="00244AB8">
        <w:rPr>
          <w:b/>
        </w:rPr>
        <w:t>TMMOB</w:t>
      </w:r>
      <w:r>
        <w:tab/>
        <w:t xml:space="preserve">: </w:t>
      </w:r>
      <w:r w:rsidR="003F66AE">
        <w:t>Türk Mühendis ve Mimar Odaları Birliği</w:t>
      </w:r>
    </w:p>
    <w:p w:rsidR="0044255F" w:rsidRPr="009C672B" w:rsidRDefault="0044255F" w:rsidP="009C672B">
      <w:pPr>
        <w:spacing w:line="360" w:lineRule="auto"/>
      </w:pPr>
      <w:r w:rsidRPr="009C672B">
        <w:rPr>
          <w:b/>
          <w:bCs/>
        </w:rPr>
        <w:t>TPES</w:t>
      </w:r>
      <w:r w:rsidRPr="009C672B">
        <w:rPr>
          <w:b/>
          <w:bCs/>
        </w:rPr>
        <w:tab/>
      </w:r>
      <w:r w:rsidRPr="009C672B">
        <w:rPr>
          <w:b/>
          <w:bCs/>
        </w:rPr>
        <w:tab/>
        <w:t xml:space="preserve">: </w:t>
      </w:r>
      <w:r w:rsidRPr="009C672B">
        <w:t>Total Primary Energy Supply (Toplam Birincil Enerji Arzı)</w:t>
      </w:r>
    </w:p>
    <w:p w:rsidR="0044255F" w:rsidRPr="009C672B" w:rsidRDefault="0044255F" w:rsidP="009C672B">
      <w:pPr>
        <w:spacing w:line="360" w:lineRule="auto"/>
      </w:pPr>
      <w:r w:rsidRPr="009C672B">
        <w:rPr>
          <w:b/>
          <w:bCs/>
        </w:rPr>
        <w:t>TUİK</w:t>
      </w:r>
      <w:r w:rsidRPr="009C672B">
        <w:rPr>
          <w:b/>
          <w:bCs/>
        </w:rPr>
        <w:tab/>
      </w:r>
      <w:r w:rsidRPr="009C672B">
        <w:rPr>
          <w:b/>
          <w:bCs/>
        </w:rPr>
        <w:tab/>
        <w:t xml:space="preserve">: </w:t>
      </w:r>
      <w:r w:rsidRPr="009C672B">
        <w:t>Türkiye İstatistik Kurumu</w:t>
      </w:r>
    </w:p>
    <w:p w:rsidR="0044255F" w:rsidRPr="009C672B" w:rsidRDefault="0044255F" w:rsidP="009C672B">
      <w:pPr>
        <w:spacing w:line="360" w:lineRule="auto"/>
      </w:pPr>
      <w:r w:rsidRPr="009C672B">
        <w:rPr>
          <w:b/>
          <w:bCs/>
        </w:rPr>
        <w:t xml:space="preserve">TW </w:t>
      </w:r>
      <w:r w:rsidRPr="009C672B">
        <w:rPr>
          <w:b/>
          <w:bCs/>
        </w:rPr>
        <w:tab/>
      </w:r>
      <w:r w:rsidRPr="009C672B">
        <w:rPr>
          <w:b/>
          <w:bCs/>
        </w:rPr>
        <w:tab/>
        <w:t xml:space="preserve">: </w:t>
      </w:r>
      <w:r w:rsidRPr="009C672B">
        <w:t>Tera Watt</w:t>
      </w:r>
    </w:p>
    <w:p w:rsidR="0044255F" w:rsidRPr="009C672B" w:rsidRDefault="0044255F" w:rsidP="009C672B">
      <w:pPr>
        <w:spacing w:line="360" w:lineRule="auto"/>
      </w:pPr>
      <w:r w:rsidRPr="009C672B">
        <w:rPr>
          <w:b/>
          <w:bCs/>
        </w:rPr>
        <w:t xml:space="preserve">TWh </w:t>
      </w:r>
      <w:r w:rsidRPr="009C672B">
        <w:rPr>
          <w:b/>
          <w:bCs/>
        </w:rPr>
        <w:tab/>
      </w:r>
      <w:r w:rsidRPr="009C672B">
        <w:rPr>
          <w:b/>
          <w:bCs/>
        </w:rPr>
        <w:tab/>
        <w:t xml:space="preserve">: </w:t>
      </w:r>
      <w:r w:rsidRPr="009C672B">
        <w:t>Tera watt saat</w:t>
      </w:r>
    </w:p>
    <w:p w:rsidR="0044255F" w:rsidRDefault="0044255F" w:rsidP="009C672B">
      <w:pPr>
        <w:spacing w:line="360" w:lineRule="auto"/>
      </w:pPr>
      <w:r w:rsidRPr="009C672B">
        <w:rPr>
          <w:b/>
          <w:bCs/>
        </w:rPr>
        <w:t>UB</w:t>
      </w:r>
      <w:r w:rsidRPr="009C672B">
        <w:rPr>
          <w:b/>
          <w:bCs/>
        </w:rPr>
        <w:tab/>
      </w:r>
      <w:r w:rsidRPr="009C672B">
        <w:rPr>
          <w:b/>
          <w:bCs/>
        </w:rPr>
        <w:tab/>
        <w:t xml:space="preserve">: </w:t>
      </w:r>
      <w:r w:rsidRPr="009C672B">
        <w:t>Ulaştırma</w:t>
      </w:r>
      <w:r w:rsidR="003F66AE">
        <w:t>, Denizcilik ve Haberleşme</w:t>
      </w:r>
      <w:r w:rsidRPr="009C672B">
        <w:t xml:space="preserve"> Bakanlığı</w:t>
      </w:r>
    </w:p>
    <w:p w:rsidR="0044255F" w:rsidRPr="009C672B" w:rsidRDefault="0044255F" w:rsidP="009C672B">
      <w:pPr>
        <w:spacing w:line="360" w:lineRule="auto"/>
        <w:ind w:left="1410" w:hanging="1410"/>
      </w:pPr>
      <w:r w:rsidRPr="009C672B">
        <w:rPr>
          <w:b/>
          <w:bCs/>
        </w:rPr>
        <w:t>UK ETS</w:t>
      </w:r>
      <w:r w:rsidRPr="009C672B">
        <w:rPr>
          <w:b/>
          <w:bCs/>
        </w:rPr>
        <w:tab/>
        <w:t xml:space="preserve">: </w:t>
      </w:r>
      <w:r w:rsidRPr="009C672B">
        <w:t>United Kingdom Emission Trading System (Birleşik Krallık Emisyon Ticaret Sistemi)</w:t>
      </w:r>
    </w:p>
    <w:p w:rsidR="0044255F" w:rsidRDefault="0044255F" w:rsidP="009C672B">
      <w:pPr>
        <w:spacing w:line="360" w:lineRule="auto"/>
        <w:ind w:left="1410" w:hanging="1410"/>
      </w:pPr>
      <w:r w:rsidRPr="009C672B">
        <w:rPr>
          <w:b/>
          <w:bCs/>
        </w:rPr>
        <w:t>UNDP</w:t>
      </w:r>
      <w:r w:rsidRPr="009C672B">
        <w:rPr>
          <w:b/>
          <w:bCs/>
        </w:rPr>
        <w:tab/>
      </w:r>
      <w:r w:rsidRPr="009C672B">
        <w:rPr>
          <w:b/>
          <w:bCs/>
        </w:rPr>
        <w:tab/>
        <w:t xml:space="preserve">: </w:t>
      </w:r>
      <w:r w:rsidRPr="009C672B">
        <w:t xml:space="preserve">United Nations Development Programme </w:t>
      </w:r>
      <w:r w:rsidR="00770368">
        <w:t xml:space="preserve">(Birleşmiş Milletler Kalkınma </w:t>
      </w:r>
      <w:r w:rsidRPr="009C672B">
        <w:t>Programı)</w:t>
      </w:r>
    </w:p>
    <w:p w:rsidR="007159D5" w:rsidRPr="009C672B" w:rsidRDefault="007159D5" w:rsidP="009C672B">
      <w:pPr>
        <w:spacing w:line="360" w:lineRule="auto"/>
        <w:ind w:left="1410" w:hanging="1410"/>
      </w:pPr>
      <w:r>
        <w:rPr>
          <w:b/>
          <w:bCs/>
        </w:rPr>
        <w:t>UNEP</w:t>
      </w:r>
      <w:r>
        <w:rPr>
          <w:b/>
          <w:bCs/>
        </w:rPr>
        <w:tab/>
        <w:t>:</w:t>
      </w:r>
      <w:r>
        <w:t xml:space="preserve"> </w:t>
      </w:r>
      <w:r w:rsidR="00770368">
        <w:t>United Nations Environment Programme (</w:t>
      </w:r>
      <w:r>
        <w:t>Birleşmiş Milletler Çevre Programı</w:t>
      </w:r>
      <w:r w:rsidR="003F66AE">
        <w:t>)</w:t>
      </w:r>
    </w:p>
    <w:p w:rsidR="0044255F" w:rsidRPr="009C672B" w:rsidRDefault="00770368" w:rsidP="00770368">
      <w:pPr>
        <w:spacing w:line="360" w:lineRule="auto"/>
        <w:ind w:left="1440" w:hanging="1440"/>
      </w:pPr>
      <w:r>
        <w:rPr>
          <w:b/>
          <w:bCs/>
        </w:rPr>
        <w:lastRenderedPageBreak/>
        <w:t>UNPD</w:t>
      </w:r>
      <w:r>
        <w:rPr>
          <w:b/>
          <w:bCs/>
        </w:rPr>
        <w:tab/>
      </w:r>
      <w:r w:rsidR="0044255F" w:rsidRPr="009C672B">
        <w:rPr>
          <w:b/>
          <w:bCs/>
        </w:rPr>
        <w:t xml:space="preserve">: </w:t>
      </w:r>
      <w:r>
        <w:t>United Nations Procurement Division</w:t>
      </w:r>
      <w:r w:rsidRPr="009C672B">
        <w:t xml:space="preserve"> </w:t>
      </w:r>
      <w:r>
        <w:t>(</w:t>
      </w:r>
      <w:r w:rsidR="0044255F" w:rsidRPr="009C672B">
        <w:t>Birleşmiş Milletler Nufüs Dairesi</w:t>
      </w:r>
      <w:r w:rsidR="003F66AE">
        <w:t>)</w:t>
      </w:r>
    </w:p>
    <w:p w:rsidR="0044255F" w:rsidRPr="009C672B" w:rsidRDefault="00D2028A" w:rsidP="003F66AE">
      <w:pPr>
        <w:spacing w:line="360" w:lineRule="auto"/>
        <w:ind w:left="1440" w:hanging="1440"/>
      </w:pPr>
      <w:r>
        <w:rPr>
          <w:b/>
          <w:bCs/>
        </w:rPr>
        <w:t>UNFCCC</w:t>
      </w:r>
      <w:r>
        <w:rPr>
          <w:b/>
          <w:bCs/>
        </w:rPr>
        <w:tab/>
      </w:r>
      <w:r w:rsidR="0044255F" w:rsidRPr="009C672B">
        <w:rPr>
          <w:b/>
          <w:bCs/>
        </w:rPr>
        <w:t xml:space="preserve">: </w:t>
      </w:r>
      <w:r w:rsidRPr="00D2028A">
        <w:rPr>
          <w:bCs/>
        </w:rPr>
        <w:t>The United Framework Convention on Climate Change</w:t>
      </w:r>
      <w:r>
        <w:rPr>
          <w:b/>
          <w:bCs/>
        </w:rPr>
        <w:t xml:space="preserve"> (</w:t>
      </w:r>
      <w:r w:rsidR="0044255F" w:rsidRPr="009C672B">
        <w:t>Birleşmiş Milletler İklim Değişikliği Çerçeve Sözleşmesi</w:t>
      </w:r>
      <w:r>
        <w:t>)</w:t>
      </w:r>
    </w:p>
    <w:p w:rsidR="0044255F" w:rsidRPr="009C672B" w:rsidRDefault="0044255F" w:rsidP="009C672B">
      <w:pPr>
        <w:spacing w:line="360" w:lineRule="auto"/>
        <w:rPr>
          <w:b/>
          <w:bCs/>
        </w:rPr>
      </w:pPr>
      <w:r w:rsidRPr="009C672B">
        <w:rPr>
          <w:b/>
          <w:bCs/>
        </w:rPr>
        <w:t>VER</w:t>
      </w:r>
      <w:r w:rsidRPr="009C672B">
        <w:rPr>
          <w:b/>
          <w:bCs/>
        </w:rPr>
        <w:tab/>
      </w:r>
      <w:r w:rsidRPr="009C672B">
        <w:rPr>
          <w:b/>
          <w:bCs/>
        </w:rPr>
        <w:tab/>
        <w:t xml:space="preserve">: </w:t>
      </w:r>
      <w:r w:rsidRPr="009C672B">
        <w:t>Verified Emission Reduction (Doğrulanmış Emisyon Azaltımları)</w:t>
      </w:r>
    </w:p>
    <w:p w:rsidR="0044255F" w:rsidRPr="009C672B" w:rsidRDefault="0044255F" w:rsidP="009C672B">
      <w:pPr>
        <w:spacing w:line="360" w:lineRule="auto"/>
      </w:pPr>
      <w:r w:rsidRPr="009C672B">
        <w:rPr>
          <w:b/>
          <w:bCs/>
        </w:rPr>
        <w:t>WB</w:t>
      </w:r>
      <w:r w:rsidRPr="009C672B">
        <w:rPr>
          <w:b/>
          <w:bCs/>
        </w:rPr>
        <w:tab/>
      </w:r>
      <w:r w:rsidRPr="009C672B">
        <w:rPr>
          <w:b/>
          <w:bCs/>
        </w:rPr>
        <w:tab/>
        <w:t xml:space="preserve">: </w:t>
      </w:r>
      <w:r w:rsidRPr="009C672B">
        <w:t>World Bank (Dünya Bankası)</w:t>
      </w:r>
    </w:p>
    <w:p w:rsidR="0044255F" w:rsidRPr="009C672B" w:rsidRDefault="0044255F" w:rsidP="009C672B">
      <w:pPr>
        <w:spacing w:line="360" w:lineRule="auto"/>
      </w:pPr>
      <w:r w:rsidRPr="009C672B">
        <w:rPr>
          <w:b/>
          <w:bCs/>
        </w:rPr>
        <w:t>WCC</w:t>
      </w:r>
      <w:r w:rsidRPr="009C672B">
        <w:rPr>
          <w:b/>
          <w:bCs/>
        </w:rPr>
        <w:tab/>
      </w:r>
      <w:r w:rsidRPr="009C672B">
        <w:rPr>
          <w:b/>
          <w:bCs/>
        </w:rPr>
        <w:tab/>
        <w:t xml:space="preserve">: </w:t>
      </w:r>
      <w:r w:rsidRPr="009C672B">
        <w:t>World Climate Conference (Dünya İklim Konferansı)</w:t>
      </w:r>
    </w:p>
    <w:p w:rsidR="00DE2806" w:rsidRDefault="0044255F" w:rsidP="009C672B">
      <w:pPr>
        <w:spacing w:line="360" w:lineRule="auto"/>
      </w:pPr>
      <w:r w:rsidRPr="009C672B">
        <w:rPr>
          <w:b/>
          <w:bCs/>
        </w:rPr>
        <w:t>WCI</w:t>
      </w:r>
      <w:r w:rsidRPr="009C672B">
        <w:rPr>
          <w:b/>
          <w:bCs/>
        </w:rPr>
        <w:tab/>
      </w:r>
      <w:r w:rsidRPr="009C672B">
        <w:rPr>
          <w:b/>
          <w:bCs/>
        </w:rPr>
        <w:tab/>
        <w:t xml:space="preserve">: </w:t>
      </w:r>
      <w:r w:rsidRPr="009C672B">
        <w:t>Western Climate Initiative (Batı İklim Girişimi)</w:t>
      </w:r>
      <w:r w:rsidR="00DE2806" w:rsidRPr="00DE2806">
        <w:t xml:space="preserve"> </w:t>
      </w:r>
    </w:p>
    <w:p w:rsidR="0044255F" w:rsidRPr="009C672B" w:rsidRDefault="00DE2806" w:rsidP="003F53DA">
      <w:pPr>
        <w:spacing w:line="360" w:lineRule="auto"/>
        <w:ind w:left="1440" w:hanging="1440"/>
      </w:pPr>
      <w:r w:rsidRPr="00DE2806">
        <w:rPr>
          <w:b/>
        </w:rPr>
        <w:t>WMO</w:t>
      </w:r>
      <w:r w:rsidR="003F53DA">
        <w:tab/>
      </w:r>
      <w:r>
        <w:t xml:space="preserve">: </w:t>
      </w:r>
      <w:r w:rsidR="003F53DA">
        <w:t>World Meteorological Organization (</w:t>
      </w:r>
      <w:r>
        <w:t>Dünya Meteoroloji Organizasyonu</w:t>
      </w:r>
      <w:r w:rsidR="003F53DA">
        <w:t>)</w:t>
      </w:r>
    </w:p>
    <w:p w:rsidR="00EB323F" w:rsidRDefault="0044255F" w:rsidP="00E71421">
      <w:pPr>
        <w:pStyle w:val="Balk1"/>
      </w:pPr>
      <w:r>
        <w:br w:type="page"/>
      </w:r>
    </w:p>
    <w:p w:rsidR="0044255F" w:rsidRDefault="0044255F" w:rsidP="00E71421">
      <w:pPr>
        <w:pStyle w:val="Balk1"/>
      </w:pPr>
      <w:bookmarkStart w:id="16" w:name="_Toc384823969"/>
      <w:r w:rsidRPr="004B6BC0">
        <w:lastRenderedPageBreak/>
        <w:t>ŞEKİLLER LİSTESİ</w:t>
      </w:r>
      <w:bookmarkEnd w:id="16"/>
    </w:p>
    <w:p w:rsidR="00BC24B3" w:rsidRDefault="00FD704A" w:rsidP="007E0310">
      <w:pPr>
        <w:pStyle w:val="T1"/>
        <w:rPr>
          <w:rFonts w:asciiTheme="minorHAnsi" w:eastAsiaTheme="minorEastAsia" w:hAnsiTheme="minorHAnsi" w:cstheme="minorBidi"/>
          <w:sz w:val="22"/>
          <w:szCs w:val="22"/>
          <w:lang w:eastAsia="tr-TR"/>
        </w:rPr>
      </w:pPr>
      <w:r>
        <w:fldChar w:fldCharType="begin"/>
      </w:r>
      <w:r>
        <w:instrText xml:space="preserve"> TOC \h \z \t "stil1,1" </w:instrText>
      </w:r>
      <w:r>
        <w:fldChar w:fldCharType="separate"/>
      </w:r>
      <w:hyperlink w:anchor="_Toc382298140" w:history="1">
        <w:r w:rsidR="00BC24B3" w:rsidRPr="00716F66">
          <w:rPr>
            <w:rStyle w:val="Kpr"/>
          </w:rPr>
          <w:t>Şekil 1.1: 180 Milyon Yıl Önceki ve Günümüzdeki Karaların Dağılışları</w:t>
        </w:r>
        <w:r w:rsidR="00BC24B3">
          <w:rPr>
            <w:webHidden/>
          </w:rPr>
          <w:tab/>
        </w:r>
        <w:r w:rsidR="00BC24B3">
          <w:rPr>
            <w:webHidden/>
          </w:rPr>
          <w:fldChar w:fldCharType="begin"/>
        </w:r>
        <w:r w:rsidR="00BC24B3">
          <w:rPr>
            <w:webHidden/>
          </w:rPr>
          <w:instrText xml:space="preserve"> PAGEREF _Toc382298140 \h </w:instrText>
        </w:r>
        <w:r w:rsidR="00BC24B3">
          <w:rPr>
            <w:webHidden/>
          </w:rPr>
        </w:r>
        <w:r w:rsidR="00BC24B3">
          <w:rPr>
            <w:webHidden/>
          </w:rPr>
          <w:fldChar w:fldCharType="separate"/>
        </w:r>
        <w:r w:rsidR="007C769A">
          <w:rPr>
            <w:webHidden/>
          </w:rPr>
          <w:t>4</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41" w:history="1">
        <w:r w:rsidR="00BC24B3" w:rsidRPr="00716F66">
          <w:rPr>
            <w:rStyle w:val="Kpr"/>
          </w:rPr>
          <w:t>Şekil 1.2: Atmosferde Sera gazları Yoğunluğu</w:t>
        </w:r>
        <w:r w:rsidR="00BC24B3">
          <w:rPr>
            <w:webHidden/>
          </w:rPr>
          <w:tab/>
        </w:r>
        <w:r w:rsidR="00BC24B3">
          <w:rPr>
            <w:webHidden/>
          </w:rPr>
          <w:fldChar w:fldCharType="begin"/>
        </w:r>
        <w:r w:rsidR="00BC24B3">
          <w:rPr>
            <w:webHidden/>
          </w:rPr>
          <w:instrText xml:space="preserve"> PAGEREF _Toc382298141 \h </w:instrText>
        </w:r>
        <w:r w:rsidR="00BC24B3">
          <w:rPr>
            <w:webHidden/>
          </w:rPr>
        </w:r>
        <w:r w:rsidR="00BC24B3">
          <w:rPr>
            <w:webHidden/>
          </w:rPr>
          <w:fldChar w:fldCharType="separate"/>
        </w:r>
        <w:r w:rsidR="007C769A">
          <w:rPr>
            <w:webHidden/>
          </w:rPr>
          <w:t>6</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42" w:history="1">
        <w:r w:rsidR="00BC24B3" w:rsidRPr="00716F66">
          <w:rPr>
            <w:rStyle w:val="Kpr"/>
          </w:rPr>
          <w:t>Şekil 1.3: Atmosferdeki CO</w:t>
        </w:r>
        <w:r w:rsidR="00BC24B3" w:rsidRPr="00716F66">
          <w:rPr>
            <w:rStyle w:val="Kpr"/>
            <w:vertAlign w:val="subscript"/>
          </w:rPr>
          <w:t>2</w:t>
        </w:r>
        <w:r w:rsidR="00BC24B3" w:rsidRPr="00716F66">
          <w:rPr>
            <w:rStyle w:val="Kpr"/>
          </w:rPr>
          <w:t>Yoğunluğunun Gelişimi</w:t>
        </w:r>
        <w:r w:rsidR="00BC24B3">
          <w:rPr>
            <w:webHidden/>
          </w:rPr>
          <w:tab/>
        </w:r>
        <w:r w:rsidR="00BC24B3">
          <w:rPr>
            <w:webHidden/>
          </w:rPr>
          <w:fldChar w:fldCharType="begin"/>
        </w:r>
        <w:r w:rsidR="00BC24B3">
          <w:rPr>
            <w:webHidden/>
          </w:rPr>
          <w:instrText xml:space="preserve"> PAGEREF _Toc382298142 \h </w:instrText>
        </w:r>
        <w:r w:rsidR="00BC24B3">
          <w:rPr>
            <w:webHidden/>
          </w:rPr>
        </w:r>
        <w:r w:rsidR="00BC24B3">
          <w:rPr>
            <w:webHidden/>
          </w:rPr>
          <w:fldChar w:fldCharType="separate"/>
        </w:r>
        <w:r w:rsidR="007C769A">
          <w:rPr>
            <w:webHidden/>
          </w:rPr>
          <w:t>8</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43" w:history="1">
        <w:r w:rsidR="00BC24B3" w:rsidRPr="00716F66">
          <w:rPr>
            <w:rStyle w:val="Kpr"/>
          </w:rPr>
          <w:t>Şekil 1.4: Sera Etkisi</w:t>
        </w:r>
        <w:r w:rsidR="00BC24B3">
          <w:rPr>
            <w:webHidden/>
          </w:rPr>
          <w:tab/>
        </w:r>
        <w:r w:rsidR="00BC24B3">
          <w:rPr>
            <w:webHidden/>
          </w:rPr>
          <w:fldChar w:fldCharType="begin"/>
        </w:r>
        <w:r w:rsidR="00BC24B3">
          <w:rPr>
            <w:webHidden/>
          </w:rPr>
          <w:instrText xml:space="preserve"> PAGEREF _Toc382298143 \h </w:instrText>
        </w:r>
        <w:r w:rsidR="00BC24B3">
          <w:rPr>
            <w:webHidden/>
          </w:rPr>
        </w:r>
        <w:r w:rsidR="00BC24B3">
          <w:rPr>
            <w:webHidden/>
          </w:rPr>
          <w:fldChar w:fldCharType="separate"/>
        </w:r>
        <w:r w:rsidR="007C769A">
          <w:rPr>
            <w:webHidden/>
          </w:rPr>
          <w:t>9</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44" w:history="1">
        <w:r w:rsidR="00BC24B3" w:rsidRPr="00716F66">
          <w:rPr>
            <w:rStyle w:val="Kpr"/>
          </w:rPr>
          <w:t>Şekil 1.5: Mauna Loa Gözlemevinde Çekilen Ortalama CO2 Yoğunluğu</w:t>
        </w:r>
        <w:r w:rsidR="00BC24B3">
          <w:rPr>
            <w:webHidden/>
          </w:rPr>
          <w:tab/>
        </w:r>
        <w:r w:rsidR="00BC24B3">
          <w:rPr>
            <w:webHidden/>
          </w:rPr>
          <w:fldChar w:fldCharType="begin"/>
        </w:r>
        <w:r w:rsidR="00BC24B3">
          <w:rPr>
            <w:webHidden/>
          </w:rPr>
          <w:instrText xml:space="preserve"> PAGEREF _Toc382298144 \h </w:instrText>
        </w:r>
        <w:r w:rsidR="00BC24B3">
          <w:rPr>
            <w:webHidden/>
          </w:rPr>
        </w:r>
        <w:r w:rsidR="00BC24B3">
          <w:rPr>
            <w:webHidden/>
          </w:rPr>
          <w:fldChar w:fldCharType="separate"/>
        </w:r>
        <w:r w:rsidR="007C769A">
          <w:rPr>
            <w:webHidden/>
          </w:rPr>
          <w:t>11</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45" w:history="1">
        <w:r w:rsidR="00BC24B3" w:rsidRPr="00716F66">
          <w:rPr>
            <w:rStyle w:val="Kpr"/>
          </w:rPr>
          <w:t>Şekil 1.6: 1978’den beri Sera Gazı Konsantrasyonları</w:t>
        </w:r>
        <w:r w:rsidR="00BC24B3">
          <w:rPr>
            <w:webHidden/>
          </w:rPr>
          <w:tab/>
        </w:r>
        <w:r w:rsidR="00BC24B3">
          <w:rPr>
            <w:webHidden/>
          </w:rPr>
          <w:fldChar w:fldCharType="begin"/>
        </w:r>
        <w:r w:rsidR="00BC24B3">
          <w:rPr>
            <w:webHidden/>
          </w:rPr>
          <w:instrText xml:space="preserve"> PAGEREF _Toc382298145 \h </w:instrText>
        </w:r>
        <w:r w:rsidR="00BC24B3">
          <w:rPr>
            <w:webHidden/>
          </w:rPr>
        </w:r>
        <w:r w:rsidR="00BC24B3">
          <w:rPr>
            <w:webHidden/>
          </w:rPr>
          <w:fldChar w:fldCharType="separate"/>
        </w:r>
        <w:r w:rsidR="007C769A">
          <w:rPr>
            <w:webHidden/>
          </w:rPr>
          <w:t>14</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46" w:history="1">
        <w:r w:rsidR="00BC24B3" w:rsidRPr="00716F66">
          <w:rPr>
            <w:rStyle w:val="Kpr"/>
          </w:rPr>
          <w:t>Şekil 1.7: Küresel Sera Gazı Emisyonları</w:t>
        </w:r>
        <w:r w:rsidR="00BC24B3">
          <w:rPr>
            <w:webHidden/>
          </w:rPr>
          <w:tab/>
        </w:r>
        <w:r w:rsidR="00BC24B3">
          <w:rPr>
            <w:webHidden/>
          </w:rPr>
          <w:fldChar w:fldCharType="begin"/>
        </w:r>
        <w:r w:rsidR="00BC24B3">
          <w:rPr>
            <w:webHidden/>
          </w:rPr>
          <w:instrText xml:space="preserve"> PAGEREF _Toc382298146 \h </w:instrText>
        </w:r>
        <w:r w:rsidR="00BC24B3">
          <w:rPr>
            <w:webHidden/>
          </w:rPr>
        </w:r>
        <w:r w:rsidR="00BC24B3">
          <w:rPr>
            <w:webHidden/>
          </w:rPr>
          <w:fldChar w:fldCharType="separate"/>
        </w:r>
        <w:r w:rsidR="007C769A">
          <w:rPr>
            <w:webHidden/>
          </w:rPr>
          <w:t>15</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47" w:history="1">
        <w:r w:rsidR="00BC24B3" w:rsidRPr="00716F66">
          <w:rPr>
            <w:rStyle w:val="Kpr"/>
          </w:rPr>
          <w:t>Şekil 1.8: Küresel Yıllık Ortalama Yüzey Sıcaklığı Anomalileri Değişimi</w:t>
        </w:r>
        <w:r w:rsidR="00BC24B3">
          <w:rPr>
            <w:webHidden/>
          </w:rPr>
          <w:tab/>
        </w:r>
        <w:r w:rsidR="00BC24B3">
          <w:rPr>
            <w:webHidden/>
          </w:rPr>
          <w:fldChar w:fldCharType="begin"/>
        </w:r>
        <w:r w:rsidR="00BC24B3">
          <w:rPr>
            <w:webHidden/>
          </w:rPr>
          <w:instrText xml:space="preserve"> PAGEREF _Toc382298147 \h </w:instrText>
        </w:r>
        <w:r w:rsidR="00BC24B3">
          <w:rPr>
            <w:webHidden/>
          </w:rPr>
        </w:r>
        <w:r w:rsidR="00BC24B3">
          <w:rPr>
            <w:webHidden/>
          </w:rPr>
          <w:fldChar w:fldCharType="separate"/>
        </w:r>
        <w:r w:rsidR="007C769A">
          <w:rPr>
            <w:webHidden/>
          </w:rPr>
          <w:t>16</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48" w:history="1">
        <w:r w:rsidR="00BC24B3" w:rsidRPr="00716F66">
          <w:rPr>
            <w:rStyle w:val="Kpr"/>
          </w:rPr>
          <w:t>Şekil 1.9: Kyoto’da Ölçülen ve Öngörülen Sera Gazlarının Yoğunluğu</w:t>
        </w:r>
        <w:r w:rsidR="00BC24B3">
          <w:rPr>
            <w:webHidden/>
          </w:rPr>
          <w:tab/>
        </w:r>
        <w:r w:rsidR="00BC24B3">
          <w:rPr>
            <w:webHidden/>
          </w:rPr>
          <w:fldChar w:fldCharType="begin"/>
        </w:r>
        <w:r w:rsidR="00BC24B3">
          <w:rPr>
            <w:webHidden/>
          </w:rPr>
          <w:instrText xml:space="preserve"> PAGEREF _Toc382298148 \h </w:instrText>
        </w:r>
        <w:r w:rsidR="00BC24B3">
          <w:rPr>
            <w:webHidden/>
          </w:rPr>
        </w:r>
        <w:r w:rsidR="00BC24B3">
          <w:rPr>
            <w:webHidden/>
          </w:rPr>
          <w:fldChar w:fldCharType="separate"/>
        </w:r>
        <w:r w:rsidR="007C769A">
          <w:rPr>
            <w:webHidden/>
          </w:rPr>
          <w:t>19</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49" w:history="1">
        <w:r w:rsidR="00BC24B3" w:rsidRPr="00716F66">
          <w:rPr>
            <w:rStyle w:val="Kpr"/>
          </w:rPr>
          <w:t>Şekil 1.10: Sektörlere Göre Küresel Sera Gazı Emisyonları</w:t>
        </w:r>
        <w:r w:rsidR="00BC24B3">
          <w:rPr>
            <w:webHidden/>
          </w:rPr>
          <w:tab/>
        </w:r>
        <w:r w:rsidR="00BC24B3">
          <w:rPr>
            <w:webHidden/>
          </w:rPr>
          <w:fldChar w:fldCharType="begin"/>
        </w:r>
        <w:r w:rsidR="00BC24B3">
          <w:rPr>
            <w:webHidden/>
          </w:rPr>
          <w:instrText xml:space="preserve"> PAGEREF _Toc382298149 \h </w:instrText>
        </w:r>
        <w:r w:rsidR="00BC24B3">
          <w:rPr>
            <w:webHidden/>
          </w:rPr>
        </w:r>
        <w:r w:rsidR="00BC24B3">
          <w:rPr>
            <w:webHidden/>
          </w:rPr>
          <w:fldChar w:fldCharType="separate"/>
        </w:r>
        <w:r w:rsidR="007C769A">
          <w:rPr>
            <w:webHidden/>
          </w:rPr>
          <w:t>21</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50" w:history="1">
        <w:r w:rsidR="00BC24B3" w:rsidRPr="00716F66">
          <w:rPr>
            <w:rStyle w:val="Kpr"/>
          </w:rPr>
          <w:t>Şekil 1.11: Avrupa Birliği Sera Gazı Emisyonlarının Sektörel Trendleri ve Projeksiyonları</w:t>
        </w:r>
        <w:r w:rsidR="00BC24B3">
          <w:rPr>
            <w:webHidden/>
          </w:rPr>
          <w:tab/>
        </w:r>
        <w:r w:rsidR="00BC24B3">
          <w:rPr>
            <w:webHidden/>
          </w:rPr>
          <w:fldChar w:fldCharType="begin"/>
        </w:r>
        <w:r w:rsidR="00BC24B3">
          <w:rPr>
            <w:webHidden/>
          </w:rPr>
          <w:instrText xml:space="preserve"> PAGEREF _Toc382298150 \h </w:instrText>
        </w:r>
        <w:r w:rsidR="00BC24B3">
          <w:rPr>
            <w:webHidden/>
          </w:rPr>
        </w:r>
        <w:r w:rsidR="00BC24B3">
          <w:rPr>
            <w:webHidden/>
          </w:rPr>
          <w:fldChar w:fldCharType="separate"/>
        </w:r>
        <w:r w:rsidR="007C769A">
          <w:rPr>
            <w:webHidden/>
          </w:rPr>
          <w:t>22</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51" w:history="1">
        <w:r w:rsidR="00BC24B3" w:rsidRPr="00716F66">
          <w:rPr>
            <w:rStyle w:val="Kpr"/>
            <w:lang w:eastAsia="tr-TR"/>
          </w:rPr>
          <w:t>Şekil 2.1: 2035 Yılı Dünya Birincil Enerji Talebi</w:t>
        </w:r>
        <w:r w:rsidR="00BC24B3">
          <w:rPr>
            <w:webHidden/>
          </w:rPr>
          <w:tab/>
        </w:r>
        <w:r w:rsidR="00BC24B3">
          <w:rPr>
            <w:webHidden/>
          </w:rPr>
          <w:fldChar w:fldCharType="begin"/>
        </w:r>
        <w:r w:rsidR="00BC24B3">
          <w:rPr>
            <w:webHidden/>
          </w:rPr>
          <w:instrText xml:space="preserve"> PAGEREF _Toc382298151 \h </w:instrText>
        </w:r>
        <w:r w:rsidR="00BC24B3">
          <w:rPr>
            <w:webHidden/>
          </w:rPr>
        </w:r>
        <w:r w:rsidR="00BC24B3">
          <w:rPr>
            <w:webHidden/>
          </w:rPr>
          <w:fldChar w:fldCharType="separate"/>
        </w:r>
        <w:r w:rsidR="007C769A">
          <w:rPr>
            <w:webHidden/>
          </w:rPr>
          <w:t>38</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52" w:history="1">
        <w:r w:rsidR="00BC24B3" w:rsidRPr="00716F66">
          <w:rPr>
            <w:rStyle w:val="Kpr"/>
            <w:lang w:eastAsia="tr-TR"/>
          </w:rPr>
          <w:t>Şekil 2.2: 2030 Yılı OECD ve OECD Dışı Ülkeler İçin Dünya Birincil Enerji Talebi</w:t>
        </w:r>
        <w:r w:rsidR="00BC24B3">
          <w:rPr>
            <w:webHidden/>
          </w:rPr>
          <w:tab/>
        </w:r>
        <w:r w:rsidR="00BC24B3">
          <w:rPr>
            <w:webHidden/>
          </w:rPr>
          <w:fldChar w:fldCharType="begin"/>
        </w:r>
        <w:r w:rsidR="00BC24B3">
          <w:rPr>
            <w:webHidden/>
          </w:rPr>
          <w:instrText xml:space="preserve"> PAGEREF _Toc382298152 \h </w:instrText>
        </w:r>
        <w:r w:rsidR="00BC24B3">
          <w:rPr>
            <w:webHidden/>
          </w:rPr>
        </w:r>
        <w:r w:rsidR="00BC24B3">
          <w:rPr>
            <w:webHidden/>
          </w:rPr>
          <w:fldChar w:fldCharType="separate"/>
        </w:r>
        <w:r w:rsidR="007C769A">
          <w:rPr>
            <w:webHidden/>
          </w:rPr>
          <w:t>39</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53" w:history="1">
        <w:r w:rsidR="00BC24B3" w:rsidRPr="00716F66">
          <w:rPr>
            <w:rStyle w:val="Kpr"/>
          </w:rPr>
          <w:t>Şekil 2.3. Yeni Politikalar Senaryosunda Dünya Birinci Enerji Talebi İçinde Enerji Kaynaklarının Payları</w:t>
        </w:r>
        <w:r w:rsidR="00BC24B3">
          <w:rPr>
            <w:webHidden/>
          </w:rPr>
          <w:tab/>
        </w:r>
        <w:r w:rsidR="00BC24B3">
          <w:rPr>
            <w:webHidden/>
          </w:rPr>
          <w:fldChar w:fldCharType="begin"/>
        </w:r>
        <w:r w:rsidR="00BC24B3">
          <w:rPr>
            <w:webHidden/>
          </w:rPr>
          <w:instrText xml:space="preserve"> PAGEREF _Toc382298153 \h </w:instrText>
        </w:r>
        <w:r w:rsidR="00BC24B3">
          <w:rPr>
            <w:webHidden/>
          </w:rPr>
        </w:r>
        <w:r w:rsidR="00BC24B3">
          <w:rPr>
            <w:webHidden/>
          </w:rPr>
          <w:fldChar w:fldCharType="separate"/>
        </w:r>
        <w:r w:rsidR="007C769A">
          <w:rPr>
            <w:webHidden/>
          </w:rPr>
          <w:t>40</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54" w:history="1">
        <w:r w:rsidR="00BC24B3" w:rsidRPr="00716F66">
          <w:rPr>
            <w:rStyle w:val="Kpr"/>
            <w:bCs/>
          </w:rPr>
          <w:t xml:space="preserve">Şekil 2.4: </w:t>
        </w:r>
        <w:r w:rsidR="00BC24B3" w:rsidRPr="00716F66">
          <w:rPr>
            <w:rStyle w:val="Kpr"/>
          </w:rPr>
          <w:t>1971–2005 Yılları Arasında AB–25 Ülkelerinde Birincil Enerji Tüketimi ve Sağlanan Tasarruf</w:t>
        </w:r>
        <w:r w:rsidR="00BC24B3">
          <w:rPr>
            <w:webHidden/>
          </w:rPr>
          <w:tab/>
        </w:r>
        <w:r w:rsidR="00BC24B3">
          <w:rPr>
            <w:webHidden/>
          </w:rPr>
          <w:fldChar w:fldCharType="begin"/>
        </w:r>
        <w:r w:rsidR="00BC24B3">
          <w:rPr>
            <w:webHidden/>
          </w:rPr>
          <w:instrText xml:space="preserve"> PAGEREF _Toc382298154 \h </w:instrText>
        </w:r>
        <w:r w:rsidR="00BC24B3">
          <w:rPr>
            <w:webHidden/>
          </w:rPr>
        </w:r>
        <w:r w:rsidR="00BC24B3">
          <w:rPr>
            <w:webHidden/>
          </w:rPr>
          <w:fldChar w:fldCharType="separate"/>
        </w:r>
        <w:r w:rsidR="007C769A">
          <w:rPr>
            <w:webHidden/>
          </w:rPr>
          <w:t>41</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55" w:history="1">
        <w:r w:rsidR="00BC24B3" w:rsidRPr="00716F66">
          <w:rPr>
            <w:rStyle w:val="Kpr"/>
            <w:bCs/>
          </w:rPr>
          <w:t xml:space="preserve">Şekil 2.5: </w:t>
        </w:r>
        <w:r w:rsidR="00BC24B3" w:rsidRPr="00716F66">
          <w:rPr>
            <w:rStyle w:val="Kpr"/>
          </w:rPr>
          <w:t>Düşük Nükleer Enerji Senaryosunda Nükleer Enerjiden Elektrik Üretimi Kapasitesi</w:t>
        </w:r>
        <w:r w:rsidR="00BC24B3">
          <w:rPr>
            <w:webHidden/>
          </w:rPr>
          <w:tab/>
        </w:r>
        <w:r w:rsidR="00BC24B3">
          <w:rPr>
            <w:webHidden/>
          </w:rPr>
          <w:fldChar w:fldCharType="begin"/>
        </w:r>
        <w:r w:rsidR="00BC24B3">
          <w:rPr>
            <w:webHidden/>
          </w:rPr>
          <w:instrText xml:space="preserve"> PAGEREF _Toc382298155 \h </w:instrText>
        </w:r>
        <w:r w:rsidR="00BC24B3">
          <w:rPr>
            <w:webHidden/>
          </w:rPr>
        </w:r>
        <w:r w:rsidR="00BC24B3">
          <w:rPr>
            <w:webHidden/>
          </w:rPr>
          <w:fldChar w:fldCharType="separate"/>
        </w:r>
        <w:r w:rsidR="007C769A">
          <w:rPr>
            <w:webHidden/>
          </w:rPr>
          <w:t>41</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56" w:history="1">
        <w:r w:rsidR="00BC24B3" w:rsidRPr="00716F66">
          <w:rPr>
            <w:rStyle w:val="Kpr"/>
            <w:bCs/>
          </w:rPr>
          <w:t xml:space="preserve">Şekil 2.6: </w:t>
        </w:r>
        <w:r w:rsidR="00BC24B3" w:rsidRPr="00716F66">
          <w:rPr>
            <w:rStyle w:val="Kpr"/>
          </w:rPr>
          <w:t>Yeni Politikalar Senaryosuna Göre 450 Senaryosunda Dünya CO</w:t>
        </w:r>
        <w:r w:rsidR="00BC24B3" w:rsidRPr="00716F66">
          <w:rPr>
            <w:rStyle w:val="Kpr"/>
            <w:vertAlign w:val="subscript"/>
          </w:rPr>
          <w:t>2</w:t>
        </w:r>
        <w:r w:rsidR="00BC24B3" w:rsidRPr="00716F66">
          <w:rPr>
            <w:rStyle w:val="Kpr"/>
          </w:rPr>
          <w:t xml:space="preserve"> Emisyon Azaltımları</w:t>
        </w:r>
        <w:r w:rsidR="00BC24B3">
          <w:rPr>
            <w:webHidden/>
          </w:rPr>
          <w:tab/>
        </w:r>
        <w:r w:rsidR="00BC24B3">
          <w:rPr>
            <w:webHidden/>
          </w:rPr>
          <w:fldChar w:fldCharType="begin"/>
        </w:r>
        <w:r w:rsidR="00BC24B3">
          <w:rPr>
            <w:webHidden/>
          </w:rPr>
          <w:instrText xml:space="preserve"> PAGEREF _Toc382298156 \h </w:instrText>
        </w:r>
        <w:r w:rsidR="00BC24B3">
          <w:rPr>
            <w:webHidden/>
          </w:rPr>
        </w:r>
        <w:r w:rsidR="00BC24B3">
          <w:rPr>
            <w:webHidden/>
          </w:rPr>
          <w:fldChar w:fldCharType="separate"/>
        </w:r>
        <w:r w:rsidR="007C769A">
          <w:rPr>
            <w:webHidden/>
          </w:rPr>
          <w:t>42</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57" w:history="1">
        <w:r w:rsidR="00BC24B3" w:rsidRPr="00716F66">
          <w:rPr>
            <w:rStyle w:val="Kpr"/>
          </w:rPr>
          <w:t>Şekil 2.7: Dünyada Enerji Verimliliği Konusunda Alınan Önlemler</w:t>
        </w:r>
        <w:r w:rsidR="00BC24B3">
          <w:rPr>
            <w:webHidden/>
          </w:rPr>
          <w:tab/>
        </w:r>
        <w:r w:rsidR="00BC24B3">
          <w:rPr>
            <w:webHidden/>
          </w:rPr>
          <w:fldChar w:fldCharType="begin"/>
        </w:r>
        <w:r w:rsidR="00BC24B3">
          <w:rPr>
            <w:webHidden/>
          </w:rPr>
          <w:instrText xml:space="preserve"> PAGEREF _Toc382298157 \h </w:instrText>
        </w:r>
        <w:r w:rsidR="00BC24B3">
          <w:rPr>
            <w:webHidden/>
          </w:rPr>
        </w:r>
        <w:r w:rsidR="00BC24B3">
          <w:rPr>
            <w:webHidden/>
          </w:rPr>
          <w:fldChar w:fldCharType="separate"/>
        </w:r>
        <w:r w:rsidR="007C769A">
          <w:rPr>
            <w:webHidden/>
          </w:rPr>
          <w:t>44</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58" w:history="1">
        <w:r w:rsidR="00BC24B3" w:rsidRPr="00716F66">
          <w:rPr>
            <w:rStyle w:val="Kpr"/>
          </w:rPr>
          <w:t xml:space="preserve">Şekil 2.8: Avrupa Birliği’nin Enerji Verimliliği Hedefleri </w:t>
        </w:r>
        <w:r w:rsidR="00BC24B3">
          <w:rPr>
            <w:webHidden/>
          </w:rPr>
          <w:tab/>
        </w:r>
        <w:r w:rsidR="00BC24B3">
          <w:rPr>
            <w:webHidden/>
          </w:rPr>
          <w:fldChar w:fldCharType="begin"/>
        </w:r>
        <w:r w:rsidR="00BC24B3">
          <w:rPr>
            <w:webHidden/>
          </w:rPr>
          <w:instrText xml:space="preserve"> PAGEREF _Toc382298158 \h </w:instrText>
        </w:r>
        <w:r w:rsidR="00BC24B3">
          <w:rPr>
            <w:webHidden/>
          </w:rPr>
        </w:r>
        <w:r w:rsidR="00BC24B3">
          <w:rPr>
            <w:webHidden/>
          </w:rPr>
          <w:fldChar w:fldCharType="separate"/>
        </w:r>
        <w:r w:rsidR="007C769A">
          <w:rPr>
            <w:webHidden/>
          </w:rPr>
          <w:t>45</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59" w:history="1">
        <w:r w:rsidR="00BC24B3" w:rsidRPr="00716F66">
          <w:rPr>
            <w:rStyle w:val="Kpr"/>
          </w:rPr>
          <w:t>Şekil 2.9: 1997 Yılında, Yeryüzü ve Atmosfer Arasındaki CO</w:t>
        </w:r>
        <w:r w:rsidR="00BC24B3" w:rsidRPr="00716F66">
          <w:rPr>
            <w:rStyle w:val="Kpr"/>
            <w:vertAlign w:val="subscript"/>
          </w:rPr>
          <w:t>2</w:t>
        </w:r>
        <w:r w:rsidR="00547877">
          <w:rPr>
            <w:rStyle w:val="Kpr"/>
          </w:rPr>
          <w:t xml:space="preserve"> Akış</w:t>
        </w:r>
        <w:r w:rsidR="00BC24B3" w:rsidRPr="00716F66">
          <w:rPr>
            <w:rStyle w:val="Kpr"/>
          </w:rPr>
          <w:t>ı (milyar ton karbon/yıl)</w:t>
        </w:r>
        <w:r w:rsidR="00BC24B3">
          <w:rPr>
            <w:webHidden/>
          </w:rPr>
          <w:tab/>
        </w:r>
        <w:r w:rsidR="00BC24B3">
          <w:rPr>
            <w:webHidden/>
          </w:rPr>
          <w:fldChar w:fldCharType="begin"/>
        </w:r>
        <w:r w:rsidR="00BC24B3">
          <w:rPr>
            <w:webHidden/>
          </w:rPr>
          <w:instrText xml:space="preserve"> PAGEREF _Toc382298159 \h </w:instrText>
        </w:r>
        <w:r w:rsidR="00BC24B3">
          <w:rPr>
            <w:webHidden/>
          </w:rPr>
        </w:r>
        <w:r w:rsidR="00BC24B3">
          <w:rPr>
            <w:webHidden/>
          </w:rPr>
          <w:fldChar w:fldCharType="separate"/>
        </w:r>
        <w:r w:rsidR="007C769A">
          <w:rPr>
            <w:webHidden/>
          </w:rPr>
          <w:t>48</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60" w:history="1">
        <w:r w:rsidR="00BC24B3" w:rsidRPr="00716F66">
          <w:rPr>
            <w:rStyle w:val="Kpr"/>
            <w:bCs/>
          </w:rPr>
          <w:t xml:space="preserve">Şekil 2.10: </w:t>
        </w:r>
        <w:r w:rsidR="00547877">
          <w:rPr>
            <w:rStyle w:val="Kpr"/>
            <w:shd w:val="clear" w:color="auto" w:fill="FFFFFF"/>
          </w:rPr>
          <w:t>Karbon Yakalama ve Depolama Akış Ş</w:t>
        </w:r>
        <w:r w:rsidR="00BC24B3" w:rsidRPr="00716F66">
          <w:rPr>
            <w:rStyle w:val="Kpr"/>
            <w:shd w:val="clear" w:color="auto" w:fill="FFFFFF"/>
          </w:rPr>
          <w:t>eması</w:t>
        </w:r>
        <w:r w:rsidR="00BC24B3">
          <w:rPr>
            <w:webHidden/>
          </w:rPr>
          <w:tab/>
        </w:r>
        <w:r w:rsidR="00BC24B3">
          <w:rPr>
            <w:webHidden/>
          </w:rPr>
          <w:fldChar w:fldCharType="begin"/>
        </w:r>
        <w:r w:rsidR="00BC24B3">
          <w:rPr>
            <w:webHidden/>
          </w:rPr>
          <w:instrText xml:space="preserve"> PAGEREF _Toc382298160 \h </w:instrText>
        </w:r>
        <w:r w:rsidR="00BC24B3">
          <w:rPr>
            <w:webHidden/>
          </w:rPr>
        </w:r>
        <w:r w:rsidR="00BC24B3">
          <w:rPr>
            <w:webHidden/>
          </w:rPr>
          <w:fldChar w:fldCharType="separate"/>
        </w:r>
        <w:r w:rsidR="007C769A">
          <w:rPr>
            <w:webHidden/>
          </w:rPr>
          <w:t>50</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61" w:history="1">
        <w:r w:rsidR="00BC24B3" w:rsidRPr="00716F66">
          <w:rPr>
            <w:rStyle w:val="Kpr"/>
          </w:rPr>
          <w:t>Şekil 2.11: BMİDÇS’ye Göre Ülkelerin Sınıflandırılması</w:t>
        </w:r>
        <w:r w:rsidR="00BC24B3">
          <w:rPr>
            <w:webHidden/>
          </w:rPr>
          <w:tab/>
        </w:r>
        <w:r w:rsidR="00BC24B3">
          <w:rPr>
            <w:webHidden/>
          </w:rPr>
          <w:fldChar w:fldCharType="begin"/>
        </w:r>
        <w:r w:rsidR="00BC24B3">
          <w:rPr>
            <w:webHidden/>
          </w:rPr>
          <w:instrText xml:space="preserve"> PAGEREF _Toc382298161 \h </w:instrText>
        </w:r>
        <w:r w:rsidR="00BC24B3">
          <w:rPr>
            <w:webHidden/>
          </w:rPr>
        </w:r>
        <w:r w:rsidR="00BC24B3">
          <w:rPr>
            <w:webHidden/>
          </w:rPr>
          <w:fldChar w:fldCharType="separate"/>
        </w:r>
        <w:r w:rsidR="007C769A">
          <w:rPr>
            <w:webHidden/>
          </w:rPr>
          <w:t>61</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62" w:history="1">
        <w:r w:rsidR="00BC24B3" w:rsidRPr="00716F66">
          <w:rPr>
            <w:rStyle w:val="Kpr"/>
          </w:rPr>
          <w:t>Şekil 2.12: Kyoto Protokolü Çerçevesinde Avrupa Ülkelerinin 2000 Baz Yılına Göre Sera Gazı Azaltım Hedefleri (2008-2012)</w:t>
        </w:r>
        <w:r w:rsidR="00BC24B3">
          <w:rPr>
            <w:webHidden/>
          </w:rPr>
          <w:tab/>
        </w:r>
        <w:r w:rsidR="00BC24B3">
          <w:rPr>
            <w:webHidden/>
          </w:rPr>
          <w:fldChar w:fldCharType="begin"/>
        </w:r>
        <w:r w:rsidR="00BC24B3">
          <w:rPr>
            <w:webHidden/>
          </w:rPr>
          <w:instrText xml:space="preserve"> PAGEREF _Toc382298162 \h </w:instrText>
        </w:r>
        <w:r w:rsidR="00BC24B3">
          <w:rPr>
            <w:webHidden/>
          </w:rPr>
        </w:r>
        <w:r w:rsidR="00BC24B3">
          <w:rPr>
            <w:webHidden/>
          </w:rPr>
          <w:fldChar w:fldCharType="separate"/>
        </w:r>
        <w:r w:rsidR="007C769A">
          <w:rPr>
            <w:webHidden/>
          </w:rPr>
          <w:t>62</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63" w:history="1">
        <w:r w:rsidR="00BC24B3" w:rsidRPr="00716F66">
          <w:rPr>
            <w:rStyle w:val="Kpr"/>
          </w:rPr>
          <w:t>Şekil 2.13: Kyoto Protokolü Çerçevesinde Avrupa Ülkelerinin 2000 Baz Yılına Göre Sera Gazı Azaltım Hedefleri (2020)</w:t>
        </w:r>
        <w:r w:rsidR="00BC24B3">
          <w:rPr>
            <w:webHidden/>
          </w:rPr>
          <w:tab/>
        </w:r>
        <w:r w:rsidR="00BC24B3">
          <w:rPr>
            <w:webHidden/>
          </w:rPr>
          <w:fldChar w:fldCharType="begin"/>
        </w:r>
        <w:r w:rsidR="00BC24B3">
          <w:rPr>
            <w:webHidden/>
          </w:rPr>
          <w:instrText xml:space="preserve"> PAGEREF _Toc382298163 \h </w:instrText>
        </w:r>
        <w:r w:rsidR="00BC24B3">
          <w:rPr>
            <w:webHidden/>
          </w:rPr>
        </w:r>
        <w:r w:rsidR="00BC24B3">
          <w:rPr>
            <w:webHidden/>
          </w:rPr>
          <w:fldChar w:fldCharType="separate"/>
        </w:r>
        <w:r w:rsidR="007C769A">
          <w:rPr>
            <w:webHidden/>
          </w:rPr>
          <w:t>64</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64" w:history="1">
        <w:r w:rsidR="00BC24B3" w:rsidRPr="00716F66">
          <w:rPr>
            <w:rStyle w:val="Kpr"/>
          </w:rPr>
          <w:t>Şekil 2.14: Kyoto Protokolü Yükümlülükleri Kapsamında Esneklik Mekanizmalarının Kullanımı</w:t>
        </w:r>
        <w:r w:rsidR="00BC24B3">
          <w:rPr>
            <w:webHidden/>
          </w:rPr>
          <w:tab/>
        </w:r>
        <w:r w:rsidR="00BC24B3">
          <w:rPr>
            <w:webHidden/>
          </w:rPr>
          <w:fldChar w:fldCharType="begin"/>
        </w:r>
        <w:r w:rsidR="00BC24B3">
          <w:rPr>
            <w:webHidden/>
          </w:rPr>
          <w:instrText xml:space="preserve"> PAGEREF _Toc382298164 \h </w:instrText>
        </w:r>
        <w:r w:rsidR="00BC24B3">
          <w:rPr>
            <w:webHidden/>
          </w:rPr>
        </w:r>
        <w:r w:rsidR="00BC24B3">
          <w:rPr>
            <w:webHidden/>
          </w:rPr>
          <w:fldChar w:fldCharType="separate"/>
        </w:r>
        <w:r w:rsidR="007C769A">
          <w:rPr>
            <w:webHidden/>
          </w:rPr>
          <w:t>68</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65" w:history="1">
        <w:r w:rsidR="00BC24B3" w:rsidRPr="00716F66">
          <w:rPr>
            <w:rStyle w:val="Kpr"/>
          </w:rPr>
          <w:t>Şekil 3.1: Çevresel Kuznets Eğrisi</w:t>
        </w:r>
        <w:r w:rsidR="00BC24B3">
          <w:rPr>
            <w:webHidden/>
          </w:rPr>
          <w:tab/>
        </w:r>
        <w:r w:rsidR="00BC24B3">
          <w:rPr>
            <w:webHidden/>
          </w:rPr>
          <w:fldChar w:fldCharType="begin"/>
        </w:r>
        <w:r w:rsidR="00BC24B3">
          <w:rPr>
            <w:webHidden/>
          </w:rPr>
          <w:instrText xml:space="preserve"> PAGEREF _Toc382298165 \h </w:instrText>
        </w:r>
        <w:r w:rsidR="00BC24B3">
          <w:rPr>
            <w:webHidden/>
          </w:rPr>
        </w:r>
        <w:r w:rsidR="00BC24B3">
          <w:rPr>
            <w:webHidden/>
          </w:rPr>
          <w:fldChar w:fldCharType="separate"/>
        </w:r>
        <w:r w:rsidR="007C769A">
          <w:rPr>
            <w:webHidden/>
          </w:rPr>
          <w:t>76</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66" w:history="1">
        <w:r w:rsidR="00BC24B3" w:rsidRPr="00716F66">
          <w:rPr>
            <w:rStyle w:val="Kpr"/>
          </w:rPr>
          <w:t>Şekil 3.2: Arz Eğrisinin Kayması</w:t>
        </w:r>
        <w:r w:rsidR="00BC24B3">
          <w:rPr>
            <w:webHidden/>
          </w:rPr>
          <w:tab/>
        </w:r>
        <w:r w:rsidR="00BC24B3">
          <w:rPr>
            <w:webHidden/>
          </w:rPr>
          <w:fldChar w:fldCharType="begin"/>
        </w:r>
        <w:r w:rsidR="00BC24B3">
          <w:rPr>
            <w:webHidden/>
          </w:rPr>
          <w:instrText xml:space="preserve"> PAGEREF _Toc382298166 \h </w:instrText>
        </w:r>
        <w:r w:rsidR="00BC24B3">
          <w:rPr>
            <w:webHidden/>
          </w:rPr>
        </w:r>
        <w:r w:rsidR="00BC24B3">
          <w:rPr>
            <w:webHidden/>
          </w:rPr>
          <w:fldChar w:fldCharType="separate"/>
        </w:r>
        <w:r w:rsidR="007C769A">
          <w:rPr>
            <w:webHidden/>
          </w:rPr>
          <w:t>88</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67" w:history="1">
        <w:r w:rsidR="00BC24B3" w:rsidRPr="00716F66">
          <w:rPr>
            <w:rStyle w:val="Kpr"/>
          </w:rPr>
          <w:t>Şekil 4.1: OECD Ülkelerinin 2011 Yılı Kişi Başı CO</w:t>
        </w:r>
        <w:r w:rsidR="00BC24B3" w:rsidRPr="00716F66">
          <w:rPr>
            <w:rStyle w:val="Kpr"/>
            <w:vertAlign w:val="subscript"/>
          </w:rPr>
          <w:t>2</w:t>
        </w:r>
        <w:r w:rsidR="00BC24B3" w:rsidRPr="00716F66">
          <w:rPr>
            <w:rStyle w:val="Kpr"/>
          </w:rPr>
          <w:t xml:space="preserve"> Tüketimi (tonnes CO</w:t>
        </w:r>
        <w:r w:rsidR="00BC24B3" w:rsidRPr="00716F66">
          <w:rPr>
            <w:rStyle w:val="Kpr"/>
            <w:vertAlign w:val="subscript"/>
          </w:rPr>
          <w:t>2</w:t>
        </w:r>
        <w:r w:rsidR="00BC24B3" w:rsidRPr="00716F66">
          <w:rPr>
            <w:rStyle w:val="Kpr"/>
          </w:rPr>
          <w:t>/capita)</w:t>
        </w:r>
        <w:r w:rsidR="00BC24B3">
          <w:rPr>
            <w:webHidden/>
          </w:rPr>
          <w:tab/>
        </w:r>
        <w:r w:rsidR="00BC24B3">
          <w:rPr>
            <w:webHidden/>
          </w:rPr>
          <w:fldChar w:fldCharType="begin"/>
        </w:r>
        <w:r w:rsidR="00BC24B3">
          <w:rPr>
            <w:webHidden/>
          </w:rPr>
          <w:instrText xml:space="preserve"> PAGEREF _Toc382298167 \h </w:instrText>
        </w:r>
        <w:r w:rsidR="00BC24B3">
          <w:rPr>
            <w:webHidden/>
          </w:rPr>
        </w:r>
        <w:r w:rsidR="00BC24B3">
          <w:rPr>
            <w:webHidden/>
          </w:rPr>
          <w:fldChar w:fldCharType="separate"/>
        </w:r>
        <w:r w:rsidR="007C769A">
          <w:rPr>
            <w:webHidden/>
          </w:rPr>
          <w:t>104</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68" w:history="1">
        <w:r w:rsidR="00BC24B3" w:rsidRPr="00716F66">
          <w:rPr>
            <w:rStyle w:val="Kpr"/>
          </w:rPr>
          <w:t>Şekil 4.2: OECD Ülkeleri 2011 Yılı Kişi Başı Gelir (GDP per capita, constant 2005 US$)</w:t>
        </w:r>
        <w:r w:rsidR="00BC24B3">
          <w:rPr>
            <w:webHidden/>
          </w:rPr>
          <w:tab/>
        </w:r>
        <w:r w:rsidR="00BC24B3">
          <w:rPr>
            <w:webHidden/>
          </w:rPr>
          <w:fldChar w:fldCharType="begin"/>
        </w:r>
        <w:r w:rsidR="00BC24B3">
          <w:rPr>
            <w:webHidden/>
          </w:rPr>
          <w:instrText xml:space="preserve"> PAGEREF _Toc382298168 \h </w:instrText>
        </w:r>
        <w:r w:rsidR="00BC24B3">
          <w:rPr>
            <w:webHidden/>
          </w:rPr>
        </w:r>
        <w:r w:rsidR="00BC24B3">
          <w:rPr>
            <w:webHidden/>
          </w:rPr>
          <w:fldChar w:fldCharType="separate"/>
        </w:r>
        <w:r w:rsidR="007C769A">
          <w:rPr>
            <w:webHidden/>
          </w:rPr>
          <w:t>105</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69" w:history="1">
        <w:r w:rsidR="00BC24B3" w:rsidRPr="00716F66">
          <w:rPr>
            <w:rStyle w:val="Kpr"/>
          </w:rPr>
          <w:t>Şekil 4.3: OECD Ülkeleri 2011 Yılı Kişi Başı Enerji Kullanımı (tonnes of oil equivalent per capita)</w:t>
        </w:r>
        <w:r w:rsidR="00BC24B3">
          <w:rPr>
            <w:webHidden/>
          </w:rPr>
          <w:tab/>
        </w:r>
        <w:r w:rsidR="00BC24B3">
          <w:rPr>
            <w:webHidden/>
          </w:rPr>
          <w:fldChar w:fldCharType="begin"/>
        </w:r>
        <w:r w:rsidR="00BC24B3">
          <w:rPr>
            <w:webHidden/>
          </w:rPr>
          <w:instrText xml:space="preserve"> PAGEREF _Toc382298169 \h </w:instrText>
        </w:r>
        <w:r w:rsidR="00BC24B3">
          <w:rPr>
            <w:webHidden/>
          </w:rPr>
        </w:r>
        <w:r w:rsidR="00BC24B3">
          <w:rPr>
            <w:webHidden/>
          </w:rPr>
          <w:fldChar w:fldCharType="separate"/>
        </w:r>
        <w:r w:rsidR="007C769A">
          <w:rPr>
            <w:webHidden/>
          </w:rPr>
          <w:t>106</w:t>
        </w:r>
        <w:r w:rsidR="00BC24B3">
          <w:rPr>
            <w:webHidden/>
          </w:rPr>
          <w:fldChar w:fldCharType="end"/>
        </w:r>
      </w:hyperlink>
    </w:p>
    <w:p w:rsidR="00BC24B3" w:rsidRDefault="00E56A11" w:rsidP="007E0310">
      <w:pPr>
        <w:pStyle w:val="T1"/>
        <w:rPr>
          <w:rFonts w:asciiTheme="minorHAnsi" w:eastAsiaTheme="minorEastAsia" w:hAnsiTheme="minorHAnsi" w:cstheme="minorBidi"/>
          <w:sz w:val="22"/>
          <w:szCs w:val="22"/>
          <w:lang w:eastAsia="tr-TR"/>
        </w:rPr>
      </w:pPr>
      <w:hyperlink w:anchor="_Toc382298170" w:history="1">
        <w:r w:rsidR="00BC24B3" w:rsidRPr="00716F66">
          <w:rPr>
            <w:rStyle w:val="Kpr"/>
          </w:rPr>
          <w:t>Şekil 4.4: OECD Ülkelerinde 2011 Yılı İhracatın GSYİH’ya Oranı</w:t>
        </w:r>
        <w:r w:rsidR="00BC24B3">
          <w:rPr>
            <w:webHidden/>
          </w:rPr>
          <w:tab/>
        </w:r>
        <w:r w:rsidR="00BC24B3">
          <w:rPr>
            <w:webHidden/>
          </w:rPr>
          <w:fldChar w:fldCharType="begin"/>
        </w:r>
        <w:r w:rsidR="00BC24B3">
          <w:rPr>
            <w:webHidden/>
          </w:rPr>
          <w:instrText xml:space="preserve"> PAGEREF _Toc382298170 \h </w:instrText>
        </w:r>
        <w:r w:rsidR="00BC24B3">
          <w:rPr>
            <w:webHidden/>
          </w:rPr>
        </w:r>
        <w:r w:rsidR="00BC24B3">
          <w:rPr>
            <w:webHidden/>
          </w:rPr>
          <w:fldChar w:fldCharType="separate"/>
        </w:r>
        <w:r w:rsidR="007C769A">
          <w:rPr>
            <w:webHidden/>
          </w:rPr>
          <w:t>106</w:t>
        </w:r>
        <w:r w:rsidR="00BC24B3">
          <w:rPr>
            <w:webHidden/>
          </w:rPr>
          <w:fldChar w:fldCharType="end"/>
        </w:r>
      </w:hyperlink>
    </w:p>
    <w:p w:rsidR="00BC24B3" w:rsidRDefault="00E56A11" w:rsidP="007E0310">
      <w:pPr>
        <w:pStyle w:val="T1"/>
      </w:pPr>
      <w:hyperlink w:anchor="_Toc382298171" w:history="1">
        <w:r w:rsidR="00BC24B3" w:rsidRPr="00716F66">
          <w:rPr>
            <w:rStyle w:val="Kpr"/>
          </w:rPr>
          <w:t>Şekil 4.5: OECD Ülkelerinde 2011 Yılı İthalatın GSYİH’ya Oranı</w:t>
        </w:r>
        <w:r w:rsidR="00BC24B3">
          <w:rPr>
            <w:webHidden/>
          </w:rPr>
          <w:tab/>
        </w:r>
        <w:r w:rsidR="00BC24B3">
          <w:rPr>
            <w:webHidden/>
          </w:rPr>
          <w:fldChar w:fldCharType="begin"/>
        </w:r>
        <w:r w:rsidR="00BC24B3">
          <w:rPr>
            <w:webHidden/>
          </w:rPr>
          <w:instrText xml:space="preserve"> PAGEREF _Toc382298171 \h </w:instrText>
        </w:r>
        <w:r w:rsidR="00BC24B3">
          <w:rPr>
            <w:webHidden/>
          </w:rPr>
        </w:r>
        <w:r w:rsidR="00BC24B3">
          <w:rPr>
            <w:webHidden/>
          </w:rPr>
          <w:fldChar w:fldCharType="separate"/>
        </w:r>
        <w:r w:rsidR="007C769A">
          <w:rPr>
            <w:webHidden/>
          </w:rPr>
          <w:t>107</w:t>
        </w:r>
        <w:r w:rsidR="00BC24B3">
          <w:rPr>
            <w:webHidden/>
          </w:rPr>
          <w:fldChar w:fldCharType="end"/>
        </w:r>
      </w:hyperlink>
    </w:p>
    <w:p w:rsidR="001E63B1" w:rsidRDefault="001E63B1" w:rsidP="001E63B1">
      <w:pPr>
        <w:rPr>
          <w:rFonts w:eastAsiaTheme="minorEastAsia"/>
        </w:rPr>
      </w:pPr>
      <w:r>
        <w:rPr>
          <w:rFonts w:eastAsiaTheme="minorEastAsia"/>
        </w:rPr>
        <w:br w:type="page"/>
      </w:r>
    </w:p>
    <w:p w:rsidR="0095448C" w:rsidRDefault="00FD704A" w:rsidP="008C76CA">
      <w:pPr>
        <w:pStyle w:val="Balk1"/>
        <w:rPr>
          <w:noProof/>
        </w:rPr>
      </w:pPr>
      <w:r>
        <w:lastRenderedPageBreak/>
        <w:fldChar w:fldCharType="end"/>
      </w:r>
      <w:bookmarkStart w:id="17" w:name="_Toc384823970"/>
      <w:r w:rsidR="00FB0E0B" w:rsidRPr="00B262D6">
        <w:t>ÇİZELGE</w:t>
      </w:r>
      <w:r w:rsidR="0044255F" w:rsidRPr="00B262D6">
        <w:t xml:space="preserve"> LİSTES</w:t>
      </w:r>
      <w:r w:rsidR="00347ACC" w:rsidRPr="00B262D6">
        <w:t>İ</w:t>
      </w:r>
      <w:bookmarkEnd w:id="17"/>
      <w:r w:rsidR="006E0712">
        <w:fldChar w:fldCharType="begin"/>
      </w:r>
      <w:r w:rsidR="006E0712" w:rsidRPr="00B262D6">
        <w:instrText xml:space="preserve"> TOC \h \z \t "içt6,1" </w:instrText>
      </w:r>
      <w:r w:rsidR="006E0712">
        <w:fldChar w:fldCharType="separate"/>
      </w:r>
    </w:p>
    <w:p w:rsidR="0095448C" w:rsidRDefault="00E56A11">
      <w:pPr>
        <w:pStyle w:val="T1"/>
        <w:rPr>
          <w:rFonts w:asciiTheme="minorHAnsi" w:eastAsiaTheme="minorEastAsia" w:hAnsiTheme="minorHAnsi" w:cstheme="minorBidi"/>
          <w:sz w:val="22"/>
          <w:szCs w:val="22"/>
          <w:lang w:eastAsia="tr-TR"/>
        </w:rPr>
      </w:pPr>
      <w:hyperlink w:anchor="_Toc384716090" w:history="1">
        <w:r w:rsidR="0095448C" w:rsidRPr="00674207">
          <w:rPr>
            <w:rStyle w:val="Kpr"/>
            <w:iCs/>
          </w:rPr>
          <w:t>Çizelge 1.1: Okyanuslar, Akarsular ve Nehirlerden kaynaktan Doğal Metan Emisyonları</w:t>
        </w:r>
        <w:r w:rsidR="0095448C">
          <w:rPr>
            <w:webHidden/>
          </w:rPr>
          <w:tab/>
          <w:t>………………………………………………………………………………………</w:t>
        </w:r>
        <w:r w:rsidR="0095448C">
          <w:rPr>
            <w:webHidden/>
          </w:rPr>
          <w:fldChar w:fldCharType="begin"/>
        </w:r>
        <w:r w:rsidR="0095448C">
          <w:rPr>
            <w:webHidden/>
          </w:rPr>
          <w:instrText xml:space="preserve"> PAGEREF _Toc384716090 \h </w:instrText>
        </w:r>
        <w:r w:rsidR="0095448C">
          <w:rPr>
            <w:webHidden/>
          </w:rPr>
        </w:r>
        <w:r w:rsidR="0095448C">
          <w:rPr>
            <w:webHidden/>
          </w:rPr>
          <w:fldChar w:fldCharType="separate"/>
        </w:r>
        <w:r w:rsidR="007C769A">
          <w:rPr>
            <w:webHidden/>
          </w:rPr>
          <w:t>12</w:t>
        </w:r>
        <w:r w:rsidR="0095448C">
          <w:rPr>
            <w:webHidden/>
          </w:rPr>
          <w:fldChar w:fldCharType="end"/>
        </w:r>
      </w:hyperlink>
    </w:p>
    <w:p w:rsidR="0095448C" w:rsidRDefault="00E56A11">
      <w:pPr>
        <w:pStyle w:val="T1"/>
        <w:rPr>
          <w:rFonts w:asciiTheme="minorHAnsi" w:eastAsiaTheme="minorEastAsia" w:hAnsiTheme="minorHAnsi" w:cstheme="minorBidi"/>
          <w:sz w:val="22"/>
          <w:szCs w:val="22"/>
          <w:lang w:eastAsia="tr-TR"/>
        </w:rPr>
      </w:pPr>
      <w:hyperlink w:anchor="_Toc384716091" w:history="1">
        <w:r w:rsidR="0095448C" w:rsidRPr="00674207">
          <w:rPr>
            <w:rStyle w:val="Kpr"/>
          </w:rPr>
          <w:t>Çizelge 1.2: İnsan Faaliyetlerine Dayanan Temel Sera Gazları</w:t>
        </w:r>
        <w:r w:rsidR="0095448C">
          <w:rPr>
            <w:webHidden/>
          </w:rPr>
          <w:tab/>
        </w:r>
        <w:r w:rsidR="0095448C">
          <w:rPr>
            <w:webHidden/>
          </w:rPr>
          <w:fldChar w:fldCharType="begin"/>
        </w:r>
        <w:r w:rsidR="0095448C">
          <w:rPr>
            <w:webHidden/>
          </w:rPr>
          <w:instrText xml:space="preserve"> PAGEREF _Toc384716091 \h </w:instrText>
        </w:r>
        <w:r w:rsidR="0095448C">
          <w:rPr>
            <w:webHidden/>
          </w:rPr>
        </w:r>
        <w:r w:rsidR="0095448C">
          <w:rPr>
            <w:webHidden/>
          </w:rPr>
          <w:fldChar w:fldCharType="separate"/>
        </w:r>
        <w:r w:rsidR="007C769A">
          <w:rPr>
            <w:webHidden/>
          </w:rPr>
          <w:t>13</w:t>
        </w:r>
        <w:r w:rsidR="0095448C">
          <w:rPr>
            <w:webHidden/>
          </w:rPr>
          <w:fldChar w:fldCharType="end"/>
        </w:r>
      </w:hyperlink>
    </w:p>
    <w:p w:rsidR="0095448C" w:rsidRDefault="00E56A11">
      <w:pPr>
        <w:pStyle w:val="T1"/>
        <w:rPr>
          <w:rFonts w:asciiTheme="minorHAnsi" w:eastAsiaTheme="minorEastAsia" w:hAnsiTheme="minorHAnsi" w:cstheme="minorBidi"/>
          <w:sz w:val="22"/>
          <w:szCs w:val="22"/>
          <w:lang w:eastAsia="tr-TR"/>
        </w:rPr>
      </w:pPr>
      <w:hyperlink w:anchor="_Toc384716092" w:history="1">
        <w:r w:rsidR="0095448C" w:rsidRPr="00674207">
          <w:rPr>
            <w:rStyle w:val="Kpr"/>
          </w:rPr>
          <w:t>Çizelge 1.3: Sera Gazı Emisyonunu Etkileyen Faktörler</w:t>
        </w:r>
        <w:r w:rsidR="0095448C">
          <w:rPr>
            <w:webHidden/>
          </w:rPr>
          <w:tab/>
        </w:r>
        <w:r w:rsidR="0095448C">
          <w:rPr>
            <w:webHidden/>
          </w:rPr>
          <w:fldChar w:fldCharType="begin"/>
        </w:r>
        <w:r w:rsidR="0095448C">
          <w:rPr>
            <w:webHidden/>
          </w:rPr>
          <w:instrText xml:space="preserve"> PAGEREF _Toc384716092 \h </w:instrText>
        </w:r>
        <w:r w:rsidR="0095448C">
          <w:rPr>
            <w:webHidden/>
          </w:rPr>
        </w:r>
        <w:r w:rsidR="0095448C">
          <w:rPr>
            <w:webHidden/>
          </w:rPr>
          <w:fldChar w:fldCharType="separate"/>
        </w:r>
        <w:r w:rsidR="007C769A">
          <w:rPr>
            <w:webHidden/>
          </w:rPr>
          <w:t>20</w:t>
        </w:r>
        <w:r w:rsidR="0095448C">
          <w:rPr>
            <w:webHidden/>
          </w:rPr>
          <w:fldChar w:fldCharType="end"/>
        </w:r>
      </w:hyperlink>
    </w:p>
    <w:p w:rsidR="0095448C" w:rsidRDefault="00E56A11">
      <w:pPr>
        <w:pStyle w:val="T1"/>
        <w:rPr>
          <w:rFonts w:asciiTheme="minorHAnsi" w:eastAsiaTheme="minorEastAsia" w:hAnsiTheme="minorHAnsi" w:cstheme="minorBidi"/>
          <w:sz w:val="22"/>
          <w:szCs w:val="22"/>
          <w:lang w:eastAsia="tr-TR"/>
        </w:rPr>
      </w:pPr>
      <w:hyperlink w:anchor="_Toc384716093" w:history="1">
        <w:r w:rsidR="0095448C" w:rsidRPr="00674207">
          <w:rPr>
            <w:rStyle w:val="Kpr"/>
          </w:rPr>
          <w:t>Çizelge 1.4: Farklı ülkelerde üretilen katma değerde sanayinin oranı</w:t>
        </w:r>
        <w:r w:rsidR="0095448C">
          <w:rPr>
            <w:webHidden/>
          </w:rPr>
          <w:tab/>
        </w:r>
        <w:r w:rsidR="0095448C">
          <w:rPr>
            <w:webHidden/>
          </w:rPr>
          <w:fldChar w:fldCharType="begin"/>
        </w:r>
        <w:r w:rsidR="0095448C">
          <w:rPr>
            <w:webHidden/>
          </w:rPr>
          <w:instrText xml:space="preserve"> PAGEREF _Toc384716093 \h </w:instrText>
        </w:r>
        <w:r w:rsidR="0095448C">
          <w:rPr>
            <w:webHidden/>
          </w:rPr>
        </w:r>
        <w:r w:rsidR="0095448C">
          <w:rPr>
            <w:webHidden/>
          </w:rPr>
          <w:fldChar w:fldCharType="separate"/>
        </w:r>
        <w:r w:rsidR="007C769A">
          <w:rPr>
            <w:webHidden/>
          </w:rPr>
          <w:t>23</w:t>
        </w:r>
        <w:r w:rsidR="0095448C">
          <w:rPr>
            <w:webHidden/>
          </w:rPr>
          <w:fldChar w:fldCharType="end"/>
        </w:r>
      </w:hyperlink>
    </w:p>
    <w:p w:rsidR="0095448C" w:rsidRDefault="00E56A11">
      <w:pPr>
        <w:pStyle w:val="T1"/>
        <w:rPr>
          <w:rFonts w:asciiTheme="minorHAnsi" w:eastAsiaTheme="minorEastAsia" w:hAnsiTheme="minorHAnsi" w:cstheme="minorBidi"/>
          <w:sz w:val="22"/>
          <w:szCs w:val="22"/>
          <w:lang w:eastAsia="tr-TR"/>
        </w:rPr>
      </w:pPr>
      <w:hyperlink w:anchor="_Toc384716094" w:history="1">
        <w:r w:rsidR="0095448C" w:rsidRPr="00674207">
          <w:rPr>
            <w:rStyle w:val="Kpr"/>
          </w:rPr>
          <w:t>Çizelge 1.5: İklim değişikliği konulu uluslararası ve hükümetlerarası görüşmeler sürecinde 1979-2013 döneminde gerçekleşen önemli dönüm noktaları ve gelişmeler</w:t>
        </w:r>
        <w:r w:rsidR="0095448C">
          <w:rPr>
            <w:webHidden/>
          </w:rPr>
          <w:tab/>
        </w:r>
        <w:r w:rsidR="0095448C">
          <w:rPr>
            <w:webHidden/>
          </w:rPr>
          <w:fldChar w:fldCharType="begin"/>
        </w:r>
        <w:r w:rsidR="0095448C">
          <w:rPr>
            <w:webHidden/>
          </w:rPr>
          <w:instrText xml:space="preserve"> PAGEREF _Toc384716094 \h </w:instrText>
        </w:r>
        <w:r w:rsidR="0095448C">
          <w:rPr>
            <w:webHidden/>
          </w:rPr>
        </w:r>
        <w:r w:rsidR="0095448C">
          <w:rPr>
            <w:webHidden/>
          </w:rPr>
          <w:fldChar w:fldCharType="separate"/>
        </w:r>
        <w:r w:rsidR="007C769A">
          <w:rPr>
            <w:webHidden/>
          </w:rPr>
          <w:t>28</w:t>
        </w:r>
        <w:r w:rsidR="0095448C">
          <w:rPr>
            <w:webHidden/>
          </w:rPr>
          <w:fldChar w:fldCharType="end"/>
        </w:r>
      </w:hyperlink>
    </w:p>
    <w:p w:rsidR="0095448C" w:rsidRDefault="00E56A11">
      <w:pPr>
        <w:pStyle w:val="T1"/>
        <w:rPr>
          <w:rFonts w:asciiTheme="minorHAnsi" w:eastAsiaTheme="minorEastAsia" w:hAnsiTheme="minorHAnsi" w:cstheme="minorBidi"/>
          <w:sz w:val="22"/>
          <w:szCs w:val="22"/>
          <w:lang w:eastAsia="tr-TR"/>
        </w:rPr>
      </w:pPr>
      <w:hyperlink w:anchor="_Toc384716095" w:history="1">
        <w:r w:rsidR="0095448C" w:rsidRPr="00674207">
          <w:rPr>
            <w:rStyle w:val="Kpr"/>
          </w:rPr>
          <w:t>Çizelge 1.6: Bali Eylem Planı</w:t>
        </w:r>
        <w:r w:rsidR="0095448C">
          <w:rPr>
            <w:webHidden/>
          </w:rPr>
          <w:tab/>
        </w:r>
        <w:r w:rsidR="0095448C">
          <w:rPr>
            <w:webHidden/>
          </w:rPr>
          <w:fldChar w:fldCharType="begin"/>
        </w:r>
        <w:r w:rsidR="0095448C">
          <w:rPr>
            <w:webHidden/>
          </w:rPr>
          <w:instrText xml:space="preserve"> PAGEREF _Toc384716095 \h </w:instrText>
        </w:r>
        <w:r w:rsidR="0095448C">
          <w:rPr>
            <w:webHidden/>
          </w:rPr>
        </w:r>
        <w:r w:rsidR="0095448C">
          <w:rPr>
            <w:webHidden/>
          </w:rPr>
          <w:fldChar w:fldCharType="separate"/>
        </w:r>
        <w:r w:rsidR="007C769A">
          <w:rPr>
            <w:webHidden/>
          </w:rPr>
          <w:t>31</w:t>
        </w:r>
        <w:r w:rsidR="0095448C">
          <w:rPr>
            <w:webHidden/>
          </w:rPr>
          <w:fldChar w:fldCharType="end"/>
        </w:r>
      </w:hyperlink>
    </w:p>
    <w:p w:rsidR="0095448C" w:rsidRDefault="00E56A11">
      <w:pPr>
        <w:pStyle w:val="T1"/>
        <w:rPr>
          <w:rFonts w:asciiTheme="minorHAnsi" w:eastAsiaTheme="minorEastAsia" w:hAnsiTheme="minorHAnsi" w:cstheme="minorBidi"/>
          <w:sz w:val="22"/>
          <w:szCs w:val="22"/>
          <w:lang w:eastAsia="tr-TR"/>
        </w:rPr>
      </w:pPr>
      <w:hyperlink w:anchor="_Toc384716096" w:history="1">
        <w:r w:rsidR="0095448C" w:rsidRPr="00674207">
          <w:rPr>
            <w:rStyle w:val="Kpr"/>
          </w:rPr>
          <w:t>Çizelge 2.1: BMİDÇS ve Kyoto Protokolü’nde Resmi Ülke Sınıflandırmaları</w:t>
        </w:r>
        <w:r w:rsidR="0095448C">
          <w:rPr>
            <w:webHidden/>
          </w:rPr>
          <w:tab/>
        </w:r>
        <w:r w:rsidR="0095448C">
          <w:rPr>
            <w:webHidden/>
          </w:rPr>
          <w:fldChar w:fldCharType="begin"/>
        </w:r>
        <w:r w:rsidR="0095448C">
          <w:rPr>
            <w:webHidden/>
          </w:rPr>
          <w:instrText xml:space="preserve"> PAGEREF _Toc384716096 \h </w:instrText>
        </w:r>
        <w:r w:rsidR="0095448C">
          <w:rPr>
            <w:webHidden/>
          </w:rPr>
        </w:r>
        <w:r w:rsidR="0095448C">
          <w:rPr>
            <w:webHidden/>
          </w:rPr>
          <w:fldChar w:fldCharType="separate"/>
        </w:r>
        <w:r w:rsidR="007C769A">
          <w:rPr>
            <w:webHidden/>
          </w:rPr>
          <w:t>59</w:t>
        </w:r>
        <w:r w:rsidR="0095448C">
          <w:rPr>
            <w:webHidden/>
          </w:rPr>
          <w:fldChar w:fldCharType="end"/>
        </w:r>
      </w:hyperlink>
    </w:p>
    <w:p w:rsidR="0095448C" w:rsidRDefault="00E56A11">
      <w:pPr>
        <w:pStyle w:val="T1"/>
        <w:rPr>
          <w:rFonts w:asciiTheme="minorHAnsi" w:eastAsiaTheme="minorEastAsia" w:hAnsiTheme="minorHAnsi" w:cstheme="minorBidi"/>
          <w:sz w:val="22"/>
          <w:szCs w:val="22"/>
          <w:lang w:eastAsia="tr-TR"/>
        </w:rPr>
      </w:pPr>
      <w:hyperlink w:anchor="_Toc384716097" w:history="1">
        <w:r w:rsidR="0095448C" w:rsidRPr="00674207">
          <w:rPr>
            <w:rStyle w:val="Kpr"/>
          </w:rPr>
          <w:t>Çizelge 2.2: Kyoto Protokolü Esneklik Mekanizmalarının Temel Tanımları</w:t>
        </w:r>
        <w:r w:rsidR="0095448C">
          <w:rPr>
            <w:webHidden/>
          </w:rPr>
          <w:tab/>
        </w:r>
        <w:r w:rsidR="0095448C">
          <w:rPr>
            <w:webHidden/>
          </w:rPr>
          <w:fldChar w:fldCharType="begin"/>
        </w:r>
        <w:r w:rsidR="0095448C">
          <w:rPr>
            <w:webHidden/>
          </w:rPr>
          <w:instrText xml:space="preserve"> PAGEREF _Toc384716097 \h </w:instrText>
        </w:r>
        <w:r w:rsidR="0095448C">
          <w:rPr>
            <w:webHidden/>
          </w:rPr>
        </w:r>
        <w:r w:rsidR="0095448C">
          <w:rPr>
            <w:webHidden/>
          </w:rPr>
          <w:fldChar w:fldCharType="separate"/>
        </w:r>
        <w:r w:rsidR="007C769A">
          <w:rPr>
            <w:webHidden/>
          </w:rPr>
          <w:t>68</w:t>
        </w:r>
        <w:r w:rsidR="0095448C">
          <w:rPr>
            <w:webHidden/>
          </w:rPr>
          <w:fldChar w:fldCharType="end"/>
        </w:r>
      </w:hyperlink>
    </w:p>
    <w:p w:rsidR="0095448C" w:rsidRDefault="00E56A11">
      <w:pPr>
        <w:pStyle w:val="T1"/>
        <w:rPr>
          <w:rFonts w:asciiTheme="minorHAnsi" w:eastAsiaTheme="minorEastAsia" w:hAnsiTheme="minorHAnsi" w:cstheme="minorBidi"/>
          <w:sz w:val="22"/>
          <w:szCs w:val="22"/>
          <w:lang w:eastAsia="tr-TR"/>
        </w:rPr>
      </w:pPr>
      <w:hyperlink w:anchor="_Toc384716098" w:history="1">
        <w:r w:rsidR="0095448C" w:rsidRPr="00674207">
          <w:rPr>
            <w:rStyle w:val="Kpr"/>
          </w:rPr>
          <w:t>Çizelge 3.1: Dönüm Noktaları (Turning Point)</w:t>
        </w:r>
        <w:r w:rsidR="0095448C">
          <w:rPr>
            <w:webHidden/>
          </w:rPr>
          <w:tab/>
        </w:r>
        <w:r w:rsidR="0095448C">
          <w:rPr>
            <w:webHidden/>
          </w:rPr>
          <w:fldChar w:fldCharType="begin"/>
        </w:r>
        <w:r w:rsidR="0095448C">
          <w:rPr>
            <w:webHidden/>
          </w:rPr>
          <w:instrText xml:space="preserve"> PAGEREF _Toc384716098 \h </w:instrText>
        </w:r>
        <w:r w:rsidR="0095448C">
          <w:rPr>
            <w:webHidden/>
          </w:rPr>
        </w:r>
        <w:r w:rsidR="0095448C">
          <w:rPr>
            <w:webHidden/>
          </w:rPr>
          <w:fldChar w:fldCharType="separate"/>
        </w:r>
        <w:r w:rsidR="007C769A">
          <w:rPr>
            <w:webHidden/>
          </w:rPr>
          <w:t>77</w:t>
        </w:r>
        <w:r w:rsidR="0095448C">
          <w:rPr>
            <w:webHidden/>
          </w:rPr>
          <w:fldChar w:fldCharType="end"/>
        </w:r>
      </w:hyperlink>
    </w:p>
    <w:p w:rsidR="0095448C" w:rsidRDefault="00E56A11">
      <w:pPr>
        <w:pStyle w:val="T1"/>
        <w:rPr>
          <w:rFonts w:asciiTheme="minorHAnsi" w:eastAsiaTheme="minorEastAsia" w:hAnsiTheme="minorHAnsi" w:cstheme="minorBidi"/>
          <w:sz w:val="22"/>
          <w:szCs w:val="22"/>
          <w:lang w:eastAsia="tr-TR"/>
        </w:rPr>
      </w:pPr>
      <w:hyperlink w:anchor="_Toc384716099" w:history="1">
        <w:r w:rsidR="0095448C" w:rsidRPr="00674207">
          <w:rPr>
            <w:rStyle w:val="Kpr"/>
          </w:rPr>
          <w:t>Çizelge 4. 1: Yatay Kesit Bağımlılığı Test Sonuçları</w:t>
        </w:r>
        <w:r w:rsidR="0095448C">
          <w:rPr>
            <w:webHidden/>
          </w:rPr>
          <w:tab/>
        </w:r>
        <w:r w:rsidR="0095448C">
          <w:rPr>
            <w:webHidden/>
          </w:rPr>
          <w:fldChar w:fldCharType="begin"/>
        </w:r>
        <w:r w:rsidR="0095448C">
          <w:rPr>
            <w:webHidden/>
          </w:rPr>
          <w:instrText xml:space="preserve"> PAGEREF _Toc384716099 \h </w:instrText>
        </w:r>
        <w:r w:rsidR="0095448C">
          <w:rPr>
            <w:webHidden/>
          </w:rPr>
        </w:r>
        <w:r w:rsidR="0095448C">
          <w:rPr>
            <w:webHidden/>
          </w:rPr>
          <w:fldChar w:fldCharType="separate"/>
        </w:r>
        <w:r w:rsidR="007C769A">
          <w:rPr>
            <w:webHidden/>
          </w:rPr>
          <w:t>109</w:t>
        </w:r>
        <w:r w:rsidR="0095448C">
          <w:rPr>
            <w:webHidden/>
          </w:rPr>
          <w:fldChar w:fldCharType="end"/>
        </w:r>
      </w:hyperlink>
    </w:p>
    <w:p w:rsidR="0095448C" w:rsidRDefault="00E56A11">
      <w:pPr>
        <w:pStyle w:val="T1"/>
        <w:rPr>
          <w:rFonts w:asciiTheme="minorHAnsi" w:eastAsiaTheme="minorEastAsia" w:hAnsiTheme="minorHAnsi" w:cstheme="minorBidi"/>
          <w:sz w:val="22"/>
          <w:szCs w:val="22"/>
          <w:lang w:eastAsia="tr-TR"/>
        </w:rPr>
      </w:pPr>
      <w:hyperlink w:anchor="_Toc384716100" w:history="1">
        <w:r w:rsidR="0095448C" w:rsidRPr="00674207">
          <w:rPr>
            <w:rStyle w:val="Kpr"/>
          </w:rPr>
          <w:t>Çizelge 4.2: CADF ve CIPS Test Sonuçları (Sabit Terimli)</w:t>
        </w:r>
        <w:r w:rsidR="0095448C">
          <w:rPr>
            <w:webHidden/>
          </w:rPr>
          <w:tab/>
        </w:r>
        <w:r w:rsidR="0095448C">
          <w:rPr>
            <w:webHidden/>
          </w:rPr>
          <w:fldChar w:fldCharType="begin"/>
        </w:r>
        <w:r w:rsidR="0095448C">
          <w:rPr>
            <w:webHidden/>
          </w:rPr>
          <w:instrText xml:space="preserve"> PAGEREF _Toc384716100 \h </w:instrText>
        </w:r>
        <w:r w:rsidR="0095448C">
          <w:rPr>
            <w:webHidden/>
          </w:rPr>
        </w:r>
        <w:r w:rsidR="0095448C">
          <w:rPr>
            <w:webHidden/>
          </w:rPr>
          <w:fldChar w:fldCharType="separate"/>
        </w:r>
        <w:r w:rsidR="007C769A">
          <w:rPr>
            <w:webHidden/>
          </w:rPr>
          <w:t>112</w:t>
        </w:r>
        <w:r w:rsidR="0095448C">
          <w:rPr>
            <w:webHidden/>
          </w:rPr>
          <w:fldChar w:fldCharType="end"/>
        </w:r>
      </w:hyperlink>
    </w:p>
    <w:p w:rsidR="0095448C" w:rsidRDefault="00E56A11">
      <w:pPr>
        <w:pStyle w:val="T1"/>
        <w:rPr>
          <w:rFonts w:asciiTheme="minorHAnsi" w:eastAsiaTheme="minorEastAsia" w:hAnsiTheme="minorHAnsi" w:cstheme="minorBidi"/>
          <w:sz w:val="22"/>
          <w:szCs w:val="22"/>
          <w:lang w:eastAsia="tr-TR"/>
        </w:rPr>
      </w:pPr>
      <w:hyperlink w:anchor="_Toc384716101" w:history="1">
        <w:r w:rsidR="0095448C" w:rsidRPr="00674207">
          <w:rPr>
            <w:rStyle w:val="Kpr"/>
          </w:rPr>
          <w:t>Çizelge 4.3: CADF ve CIPS Test Sonuçları (Sabit Terimli ve Trendli)</w:t>
        </w:r>
        <w:r w:rsidR="0095448C">
          <w:rPr>
            <w:webHidden/>
          </w:rPr>
          <w:tab/>
        </w:r>
        <w:r w:rsidR="0095448C">
          <w:rPr>
            <w:webHidden/>
          </w:rPr>
          <w:fldChar w:fldCharType="begin"/>
        </w:r>
        <w:r w:rsidR="0095448C">
          <w:rPr>
            <w:webHidden/>
          </w:rPr>
          <w:instrText xml:space="preserve"> PAGEREF _Toc384716101 \h </w:instrText>
        </w:r>
        <w:r w:rsidR="0095448C">
          <w:rPr>
            <w:webHidden/>
          </w:rPr>
        </w:r>
        <w:r w:rsidR="0095448C">
          <w:rPr>
            <w:webHidden/>
          </w:rPr>
          <w:fldChar w:fldCharType="separate"/>
        </w:r>
        <w:r w:rsidR="007C769A">
          <w:rPr>
            <w:webHidden/>
          </w:rPr>
          <w:t>113</w:t>
        </w:r>
        <w:r w:rsidR="0095448C">
          <w:rPr>
            <w:webHidden/>
          </w:rPr>
          <w:fldChar w:fldCharType="end"/>
        </w:r>
      </w:hyperlink>
    </w:p>
    <w:p w:rsidR="0095448C" w:rsidRDefault="00E56A11">
      <w:pPr>
        <w:pStyle w:val="T1"/>
        <w:rPr>
          <w:rFonts w:asciiTheme="minorHAnsi" w:eastAsiaTheme="minorEastAsia" w:hAnsiTheme="minorHAnsi" w:cstheme="minorBidi"/>
          <w:sz w:val="22"/>
          <w:szCs w:val="22"/>
          <w:lang w:eastAsia="tr-TR"/>
        </w:rPr>
      </w:pPr>
      <w:hyperlink w:anchor="_Toc384716102" w:history="1">
        <w:r w:rsidR="0095448C" w:rsidRPr="00674207">
          <w:rPr>
            <w:rStyle w:val="Kpr"/>
          </w:rPr>
          <w:t>Çizelge 4.4: Homojenlik Testi Sonuçları</w:t>
        </w:r>
        <w:r w:rsidR="0095448C">
          <w:rPr>
            <w:webHidden/>
          </w:rPr>
          <w:tab/>
        </w:r>
        <w:r w:rsidR="0095448C">
          <w:rPr>
            <w:webHidden/>
          </w:rPr>
          <w:fldChar w:fldCharType="begin"/>
        </w:r>
        <w:r w:rsidR="0095448C">
          <w:rPr>
            <w:webHidden/>
          </w:rPr>
          <w:instrText xml:space="preserve"> PAGEREF _Toc384716102 \h </w:instrText>
        </w:r>
        <w:r w:rsidR="0095448C">
          <w:rPr>
            <w:webHidden/>
          </w:rPr>
        </w:r>
        <w:r w:rsidR="0095448C">
          <w:rPr>
            <w:webHidden/>
          </w:rPr>
          <w:fldChar w:fldCharType="separate"/>
        </w:r>
        <w:r w:rsidR="007C769A">
          <w:rPr>
            <w:webHidden/>
          </w:rPr>
          <w:t>114</w:t>
        </w:r>
        <w:r w:rsidR="0095448C">
          <w:rPr>
            <w:webHidden/>
          </w:rPr>
          <w:fldChar w:fldCharType="end"/>
        </w:r>
      </w:hyperlink>
    </w:p>
    <w:p w:rsidR="0095448C" w:rsidRDefault="00E56A11">
      <w:pPr>
        <w:pStyle w:val="T1"/>
        <w:rPr>
          <w:rFonts w:asciiTheme="minorHAnsi" w:eastAsiaTheme="minorEastAsia" w:hAnsiTheme="minorHAnsi" w:cstheme="minorBidi"/>
          <w:sz w:val="22"/>
          <w:szCs w:val="22"/>
          <w:lang w:eastAsia="tr-TR"/>
        </w:rPr>
      </w:pPr>
      <w:hyperlink w:anchor="_Toc384716103" w:history="1">
        <w:r w:rsidR="0095448C" w:rsidRPr="00674207">
          <w:rPr>
            <w:rStyle w:val="Kpr"/>
          </w:rPr>
          <w:t>Çizelge 4. 5: Westerlund Durbin Hausman Eşbütünleşme Test Sonuçları</w:t>
        </w:r>
        <w:r w:rsidR="0095448C">
          <w:rPr>
            <w:webHidden/>
          </w:rPr>
          <w:tab/>
        </w:r>
        <w:r w:rsidR="0095448C">
          <w:rPr>
            <w:webHidden/>
          </w:rPr>
          <w:fldChar w:fldCharType="begin"/>
        </w:r>
        <w:r w:rsidR="0095448C">
          <w:rPr>
            <w:webHidden/>
          </w:rPr>
          <w:instrText xml:space="preserve"> PAGEREF _Toc384716103 \h </w:instrText>
        </w:r>
        <w:r w:rsidR="0095448C">
          <w:rPr>
            <w:webHidden/>
          </w:rPr>
        </w:r>
        <w:r w:rsidR="0095448C">
          <w:rPr>
            <w:webHidden/>
          </w:rPr>
          <w:fldChar w:fldCharType="separate"/>
        </w:r>
        <w:r w:rsidR="007C769A">
          <w:rPr>
            <w:webHidden/>
          </w:rPr>
          <w:t>115</w:t>
        </w:r>
        <w:r w:rsidR="0095448C">
          <w:rPr>
            <w:webHidden/>
          </w:rPr>
          <w:fldChar w:fldCharType="end"/>
        </w:r>
      </w:hyperlink>
    </w:p>
    <w:p w:rsidR="0095448C" w:rsidRDefault="00E56A11">
      <w:pPr>
        <w:pStyle w:val="T1"/>
        <w:rPr>
          <w:rFonts w:asciiTheme="minorHAnsi" w:eastAsiaTheme="minorEastAsia" w:hAnsiTheme="minorHAnsi" w:cstheme="minorBidi"/>
          <w:sz w:val="22"/>
          <w:szCs w:val="22"/>
          <w:lang w:eastAsia="tr-TR"/>
        </w:rPr>
      </w:pPr>
      <w:hyperlink w:anchor="_Toc384716104" w:history="1">
        <w:r w:rsidR="0095448C" w:rsidRPr="00674207">
          <w:rPr>
            <w:rStyle w:val="Kpr"/>
          </w:rPr>
          <w:t>Çizelge 4. 6: CCE Tahmin Sonuçları</w:t>
        </w:r>
        <w:r w:rsidR="0095448C">
          <w:rPr>
            <w:webHidden/>
          </w:rPr>
          <w:tab/>
        </w:r>
        <w:r w:rsidR="0095448C">
          <w:rPr>
            <w:webHidden/>
          </w:rPr>
          <w:fldChar w:fldCharType="begin"/>
        </w:r>
        <w:r w:rsidR="0095448C">
          <w:rPr>
            <w:webHidden/>
          </w:rPr>
          <w:instrText xml:space="preserve"> PAGEREF _Toc384716104 \h </w:instrText>
        </w:r>
        <w:r w:rsidR="0095448C">
          <w:rPr>
            <w:webHidden/>
          </w:rPr>
        </w:r>
        <w:r w:rsidR="0095448C">
          <w:rPr>
            <w:webHidden/>
          </w:rPr>
          <w:fldChar w:fldCharType="separate"/>
        </w:r>
        <w:r w:rsidR="007C769A">
          <w:rPr>
            <w:webHidden/>
          </w:rPr>
          <w:t>118</w:t>
        </w:r>
        <w:r w:rsidR="0095448C">
          <w:rPr>
            <w:webHidden/>
          </w:rPr>
          <w:fldChar w:fldCharType="end"/>
        </w:r>
      </w:hyperlink>
    </w:p>
    <w:p w:rsidR="00DD7613" w:rsidRDefault="006E0712" w:rsidP="00E71421">
      <w:pPr>
        <w:pStyle w:val="Balk1"/>
      </w:pPr>
      <w:r>
        <w:fldChar w:fldCharType="end"/>
      </w:r>
    </w:p>
    <w:p w:rsidR="00DD7613" w:rsidRDefault="00DD7613" w:rsidP="00E71421">
      <w:pPr>
        <w:pStyle w:val="Balk1"/>
        <w:sectPr w:rsidR="00DD7613" w:rsidSect="0036618F">
          <w:pgSz w:w="11906" w:h="16838"/>
          <w:pgMar w:top="1701" w:right="1134" w:bottom="1134" w:left="2268" w:header="709" w:footer="709" w:gutter="0"/>
          <w:pgNumType w:fmt="lowerRoman" w:start="1" w:chapStyle="1"/>
          <w:cols w:space="708"/>
          <w:docGrid w:linePitch="360"/>
        </w:sectPr>
      </w:pPr>
    </w:p>
    <w:p w:rsidR="0044255F" w:rsidRDefault="0044255F" w:rsidP="00E71421">
      <w:pPr>
        <w:pStyle w:val="Balk1"/>
      </w:pPr>
      <w:bookmarkStart w:id="18" w:name="_Toc384823971"/>
      <w:r w:rsidRPr="00F94C4A">
        <w:lastRenderedPageBreak/>
        <w:t>GİRİŞ</w:t>
      </w:r>
      <w:bookmarkEnd w:id="18"/>
    </w:p>
    <w:p w:rsidR="0026357A" w:rsidRPr="0026357A" w:rsidRDefault="0026357A" w:rsidP="0026357A">
      <w:pPr>
        <w:pStyle w:val="GvdeMetniGirintisi"/>
        <w:spacing w:before="240" w:after="240"/>
      </w:pPr>
      <w:r w:rsidRPr="0026357A">
        <w:t xml:space="preserve">Çevresel problemler, canlı yaşamı için çok büyük tehditler oluşturan temel sorunların başında gelmektedir. Bu problemler </w:t>
      </w:r>
      <w:r w:rsidR="005624F3">
        <w:t xml:space="preserve">canlıların hayatlarını etkileyebileceği gibi, </w:t>
      </w:r>
      <w:r w:rsidRPr="0026357A">
        <w:t>küresel ı</w:t>
      </w:r>
      <w:r w:rsidR="00492442">
        <w:t xml:space="preserve">sınma ve iklim değişikliği gibi global </w:t>
      </w:r>
      <w:r w:rsidR="005624F3">
        <w:t xml:space="preserve">ölçekte de olabilir. </w:t>
      </w:r>
      <w:r w:rsidRPr="0026357A">
        <w:t>Günümüzde canlı yaşamı için en önemli çevresel problem olarak görülen küresel ısınma ve iklim değişikliği</w:t>
      </w:r>
      <w:r w:rsidR="005624F3">
        <w:t>nin ana sebebi</w:t>
      </w:r>
      <w:r w:rsidRPr="0026357A">
        <w:t xml:space="preserve">, enerji ihtiyacının karşılanabilmesi amacıyla fosil yakıtlı kaynakların yoğun bir şekilde kullanılmasından kaynaklanmaktadır. Kömür, petrol ve doğal gaz gibi yakıtların, giderek artma </w:t>
      </w:r>
      <w:r w:rsidR="005624F3">
        <w:t>trendinde olması</w:t>
      </w:r>
      <w:r w:rsidRPr="0026357A">
        <w:t xml:space="preserve"> </w:t>
      </w:r>
      <w:r w:rsidR="005624F3">
        <w:t xml:space="preserve">atmosfer içerisinde bulunan doğal sera gazlarının yoğunluğunu artırmaktadır. </w:t>
      </w:r>
      <w:r w:rsidRPr="0026357A">
        <w:t>Bu durum ise, küresel ısınma ve buna bağlı olarak ortaya çıkan iklim değişikliği olayının temel sebebi olarak görülmektedir.</w:t>
      </w:r>
    </w:p>
    <w:p w:rsidR="0026357A" w:rsidRPr="0026357A" w:rsidRDefault="0026357A" w:rsidP="00330592">
      <w:pPr>
        <w:pStyle w:val="GvdeMetniGirintisi"/>
        <w:spacing w:before="240" w:after="240"/>
      </w:pPr>
      <w:r w:rsidRPr="0026357A">
        <w:t xml:space="preserve">Çevre bir taraftan insan ihtiyaçlarının karşılanması için kaynak niteliği taşırken, diğer taraftan da mal ve hizmet tüketimi sonucunda ortaya çıkan atıkların depolanması için bir yutak niteliği de taşımaktadır. </w:t>
      </w:r>
      <w:r w:rsidR="00D3277F" w:rsidRPr="00D3277F">
        <w:t xml:space="preserve">İnsan yaşamı çeşitli dengeler üzerine kurulmuştur. Bunların arasında en önemlisi insanın çevreyle oluşturduğu doğal dengedir. Doğa ise bir sistemler bütünüdür. Bu sistemler arasındaki ilişkiler çoğunlukla kişiler tarafından fark edilemeyecek kadar uzun ilişki halkalarıyla birbirine bağlı </w:t>
      </w:r>
      <w:hyperlink r:id="rId12" w:history="1">
        <w:r w:rsidR="00D3277F" w:rsidRPr="00D3277F">
          <w:t>ve</w:t>
        </w:r>
      </w:hyperlink>
      <w:r w:rsidR="00D3277F" w:rsidRPr="00D3277F">
        <w:t xml:space="preserve"> uzun süreli olabilmektedir. Doğal</w:t>
      </w:r>
      <w:r w:rsidR="00D3277F">
        <w:t xml:space="preserve"> denge</w:t>
      </w:r>
      <w:r w:rsidR="00D3277F" w:rsidRPr="00D3277F">
        <w:t xml:space="preserve"> sistemlere dışarıdan gelebilecek etkiler sonucu doğal dengeyi oluşturan zincirin halkalarında meydana gelen kopmalar zincirin tamamını etkileyerek bu dengenin bozulmasına neden olmakta ve böylece çevre sorunları ortaya çıkmaktadır. </w:t>
      </w:r>
      <w:r w:rsidRPr="0026357A">
        <w:t xml:space="preserve">Burada göz önünde bulundurulması gereken temel nokta, çevrenin bu absorbe yeteneğinin de sınırlı olduğudur. Çevrenin sahip olduğu bu taşıma kapasitesinin aşılması çevresel sorunların çıkmasına sebep olur. Bu bağlamda toplam </w:t>
      </w:r>
      <w:r w:rsidR="003463A8">
        <w:t>sera gazı</w:t>
      </w:r>
      <w:r w:rsidRPr="0026357A">
        <w:t xml:space="preserve"> emisyonu içinde %80’in üzerinde bir paya sahip olan karbondioksit gazının doğal konsantrasyonun artması, doğal dengenin bozulması anlamına gelmektedir. Bu durum paralelinde, karbondioksit ve diğer sera gazlarının atmosfer içerisindeki paylarının önüne geçilmesi de, küresel ısınma ve iklim değişikliği için çok önemli bir durum olarak karşımıza çıkmaktadır.</w:t>
      </w:r>
    </w:p>
    <w:p w:rsidR="0026357A" w:rsidRPr="0026357A" w:rsidRDefault="0026357A" w:rsidP="0026357A">
      <w:pPr>
        <w:pStyle w:val="GvdeMetniGirintisi"/>
        <w:spacing w:before="240" w:after="240"/>
      </w:pPr>
      <w:r w:rsidRPr="0026357A">
        <w:t>Sera</w:t>
      </w:r>
      <w:r w:rsidR="00CB484F">
        <w:t xml:space="preserve"> </w:t>
      </w:r>
      <w:r w:rsidRPr="0026357A">
        <w:t>gazları konsantrasyonundaki bu artışların ciddi tehditler oluşturmaya başlamasının anlaşılması ve bu sorunun küresel çabalarla çözümlenebileceğinin anlaşılmasıyla birlikte, global ölçekli işbirlikleri oluşturmaya ve organizasyonlar düzenlemeye başlanmıştır. Bu süreç</w:t>
      </w:r>
      <w:r w:rsidR="00D226F1">
        <w:t xml:space="preserve"> içerisinde Birleşmiş </w:t>
      </w:r>
      <w:r w:rsidR="000D47FB">
        <w:t>Milletler’in</w:t>
      </w:r>
      <w:r w:rsidR="00D226F1">
        <w:t xml:space="preserve"> öncülüğünde 1992 yılının Haziran ayında</w:t>
      </w:r>
      <w:r w:rsidRPr="0026357A">
        <w:t xml:space="preserve"> Rio de Janerio’da düzenlenen Birleşmiş Milletler Çe</w:t>
      </w:r>
      <w:r w:rsidR="00460BDC">
        <w:t xml:space="preserve">vre ve </w:t>
      </w:r>
      <w:r w:rsidR="00460BDC">
        <w:lastRenderedPageBreak/>
        <w:t xml:space="preserve">Kalkınma Konferansı’nda </w:t>
      </w:r>
      <w:r w:rsidRPr="0026357A">
        <w:t xml:space="preserve">imzaya açılan “İklim Değişikliği Çerçeve </w:t>
      </w:r>
      <w:r w:rsidR="00D226F1">
        <w:t>Sözleşmesi”</w:t>
      </w:r>
      <w:r w:rsidR="0067657E">
        <w:t xml:space="preserve"> (İDÇS)</w:t>
      </w:r>
      <w:r w:rsidR="00D226F1">
        <w:t xml:space="preserve"> ve 1997 yılının Aralık ayında</w:t>
      </w:r>
      <w:r w:rsidRPr="0026357A">
        <w:t xml:space="preserve"> Japonya’da düzenlenen “Üçüncü Taraflar Konferansı” sonucunda oluşturulan “Kyoto Protokolü” </w:t>
      </w:r>
      <w:r w:rsidR="0067657E">
        <w:t xml:space="preserve">(KP) </w:t>
      </w:r>
      <w:r w:rsidRPr="0026357A">
        <w:t>ayrı bir önem taşımaktadır.</w:t>
      </w:r>
    </w:p>
    <w:p w:rsidR="0044073A" w:rsidRDefault="0026357A" w:rsidP="0026357A">
      <w:pPr>
        <w:pStyle w:val="GvdeMetniGirintisi"/>
        <w:spacing w:before="240" w:after="240"/>
      </w:pPr>
      <w:r w:rsidRPr="0026357A">
        <w:t xml:space="preserve">Kyoto Protokolü’nü önemli kılan nedenlerden biri, taraflara </w:t>
      </w:r>
      <w:r w:rsidR="003463A8">
        <w:t>sera gazı</w:t>
      </w:r>
      <w:r w:rsidRPr="0026357A">
        <w:t xml:space="preserve"> azaltımı ile belli tarihler çerçevesinde ve belli oranlar dahilinde yükümlülükler getirmesidir. Kyoto Protokolü’nü önemli kılan bir diğer neden ise, hukuki bir niteliği olan bu belgenin </w:t>
      </w:r>
      <w:r w:rsidR="003463A8">
        <w:t>sera gazı</w:t>
      </w:r>
      <w:r w:rsidRPr="0026357A">
        <w:t xml:space="preserve"> azaltımına yönelik taraflara bir anlamda esneklik sağlayan üç yeni mekanizmayı devreye sokmasıdır. Kyoto Protokolü Esneklik Mekanizma’ları olarak adlandırılan bu mekanizmalar, </w:t>
      </w:r>
      <w:r w:rsidR="003463A8">
        <w:t>sera gazı</w:t>
      </w:r>
      <w:r w:rsidRPr="0026357A">
        <w:t xml:space="preserve"> azaltımına yönelik ülkelerin kendi sınırları dışında ortak faaliyetler yürütmesine olanak tanımaktadır. Ancak tarafların bu mekanizmalardan yararlanabilmesi için, bazı şartları yerine getirmesi gerekmektedir. </w:t>
      </w:r>
    </w:p>
    <w:p w:rsidR="008C3045" w:rsidRDefault="00A116FF" w:rsidP="00A116FF">
      <w:pPr>
        <w:shd w:val="clear" w:color="auto" w:fill="FFFFFF"/>
        <w:spacing w:before="75" w:line="300" w:lineRule="auto"/>
        <w:ind w:firstLine="708"/>
        <w:jc w:val="both"/>
      </w:pPr>
      <w:r>
        <w:t xml:space="preserve">Dünya karbon </w:t>
      </w:r>
      <w:r w:rsidRPr="00154B85">
        <w:t xml:space="preserve">emisyonunun </w:t>
      </w:r>
      <w:r w:rsidR="00154B85" w:rsidRPr="00154B85">
        <w:t>% 40’t</w:t>
      </w:r>
      <w:r w:rsidRPr="00154B85">
        <w:t xml:space="preserve">an </w:t>
      </w:r>
      <w:r w:rsidRPr="00A116FF">
        <w:t>f</w:t>
      </w:r>
      <w:r w:rsidR="00066A0F">
        <w:t xml:space="preserve">azlasını gerçekleştiren </w:t>
      </w:r>
      <w:r w:rsidR="009B60F4" w:rsidRPr="009B60F4">
        <w:t>Ekonomik Kalkınma ve İşbirliği Örgütü</w:t>
      </w:r>
      <w:r w:rsidR="00CF5942">
        <w:t xml:space="preserve"> </w:t>
      </w:r>
      <w:r w:rsidR="00066A0F">
        <w:t>(OECD) ülkeleri sera</w:t>
      </w:r>
      <w:r w:rsidR="003463A8">
        <w:t xml:space="preserve"> </w:t>
      </w:r>
      <w:r w:rsidR="00066A0F">
        <w:t xml:space="preserve">gazları </w:t>
      </w:r>
      <w:r w:rsidR="003463A8">
        <w:t>emisyonlarını</w:t>
      </w:r>
      <w:r w:rsidR="00066A0F">
        <w:t xml:space="preserve"> azaltmak için önemli anlaşma ve müzakereler yapmaktadır. </w:t>
      </w:r>
      <w:r w:rsidR="00527DBF">
        <w:t>Bu ülkelerin saldıkları sera</w:t>
      </w:r>
      <w:r w:rsidR="003463A8">
        <w:t xml:space="preserve"> </w:t>
      </w:r>
      <w:r w:rsidR="00527DBF">
        <w:t>gazlarının e</w:t>
      </w:r>
      <w:r w:rsidR="00066A0F">
        <w:t xml:space="preserve">konomik boyutu milyar dolara </w:t>
      </w:r>
      <w:r w:rsidR="00527DBF">
        <w:t>ulaştığından dolayı</w:t>
      </w:r>
      <w:r w:rsidR="00066A0F">
        <w:t xml:space="preserve"> birçok bilimin konusu olmaya başlamıştır. </w:t>
      </w:r>
    </w:p>
    <w:p w:rsidR="0026357A" w:rsidRPr="008C3045" w:rsidRDefault="00693AD6" w:rsidP="008C3045">
      <w:pPr>
        <w:pStyle w:val="GvdeMetniGirintisi"/>
        <w:spacing w:before="240" w:after="240"/>
      </w:pPr>
      <w:r>
        <w:t>Yukarıda</w:t>
      </w:r>
      <w:r w:rsidR="0026357A" w:rsidRPr="00A116FF">
        <w:t xml:space="preserve"> ifade edilenler ışığında</w:t>
      </w:r>
      <w:r>
        <w:t>, bu çalışmanın amacı;</w:t>
      </w:r>
      <w:r w:rsidR="0026357A" w:rsidRPr="00A116FF">
        <w:t xml:space="preserve"> küresel bir sorun olan ve etkileri itibari ile önemli boyutlara ulaşan iklim değişikliğini ele alarak, </w:t>
      </w:r>
      <w:r w:rsidR="00A116FF">
        <w:t xml:space="preserve">iklim değişikliğine neden olan </w:t>
      </w:r>
      <w:r w:rsidR="003463A8">
        <w:t>sera gazı</w:t>
      </w:r>
      <w:r w:rsidR="008401C6">
        <w:t xml:space="preserve"> </w:t>
      </w:r>
      <w:r w:rsidR="003463A8">
        <w:t>emisyonlarının</w:t>
      </w:r>
      <w:r w:rsidR="00A116FF">
        <w:t xml:space="preserve"> makroekonomik değişkeler üzerin</w:t>
      </w:r>
      <w:r w:rsidR="008C3045">
        <w:t xml:space="preserve">deki etkisini </w:t>
      </w:r>
      <w:r w:rsidR="00476383">
        <w:t>incelemektir</w:t>
      </w:r>
      <w:r w:rsidR="008C3045">
        <w:t>.</w:t>
      </w:r>
    </w:p>
    <w:p w:rsidR="0026357A" w:rsidRPr="0026357A" w:rsidRDefault="0026357A" w:rsidP="0026357A">
      <w:pPr>
        <w:pStyle w:val="GvdeMetniGirintisi"/>
        <w:spacing w:before="240" w:after="240"/>
      </w:pPr>
      <w:r w:rsidRPr="0026357A">
        <w:t>Çalışmanın ilk bölümünde küres</w:t>
      </w:r>
      <w:r w:rsidR="00C127F9">
        <w:t>el ısınma ve iklim değişikliği hakkında genel bilgiler verdikten sonra insan kaynaklı iklim değişikliği detaylı bir şekilde incelenecektir. Sera</w:t>
      </w:r>
      <w:r w:rsidR="00460BDC">
        <w:t xml:space="preserve"> </w:t>
      </w:r>
      <w:r w:rsidR="00C127F9">
        <w:t xml:space="preserve">gazlarındaki arış trendleri ve nedenleri açıklanarak </w:t>
      </w:r>
      <w:r w:rsidR="003463A8">
        <w:t>sera gazı</w:t>
      </w:r>
      <w:r w:rsidR="00C127F9">
        <w:t xml:space="preserve"> emisyonların ekonomik belirleyicileri tartışılacaktır. Bilim adamlarının küresel ısınmayı fark</w:t>
      </w:r>
      <w:r w:rsidR="00460BDC">
        <w:t xml:space="preserve"> </w:t>
      </w:r>
      <w:r w:rsidR="00C127F9">
        <w:t xml:space="preserve">ederek </w:t>
      </w:r>
      <w:r w:rsidR="00C7379F">
        <w:t>uluslar</w:t>
      </w:r>
      <w:r w:rsidR="00C127F9">
        <w:t>arası düzenlenen belge ve antlaşmalar kronolojik bir şekilde verilecektir.</w:t>
      </w:r>
    </w:p>
    <w:p w:rsidR="00E91459" w:rsidRDefault="00C127F9" w:rsidP="0026357A">
      <w:pPr>
        <w:pStyle w:val="GvdeMetniGirintisi"/>
        <w:spacing w:before="240" w:after="240"/>
      </w:pPr>
      <w:r>
        <w:t>Çalışmanın ikinci bölümünde</w:t>
      </w:r>
      <w:r w:rsidR="0026357A" w:rsidRPr="0026357A">
        <w:t>,</w:t>
      </w:r>
      <w:r>
        <w:t xml:space="preserve"> </w:t>
      </w:r>
      <w:r w:rsidR="003463A8">
        <w:t>sera gazı</w:t>
      </w:r>
      <w:r>
        <w:t xml:space="preserve"> azaltımında kullanılan ekonomi politikaları ve araçları vurgulanacak, özellikle Kyoto Protokolü Esneklik Mekanizmaları üzerinde ayrı</w:t>
      </w:r>
      <w:r w:rsidR="00460BDC">
        <w:t>n</w:t>
      </w:r>
      <w:r>
        <w:t xml:space="preserve">tılı bir şekilde durulacaktır. </w:t>
      </w:r>
      <w:r w:rsidR="003463A8">
        <w:t>Sera gazı</w:t>
      </w:r>
      <w:r w:rsidR="00E91459">
        <w:t xml:space="preserve"> azaltımında yasal zorunlukları olan ve olmayan ülkelerin kullandıkları araçlar tartışılacaktır. </w:t>
      </w:r>
    </w:p>
    <w:p w:rsidR="0026357A" w:rsidRPr="0026357A" w:rsidRDefault="0026357A" w:rsidP="0026357A">
      <w:pPr>
        <w:pStyle w:val="GvdeMetniGirintisi"/>
        <w:spacing w:before="240" w:after="240"/>
      </w:pPr>
      <w:r w:rsidRPr="0026357A">
        <w:lastRenderedPageBreak/>
        <w:t xml:space="preserve">Çalışmanın üçüncü bölümünde, </w:t>
      </w:r>
      <w:r w:rsidR="003463A8">
        <w:t>sera gazı emisyonları</w:t>
      </w:r>
      <w:r w:rsidR="00E91459">
        <w:t>nın ekonomik büyüme, enerji tüketi</w:t>
      </w:r>
      <w:r w:rsidR="00460BDC">
        <w:t>mi</w:t>
      </w:r>
      <w:r w:rsidR="00E91459">
        <w:t>,</w:t>
      </w:r>
      <w:r w:rsidR="0027003D">
        <w:t xml:space="preserve"> </w:t>
      </w:r>
      <w:r w:rsidR="006D2AD8">
        <w:t>dış ticaret</w:t>
      </w:r>
      <w:r w:rsidR="00E91459">
        <w:t xml:space="preserve"> gibi değişkenler üzerindeki etkisi geniş bir literatür verilerek incelenecektir.</w:t>
      </w:r>
    </w:p>
    <w:p w:rsidR="0044255F" w:rsidRDefault="0026357A" w:rsidP="009A4663">
      <w:pPr>
        <w:pStyle w:val="GvdeMetniGirintisi"/>
        <w:spacing w:before="240" w:after="240"/>
        <w:ind w:firstLine="708"/>
      </w:pPr>
      <w:r w:rsidRPr="0026357A">
        <w:t xml:space="preserve">Çalışmanın son bölümünde ise, OECD ülkelerindeki </w:t>
      </w:r>
      <w:r w:rsidR="003463A8">
        <w:t>sera gazı</w:t>
      </w:r>
      <w:r w:rsidRPr="0026357A">
        <w:t xml:space="preserve"> </w:t>
      </w:r>
      <w:r w:rsidR="003463A8">
        <w:t>emisyonları</w:t>
      </w:r>
      <w:r w:rsidRPr="0026357A">
        <w:t xml:space="preserve">nın makroekonomik değişkenler üzerine etkisi panel veri analizi ile test edilecektir.  </w:t>
      </w:r>
      <w:r w:rsidR="006E3085">
        <w:t xml:space="preserve">Analizde ekonomik büyüme, enerji tüketimi ve ihracatın sera gazı emisyonlarını arttırması, ihracatın ise sera gazı emisyonlarını azaltması beklenmektedir. </w:t>
      </w:r>
    </w:p>
    <w:p w:rsidR="005B7834" w:rsidRDefault="005B7834" w:rsidP="0026357A">
      <w:pPr>
        <w:pStyle w:val="GvdeMetniGirintisi"/>
        <w:spacing w:before="240" w:after="240"/>
        <w:ind w:firstLine="0"/>
      </w:pPr>
    </w:p>
    <w:p w:rsidR="00AF1DCB" w:rsidRDefault="00AF1DCB" w:rsidP="0026357A">
      <w:pPr>
        <w:pStyle w:val="GvdeMetniGirintisi"/>
        <w:spacing w:before="240" w:after="240"/>
        <w:ind w:firstLine="0"/>
      </w:pPr>
    </w:p>
    <w:p w:rsidR="00BB2BA6" w:rsidRDefault="00BB2BA6" w:rsidP="0026357A">
      <w:pPr>
        <w:pStyle w:val="GvdeMetniGirintisi"/>
        <w:spacing w:before="240" w:after="240"/>
        <w:ind w:firstLine="0"/>
        <w:sectPr w:rsidR="00BB2BA6" w:rsidSect="008522AA">
          <w:pgSz w:w="11906" w:h="16838"/>
          <w:pgMar w:top="1701" w:right="1134" w:bottom="1134" w:left="2268" w:header="709" w:footer="709" w:gutter="0"/>
          <w:pgNumType w:start="1"/>
          <w:cols w:space="708"/>
          <w:docGrid w:linePitch="360"/>
        </w:sectPr>
      </w:pPr>
    </w:p>
    <w:p w:rsidR="00A673AB" w:rsidRDefault="0044255F" w:rsidP="00E71421">
      <w:pPr>
        <w:pStyle w:val="Balk1"/>
      </w:pPr>
      <w:bookmarkStart w:id="19" w:name="_Toc339616719"/>
      <w:bookmarkStart w:id="20" w:name="_Toc384823972"/>
      <w:r>
        <w:lastRenderedPageBreak/>
        <w:t>BİRİNCİ BÖLÜM</w:t>
      </w:r>
      <w:bookmarkEnd w:id="19"/>
      <w:bookmarkEnd w:id="20"/>
    </w:p>
    <w:p w:rsidR="0044255F" w:rsidRPr="00A673AB" w:rsidRDefault="00173677" w:rsidP="00E71421">
      <w:pPr>
        <w:pStyle w:val="Balk1"/>
      </w:pPr>
      <w:bookmarkStart w:id="21" w:name="_Toc384823973"/>
      <w:r>
        <w:t>SERA GAZLARI</w:t>
      </w:r>
      <w:r w:rsidRPr="00A66549">
        <w:t xml:space="preserve"> </w:t>
      </w:r>
      <w:r>
        <w:t xml:space="preserve">VE </w:t>
      </w:r>
      <w:r w:rsidR="0044255F" w:rsidRPr="00A66549">
        <w:t>İKL</w:t>
      </w:r>
      <w:r w:rsidR="0044255F">
        <w:t>İM DEĞİŞİKLİĞİ</w:t>
      </w:r>
      <w:bookmarkEnd w:id="21"/>
      <w:r w:rsidR="0044255F">
        <w:t xml:space="preserve"> </w:t>
      </w:r>
    </w:p>
    <w:p w:rsidR="0044255F" w:rsidRDefault="007E2504" w:rsidP="00C84A4D">
      <w:pPr>
        <w:autoSpaceDE w:val="0"/>
        <w:autoSpaceDN w:val="0"/>
        <w:adjustRightInd w:val="0"/>
        <w:spacing w:before="240" w:after="240" w:line="360" w:lineRule="auto"/>
        <w:ind w:firstLine="708"/>
        <w:jc w:val="both"/>
      </w:pPr>
      <w:r>
        <w:t xml:space="preserve">Yaklaşık </w:t>
      </w:r>
      <w:proofErr w:type="gramStart"/>
      <w:r>
        <w:t>4.</w:t>
      </w:r>
      <w:r w:rsidR="0044255F" w:rsidRPr="00EF279A">
        <w:t>5</w:t>
      </w:r>
      <w:proofErr w:type="gramEnd"/>
      <w:r w:rsidR="0044255F" w:rsidRPr="00EF279A">
        <w:t xml:space="preserve"> milyar yaşını doldurmuş olan dünyamızda, belirli dönemlerde,  doğal dengenin çeşitli nedenlerle bozulmasına bağlı olarak iklimde büyük</w:t>
      </w:r>
      <w:r w:rsidR="00560897">
        <w:t xml:space="preserve"> değişmeler olmaktadır</w:t>
      </w:r>
      <w:r w:rsidR="0044255F" w:rsidRPr="00EF279A">
        <w:t>.</w:t>
      </w:r>
      <w:r w:rsidR="0044255F">
        <w:t xml:space="preserve"> İnsanların tarih sahnesine çıkışına kadar olan süreçte, dünyanın </w:t>
      </w:r>
      <w:r w:rsidR="00460BDC">
        <w:t>coğrafi</w:t>
      </w:r>
      <w:r w:rsidR="0044255F">
        <w:t xml:space="preserve"> öz</w:t>
      </w:r>
      <w:r w:rsidR="00560897">
        <w:t xml:space="preserve">ellikleri birkaç kez değiştiği düşünülmektedir </w:t>
      </w:r>
      <w:r w:rsidR="005B7834">
        <w:t xml:space="preserve">(Şekil </w:t>
      </w:r>
      <w:proofErr w:type="gramStart"/>
      <w:r w:rsidR="0044255F">
        <w:t>1.1</w:t>
      </w:r>
      <w:proofErr w:type="gramEnd"/>
      <w:r w:rsidR="0044255F">
        <w:t xml:space="preserve">). Belirli dönemlerde dünyamızın unsurları arasındaki doğal dengenin </w:t>
      </w:r>
      <w:r w:rsidR="00560897">
        <w:t>çeşitli nedenlerle değişmesi, iklimde büyük değişmelere neden olacaktır</w:t>
      </w:r>
      <w:r w:rsidR="0044255F">
        <w:t xml:space="preserve"> (Öztürk, 2002: 47). </w:t>
      </w:r>
    </w:p>
    <w:p w:rsidR="0044255F" w:rsidRDefault="0044255F" w:rsidP="00EF279A">
      <w:pPr>
        <w:autoSpaceDE w:val="0"/>
        <w:autoSpaceDN w:val="0"/>
        <w:adjustRightInd w:val="0"/>
        <w:spacing w:before="240" w:after="240" w:line="360" w:lineRule="auto"/>
        <w:jc w:val="both"/>
      </w:pPr>
      <w:r>
        <w:tab/>
        <w:t>Sera gazlarıyla iklim değişikliği arasındaki bağlantıyı kanıtlayan James Hansen’dir. Hansen’den sonra IPCC’nin de</w:t>
      </w:r>
      <w:r w:rsidR="00643878">
        <w:t xml:space="preserve"> kurulduğu 1988 yılında Nature D</w:t>
      </w:r>
      <w:r>
        <w:t>ergisi</w:t>
      </w:r>
      <w:r w:rsidR="00643878">
        <w:t>’</w:t>
      </w:r>
      <w:r>
        <w:t xml:space="preserve">nde Rus ve Fransız bilimciler </w:t>
      </w:r>
      <w:r w:rsidR="00643878">
        <w:t>Antartika’da Vostok İ</w:t>
      </w:r>
      <w:r>
        <w:t>stasyonu</w:t>
      </w:r>
      <w:r w:rsidR="00643878">
        <w:t>’</w:t>
      </w:r>
      <w:r>
        <w:t>ndan aldıkları 2 kilometrelik buz örnekleriyle, dünya sıcaklığının 160 bin yıldan beri nasıl gittiğini ve bunun karbondioksitle ola</w:t>
      </w:r>
      <w:r w:rsidR="00643878">
        <w:t>n ilişkisini ortaya koymuştur</w:t>
      </w:r>
      <w:r>
        <w:t xml:space="preserve"> </w:t>
      </w:r>
      <w:bookmarkStart w:id="22" w:name="OLE_LINK33"/>
      <w:bookmarkStart w:id="23" w:name="OLE_LINK34"/>
      <w:bookmarkStart w:id="24" w:name="OLE_LINK35"/>
      <w:r>
        <w:t>(Madra, 2007:</w:t>
      </w:r>
      <w:r w:rsidR="0031082B">
        <w:t xml:space="preserve"> </w:t>
      </w:r>
      <w:r>
        <w:t xml:space="preserve">43).  </w:t>
      </w:r>
      <w:bookmarkEnd w:id="22"/>
      <w:bookmarkEnd w:id="23"/>
      <w:bookmarkEnd w:id="24"/>
      <w:r w:rsidR="00860027">
        <w:tab/>
      </w:r>
    </w:p>
    <w:p w:rsidR="00860027" w:rsidRPr="006A74F7" w:rsidRDefault="00860027" w:rsidP="001634EA">
      <w:pPr>
        <w:pStyle w:val="stil1"/>
      </w:pPr>
      <w:bookmarkStart w:id="25" w:name="OLE_LINK23"/>
      <w:bookmarkStart w:id="26" w:name="OLE_LINK24"/>
      <w:bookmarkStart w:id="27" w:name="_Toc382293814"/>
      <w:bookmarkStart w:id="28" w:name="_Toc382298140"/>
      <w:r w:rsidRPr="001634EA">
        <w:t>Şekil</w:t>
      </w:r>
      <w:r w:rsidRPr="006A74F7">
        <w:t xml:space="preserve"> </w:t>
      </w:r>
      <w:proofErr w:type="gramStart"/>
      <w:r w:rsidRPr="006A74F7">
        <w:t>1.1</w:t>
      </w:r>
      <w:proofErr w:type="gramEnd"/>
      <w:r w:rsidRPr="006A74F7">
        <w:t>: 180 Milyon Yıl Önceki ve Günümüzdeki Karaların Dağılışları</w:t>
      </w:r>
      <w:bookmarkEnd w:id="25"/>
      <w:bookmarkEnd w:id="26"/>
      <w:bookmarkEnd w:id="27"/>
      <w:bookmarkEnd w:id="28"/>
    </w:p>
    <w:p w:rsidR="002431B9" w:rsidRDefault="002431B9" w:rsidP="005B7834">
      <w:pPr>
        <w:autoSpaceDE w:val="0"/>
        <w:autoSpaceDN w:val="0"/>
        <w:adjustRightInd w:val="0"/>
        <w:rPr>
          <w:b/>
          <w:bCs/>
        </w:rPr>
      </w:pPr>
      <w:r>
        <w:rPr>
          <w:b/>
          <w:bCs/>
          <w:noProof/>
          <w:lang w:eastAsia="tr-TR"/>
        </w:rPr>
        <w:drawing>
          <wp:anchor distT="0" distB="0" distL="114300" distR="114300" simplePos="0" relativeHeight="251665920" behindDoc="1" locked="0" layoutInCell="1" allowOverlap="1" wp14:anchorId="425E42F6" wp14:editId="353BB122">
            <wp:simplePos x="0" y="0"/>
            <wp:positionH relativeFrom="column">
              <wp:posOffset>13970</wp:posOffset>
            </wp:positionH>
            <wp:positionV relativeFrom="paragraph">
              <wp:posOffset>109220</wp:posOffset>
            </wp:positionV>
            <wp:extent cx="4462780" cy="2091055"/>
            <wp:effectExtent l="19050" t="19050" r="13970" b="23495"/>
            <wp:wrapTight wrapText="bothSides">
              <wp:wrapPolygon edited="0">
                <wp:start x="-92" y="-197"/>
                <wp:lineTo x="-92" y="21646"/>
                <wp:lineTo x="21575" y="21646"/>
                <wp:lineTo x="21575" y="-197"/>
                <wp:lineTo x="-92" y="-197"/>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lar.jpg"/>
                    <pic:cNvPicPr/>
                  </pic:nvPicPr>
                  <pic:blipFill>
                    <a:blip r:embed="rId13">
                      <a:extLst>
                        <a:ext uri="{28A0092B-C50C-407E-A947-70E740481C1C}">
                          <a14:useLocalDpi xmlns:a14="http://schemas.microsoft.com/office/drawing/2010/main" val="0"/>
                        </a:ext>
                      </a:extLst>
                    </a:blip>
                    <a:stretch>
                      <a:fillRect/>
                    </a:stretch>
                  </pic:blipFill>
                  <pic:spPr>
                    <a:xfrm>
                      <a:off x="0" y="0"/>
                      <a:ext cx="4462780" cy="20910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431B9" w:rsidRDefault="002431B9" w:rsidP="005B7834">
      <w:pPr>
        <w:autoSpaceDE w:val="0"/>
        <w:autoSpaceDN w:val="0"/>
        <w:adjustRightInd w:val="0"/>
        <w:rPr>
          <w:b/>
          <w:bCs/>
        </w:rPr>
      </w:pPr>
    </w:p>
    <w:p w:rsidR="002431B9" w:rsidRDefault="002431B9" w:rsidP="005B7834">
      <w:pPr>
        <w:autoSpaceDE w:val="0"/>
        <w:autoSpaceDN w:val="0"/>
        <w:adjustRightInd w:val="0"/>
        <w:rPr>
          <w:b/>
          <w:bCs/>
        </w:rPr>
      </w:pPr>
    </w:p>
    <w:p w:rsidR="002431B9" w:rsidRPr="00860027" w:rsidRDefault="002431B9" w:rsidP="005B7834">
      <w:pPr>
        <w:autoSpaceDE w:val="0"/>
        <w:autoSpaceDN w:val="0"/>
        <w:adjustRightInd w:val="0"/>
        <w:rPr>
          <w:b/>
          <w:bCs/>
        </w:rPr>
      </w:pPr>
    </w:p>
    <w:p w:rsidR="002431B9" w:rsidRDefault="002431B9" w:rsidP="005B7834">
      <w:pPr>
        <w:pStyle w:val="ListeParagraf"/>
        <w:autoSpaceDE w:val="0"/>
        <w:autoSpaceDN w:val="0"/>
        <w:adjustRightInd w:val="0"/>
        <w:ind w:left="6054"/>
      </w:pPr>
    </w:p>
    <w:p w:rsidR="002431B9" w:rsidRPr="00187ABB" w:rsidRDefault="002431B9" w:rsidP="005B7834">
      <w:pPr>
        <w:pStyle w:val="ListeParagraf"/>
        <w:autoSpaceDE w:val="0"/>
        <w:autoSpaceDN w:val="0"/>
        <w:adjustRightInd w:val="0"/>
        <w:ind w:left="6054"/>
      </w:pPr>
    </w:p>
    <w:p w:rsidR="00CA1F32" w:rsidRDefault="00CA1F32" w:rsidP="005B7834">
      <w:pPr>
        <w:pStyle w:val="GvdeMetniGirintisi"/>
        <w:spacing w:before="120" w:after="120"/>
        <w:ind w:firstLine="0"/>
        <w:jc w:val="left"/>
        <w:rPr>
          <w:b/>
          <w:bCs/>
          <w:sz w:val="20"/>
          <w:szCs w:val="20"/>
        </w:rPr>
      </w:pPr>
    </w:p>
    <w:p w:rsidR="00CA1F32" w:rsidRDefault="00CA1F32" w:rsidP="005B7834">
      <w:pPr>
        <w:pStyle w:val="GvdeMetniGirintisi"/>
        <w:spacing w:before="120" w:after="120"/>
        <w:ind w:firstLine="0"/>
        <w:jc w:val="left"/>
        <w:rPr>
          <w:b/>
          <w:bCs/>
          <w:sz w:val="20"/>
          <w:szCs w:val="20"/>
        </w:rPr>
      </w:pPr>
    </w:p>
    <w:p w:rsidR="00CA1F32" w:rsidRDefault="00CA1F32" w:rsidP="005B7834">
      <w:pPr>
        <w:pStyle w:val="GvdeMetniGirintisi"/>
        <w:spacing w:before="120" w:after="120"/>
        <w:ind w:firstLine="0"/>
        <w:jc w:val="left"/>
        <w:rPr>
          <w:b/>
          <w:bCs/>
          <w:sz w:val="20"/>
          <w:szCs w:val="20"/>
        </w:rPr>
      </w:pPr>
    </w:p>
    <w:p w:rsidR="00CA1F32" w:rsidRDefault="00CA1F32" w:rsidP="005B7834">
      <w:pPr>
        <w:pStyle w:val="GvdeMetniGirintisi"/>
        <w:spacing w:before="120" w:after="120"/>
        <w:ind w:firstLine="0"/>
        <w:jc w:val="left"/>
        <w:rPr>
          <w:b/>
          <w:bCs/>
          <w:sz w:val="20"/>
          <w:szCs w:val="20"/>
        </w:rPr>
      </w:pPr>
    </w:p>
    <w:p w:rsidR="0044255F" w:rsidRPr="006749C4" w:rsidRDefault="0044255F" w:rsidP="005B7834">
      <w:pPr>
        <w:pStyle w:val="GvdeMetniGirintisi"/>
        <w:spacing w:before="120" w:after="120"/>
        <w:ind w:firstLine="0"/>
        <w:jc w:val="left"/>
        <w:rPr>
          <w:sz w:val="20"/>
          <w:szCs w:val="20"/>
        </w:rPr>
      </w:pPr>
      <w:r w:rsidRPr="00576BA8">
        <w:rPr>
          <w:b/>
          <w:bCs/>
          <w:sz w:val="20"/>
          <w:szCs w:val="20"/>
        </w:rPr>
        <w:t>Kaynak</w:t>
      </w:r>
      <w:r w:rsidRPr="00576BA8">
        <w:rPr>
          <w:b/>
          <w:sz w:val="20"/>
          <w:szCs w:val="20"/>
        </w:rPr>
        <w:t>:</w:t>
      </w:r>
      <w:r>
        <w:rPr>
          <w:sz w:val="20"/>
          <w:szCs w:val="20"/>
        </w:rPr>
        <w:t xml:space="preserve"> Öztürk, 2002: 49</w:t>
      </w:r>
    </w:p>
    <w:p w:rsidR="00494FAC" w:rsidRDefault="00554C43" w:rsidP="00494FAC">
      <w:pPr>
        <w:autoSpaceDE w:val="0"/>
        <w:autoSpaceDN w:val="0"/>
        <w:adjustRightInd w:val="0"/>
        <w:spacing w:before="240" w:after="240" w:line="360" w:lineRule="auto"/>
        <w:ind w:firstLine="708"/>
        <w:jc w:val="both"/>
      </w:pPr>
      <w:r>
        <w:t>Dünyada yaşayan canlılar için hayati öneme sahip olan atmosfer, içerisinde birçok gaz bulundurur</w:t>
      </w:r>
      <w:r w:rsidR="00494FAC" w:rsidRPr="00494FAC">
        <w:t>. Atmosferdeki ba</w:t>
      </w:r>
      <w:r w:rsidR="00494FAC" w:rsidRPr="00494FAC">
        <w:rPr>
          <w:rFonts w:hint="eastAsia"/>
        </w:rPr>
        <w:t>ş</w:t>
      </w:r>
      <w:r w:rsidR="00494FAC" w:rsidRPr="00494FAC">
        <w:t>l</w:t>
      </w:r>
      <w:r w:rsidR="00494FAC" w:rsidRPr="00494FAC">
        <w:rPr>
          <w:rFonts w:hint="eastAsia"/>
        </w:rPr>
        <w:t>ı</w:t>
      </w:r>
      <w:r w:rsidR="00494FAC" w:rsidRPr="00494FAC">
        <w:t>ca</w:t>
      </w:r>
      <w:r w:rsidR="00494FAC">
        <w:t xml:space="preserve"> </w:t>
      </w:r>
      <w:r w:rsidR="00494FAC" w:rsidRPr="00494FAC">
        <w:t>gazlar durumundaki azot (% 78.08) ve oksijen (% 20.95), temiz ve kuru hava</w:t>
      </w:r>
      <w:r w:rsidR="00494FAC">
        <w:t xml:space="preserve"> </w:t>
      </w:r>
      <w:r w:rsidR="00494FAC" w:rsidRPr="00494FAC">
        <w:t>hacminin % 99</w:t>
      </w:r>
      <w:r w:rsidR="00494FAC" w:rsidRPr="00494FAC">
        <w:rPr>
          <w:rFonts w:hint="eastAsia"/>
        </w:rPr>
        <w:t>’</w:t>
      </w:r>
      <w:r w:rsidR="00494FAC" w:rsidRPr="00494FAC">
        <w:t>unu olu</w:t>
      </w:r>
      <w:r w:rsidR="00494FAC" w:rsidRPr="00494FAC">
        <w:rPr>
          <w:rFonts w:hint="eastAsia"/>
        </w:rPr>
        <w:t>ş</w:t>
      </w:r>
      <w:r w:rsidR="00494FAC" w:rsidRPr="00494FAC">
        <w:t>turur. Kalan yakla</w:t>
      </w:r>
      <w:r w:rsidR="00494FAC" w:rsidRPr="00494FAC">
        <w:rPr>
          <w:rFonts w:hint="eastAsia"/>
        </w:rPr>
        <w:t>şı</w:t>
      </w:r>
      <w:r w:rsidR="00494FAC" w:rsidRPr="00494FAC">
        <w:t>k % 1</w:t>
      </w:r>
      <w:r w:rsidR="00494FAC" w:rsidRPr="00494FAC">
        <w:rPr>
          <w:rFonts w:hint="eastAsia"/>
        </w:rPr>
        <w:t>’</w:t>
      </w:r>
      <w:r w:rsidR="00494FAC" w:rsidRPr="00494FAC">
        <w:t>lik kuru hava b</w:t>
      </w:r>
      <w:r w:rsidR="00494FAC" w:rsidRPr="00494FAC">
        <w:rPr>
          <w:rFonts w:hint="eastAsia"/>
        </w:rPr>
        <w:t>ö</w:t>
      </w:r>
      <w:r w:rsidR="00494FAC" w:rsidRPr="00494FAC">
        <w:t>l</w:t>
      </w:r>
      <w:r w:rsidR="00494FAC" w:rsidRPr="00494FAC">
        <w:rPr>
          <w:rFonts w:hint="eastAsia"/>
        </w:rPr>
        <w:t>ü</w:t>
      </w:r>
      <w:r w:rsidR="00494FAC" w:rsidRPr="00494FAC">
        <w:t>m</w:t>
      </w:r>
      <w:r w:rsidR="00494FAC" w:rsidRPr="00494FAC">
        <w:rPr>
          <w:rFonts w:hint="eastAsia"/>
        </w:rPr>
        <w:t>ü</w:t>
      </w:r>
      <w:r w:rsidR="00494FAC" w:rsidRPr="00494FAC">
        <w:t>, etkisiz bir</w:t>
      </w:r>
      <w:r w:rsidR="00494FAC">
        <w:t xml:space="preserve"> </w:t>
      </w:r>
      <w:r w:rsidR="00494FAC" w:rsidRPr="00494FAC">
        <w:t xml:space="preserve">gaz olan argon (% 0.93) ile nicelikleri </w:t>
      </w:r>
      <w:r w:rsidR="00494FAC" w:rsidRPr="00494FAC">
        <w:rPr>
          <w:rFonts w:hint="eastAsia"/>
        </w:rPr>
        <w:t>ç</w:t>
      </w:r>
      <w:r w:rsidR="00494FAC" w:rsidRPr="00494FAC">
        <w:t>ok k</w:t>
      </w:r>
      <w:r w:rsidR="00494FAC" w:rsidRPr="00494FAC">
        <w:rPr>
          <w:rFonts w:hint="eastAsia"/>
        </w:rPr>
        <w:t>üçü</w:t>
      </w:r>
      <w:r w:rsidR="00494FAC" w:rsidRPr="00494FAC">
        <w:t>k olan baz</w:t>
      </w:r>
      <w:r w:rsidR="00494FAC" w:rsidRPr="00494FAC">
        <w:rPr>
          <w:rFonts w:hint="eastAsia"/>
        </w:rPr>
        <w:t>ı</w:t>
      </w:r>
      <w:r w:rsidR="00494FAC" w:rsidRPr="00494FAC">
        <w:t xml:space="preserve"> eser gazlardan olu</w:t>
      </w:r>
      <w:r w:rsidR="00494FAC" w:rsidRPr="00494FAC">
        <w:rPr>
          <w:rFonts w:hint="eastAsia"/>
        </w:rPr>
        <w:t>ş</w:t>
      </w:r>
      <w:r w:rsidR="00494FAC" w:rsidRPr="00494FAC">
        <w:t>ur.</w:t>
      </w:r>
      <w:r w:rsidR="00494FAC">
        <w:t xml:space="preserve"> </w:t>
      </w:r>
      <w:r w:rsidR="00494FAC" w:rsidRPr="00494FAC">
        <w:t xml:space="preserve">Atmosferdeki birikimi </w:t>
      </w:r>
      <w:r w:rsidR="00494FAC" w:rsidRPr="00494FAC">
        <w:rPr>
          <w:rFonts w:hint="eastAsia"/>
        </w:rPr>
        <w:t>ç</w:t>
      </w:r>
      <w:r w:rsidR="00494FAC" w:rsidRPr="00494FAC">
        <w:t>ok k</w:t>
      </w:r>
      <w:r w:rsidR="00494FAC" w:rsidRPr="00494FAC">
        <w:rPr>
          <w:rFonts w:hint="eastAsia"/>
        </w:rPr>
        <w:t>üçü</w:t>
      </w:r>
      <w:r w:rsidR="00494FAC" w:rsidRPr="00494FAC">
        <w:t xml:space="preserve">k olmakla birlikte, </w:t>
      </w:r>
      <w:r w:rsidR="00494FAC" w:rsidRPr="00494FAC">
        <w:rPr>
          <w:rFonts w:hint="eastAsia"/>
        </w:rPr>
        <w:t>ö</w:t>
      </w:r>
      <w:r w:rsidR="00494FAC" w:rsidRPr="00494FAC">
        <w:t xml:space="preserve">nemli bir </w:t>
      </w:r>
      <w:r w:rsidR="003463A8">
        <w:t>sera gazı</w:t>
      </w:r>
      <w:r w:rsidR="00494FAC" w:rsidRPr="00494FAC">
        <w:t xml:space="preserve"> olan CO</w:t>
      </w:r>
      <w:r w:rsidR="00494FAC" w:rsidRPr="004B7B31">
        <w:rPr>
          <w:vertAlign w:val="subscript"/>
        </w:rPr>
        <w:t>2</w:t>
      </w:r>
      <w:r w:rsidR="00494FAC" w:rsidRPr="00494FAC">
        <w:t>,</w:t>
      </w:r>
      <w:r w:rsidR="00494FAC">
        <w:t xml:space="preserve"> </w:t>
      </w:r>
      <w:r w:rsidR="009B4CCB">
        <w:t xml:space="preserve">% </w:t>
      </w:r>
      <w:r w:rsidR="00494FAC" w:rsidRPr="00494FAC">
        <w:t>0.03 oran</w:t>
      </w:r>
      <w:r w:rsidR="00494FAC" w:rsidRPr="00494FAC">
        <w:rPr>
          <w:rFonts w:hint="eastAsia"/>
        </w:rPr>
        <w:t>ı</w:t>
      </w:r>
      <w:r w:rsidR="00494FAC" w:rsidRPr="00494FAC">
        <w:t xml:space="preserve"> ile d</w:t>
      </w:r>
      <w:r w:rsidR="00494FAC" w:rsidRPr="00494FAC">
        <w:rPr>
          <w:rFonts w:hint="eastAsia"/>
        </w:rPr>
        <w:t>ö</w:t>
      </w:r>
      <w:r w:rsidR="00494FAC" w:rsidRPr="00494FAC">
        <w:t>rd</w:t>
      </w:r>
      <w:r w:rsidR="00494FAC" w:rsidRPr="00494FAC">
        <w:rPr>
          <w:rFonts w:hint="eastAsia"/>
        </w:rPr>
        <w:t>ü</w:t>
      </w:r>
      <w:r w:rsidR="00494FAC" w:rsidRPr="00494FAC">
        <w:t>nc</w:t>
      </w:r>
      <w:r w:rsidR="00494FAC" w:rsidRPr="00494FAC">
        <w:rPr>
          <w:rFonts w:hint="eastAsia"/>
        </w:rPr>
        <w:t>ü</w:t>
      </w:r>
      <w:r w:rsidR="00494FAC" w:rsidRPr="00494FAC">
        <w:t xml:space="preserve"> s</w:t>
      </w:r>
      <w:r w:rsidR="00494FAC" w:rsidRPr="00494FAC">
        <w:rPr>
          <w:rFonts w:hint="eastAsia"/>
        </w:rPr>
        <w:t>ı</w:t>
      </w:r>
      <w:r w:rsidR="00494FAC" w:rsidRPr="00494FAC">
        <w:t>rada yer al</w:t>
      </w:r>
      <w:r w:rsidR="00494FAC" w:rsidRPr="00494FAC">
        <w:rPr>
          <w:rFonts w:hint="eastAsia"/>
        </w:rPr>
        <w:t>ı</w:t>
      </w:r>
      <w:r w:rsidR="00494FAC" w:rsidRPr="00494FAC">
        <w:t>r. Do</w:t>
      </w:r>
      <w:r w:rsidR="00494FAC" w:rsidRPr="00494FAC">
        <w:rPr>
          <w:rFonts w:hint="eastAsia"/>
        </w:rPr>
        <w:t>ğ</w:t>
      </w:r>
      <w:r w:rsidR="00494FAC" w:rsidRPr="00494FAC">
        <w:t>al sera gazlar</w:t>
      </w:r>
      <w:r w:rsidR="00494FAC" w:rsidRPr="00494FAC">
        <w:rPr>
          <w:rFonts w:hint="eastAsia"/>
        </w:rPr>
        <w:t>ı</w:t>
      </w:r>
      <w:r w:rsidR="00494FAC" w:rsidRPr="00494FAC">
        <w:t>n</w:t>
      </w:r>
      <w:r w:rsidR="00494FAC" w:rsidRPr="00494FAC">
        <w:rPr>
          <w:rFonts w:hint="eastAsia"/>
        </w:rPr>
        <w:t>ı</w:t>
      </w:r>
      <w:r w:rsidR="00494FAC" w:rsidRPr="00494FAC">
        <w:t xml:space="preserve">n en </w:t>
      </w:r>
      <w:r w:rsidR="00494FAC" w:rsidRPr="00494FAC">
        <w:rPr>
          <w:rFonts w:hint="eastAsia"/>
        </w:rPr>
        <w:t>ö</w:t>
      </w:r>
      <w:r w:rsidR="00494FAC" w:rsidRPr="00494FAC">
        <w:t>nemlileri,</w:t>
      </w:r>
      <w:r w:rsidR="00494FAC">
        <w:t xml:space="preserve"> </w:t>
      </w:r>
      <w:r w:rsidR="00494FAC" w:rsidRPr="00494FAC">
        <w:t>ba</w:t>
      </w:r>
      <w:r w:rsidR="00494FAC" w:rsidRPr="00494FAC">
        <w:rPr>
          <w:rFonts w:hint="eastAsia"/>
        </w:rPr>
        <w:t>ş</w:t>
      </w:r>
      <w:r w:rsidR="00494FAC" w:rsidRPr="00494FAC">
        <w:t>ta en b</w:t>
      </w:r>
      <w:r w:rsidR="00494FAC" w:rsidRPr="00494FAC">
        <w:rPr>
          <w:rFonts w:hint="eastAsia"/>
        </w:rPr>
        <w:t>ü</w:t>
      </w:r>
      <w:r w:rsidR="00494FAC" w:rsidRPr="00494FAC">
        <w:t>y</w:t>
      </w:r>
      <w:r w:rsidR="00494FAC" w:rsidRPr="00494FAC">
        <w:rPr>
          <w:rFonts w:hint="eastAsia"/>
        </w:rPr>
        <w:t>ü</w:t>
      </w:r>
      <w:r w:rsidR="00494FAC" w:rsidRPr="00494FAC">
        <w:t>k katk</w:t>
      </w:r>
      <w:r w:rsidR="00494FAC" w:rsidRPr="00494FAC">
        <w:rPr>
          <w:rFonts w:hint="eastAsia"/>
        </w:rPr>
        <w:t>ı</w:t>
      </w:r>
      <w:r w:rsidR="00494FAC" w:rsidRPr="00494FAC">
        <w:t>y</w:t>
      </w:r>
      <w:r w:rsidR="00494FAC" w:rsidRPr="00494FAC">
        <w:rPr>
          <w:rFonts w:hint="eastAsia"/>
        </w:rPr>
        <w:t>ı</w:t>
      </w:r>
      <w:r w:rsidR="00494FAC" w:rsidRPr="00494FAC">
        <w:t xml:space="preserve"> sa</w:t>
      </w:r>
      <w:r w:rsidR="00494FAC" w:rsidRPr="00494FAC">
        <w:rPr>
          <w:rFonts w:hint="eastAsia"/>
        </w:rPr>
        <w:t>ğ</w:t>
      </w:r>
      <w:r w:rsidR="00494FAC" w:rsidRPr="00494FAC">
        <w:t>layan su buhar</w:t>
      </w:r>
      <w:r w:rsidR="00494FAC" w:rsidRPr="00494FAC">
        <w:rPr>
          <w:rFonts w:hint="eastAsia"/>
        </w:rPr>
        <w:t>ı</w:t>
      </w:r>
      <w:r w:rsidR="00494FAC">
        <w:t xml:space="preserve"> </w:t>
      </w:r>
      <w:r w:rsidR="00494FAC" w:rsidRPr="00494FAC">
        <w:t>(H</w:t>
      </w:r>
      <w:r w:rsidR="00494FAC" w:rsidRPr="00B61FC4">
        <w:rPr>
          <w:vertAlign w:val="subscript"/>
        </w:rPr>
        <w:t>2</w:t>
      </w:r>
      <w:r w:rsidR="00494FAC" w:rsidRPr="00494FAC">
        <w:t xml:space="preserve">O) ve </w:t>
      </w:r>
      <w:r w:rsidR="00494FAC" w:rsidRPr="00494FAC">
        <w:lastRenderedPageBreak/>
        <w:t>karbondioksit (CO</w:t>
      </w:r>
      <w:r w:rsidR="00494FAC" w:rsidRPr="00250E96">
        <w:rPr>
          <w:vertAlign w:val="subscript"/>
        </w:rPr>
        <w:t>2</w:t>
      </w:r>
      <w:r w:rsidR="00494FAC" w:rsidRPr="00494FAC">
        <w:t>) olmak</w:t>
      </w:r>
      <w:r w:rsidR="00494FAC">
        <w:t xml:space="preserve"> </w:t>
      </w:r>
      <w:r w:rsidR="00494FAC" w:rsidRPr="00494FAC">
        <w:rPr>
          <w:rFonts w:hint="eastAsia"/>
        </w:rPr>
        <w:t>ü</w:t>
      </w:r>
      <w:r w:rsidR="00494FAC" w:rsidRPr="00494FAC">
        <w:t>zere, metan</w:t>
      </w:r>
      <w:r w:rsidR="009E42B0">
        <w:t xml:space="preserve"> (CH</w:t>
      </w:r>
      <w:r w:rsidR="009E42B0" w:rsidRPr="00250E96">
        <w:rPr>
          <w:vertAlign w:val="subscript"/>
        </w:rPr>
        <w:t>4</w:t>
      </w:r>
      <w:r w:rsidR="009E42B0">
        <w:t>), diazotmonoksit (N</w:t>
      </w:r>
      <w:r w:rsidR="009E42B0" w:rsidRPr="00250E96">
        <w:rPr>
          <w:vertAlign w:val="subscript"/>
        </w:rPr>
        <w:t>2</w:t>
      </w:r>
      <w:r w:rsidR="009E42B0">
        <w:t>O) ,</w:t>
      </w:r>
      <w:r w:rsidR="00494FAC">
        <w:t xml:space="preserve"> </w:t>
      </w:r>
      <w:r w:rsidR="00494FAC" w:rsidRPr="00494FAC">
        <w:t>ozon (O</w:t>
      </w:r>
      <w:r w:rsidR="00494FAC" w:rsidRPr="00250E96">
        <w:rPr>
          <w:vertAlign w:val="subscript"/>
        </w:rPr>
        <w:t>3</w:t>
      </w:r>
      <w:r w:rsidR="00494FAC" w:rsidRPr="00494FAC">
        <w:t xml:space="preserve">) </w:t>
      </w:r>
      <w:r w:rsidR="009E42B0">
        <w:t>ve endüstriyel üretim sonucu ortaya çıkan Hidroflorokarbon (HFC), Perflorokarbon (PFC), Sülfürhekzaflorid (SF</w:t>
      </w:r>
      <w:r w:rsidR="009E42B0">
        <w:rPr>
          <w:vertAlign w:val="subscript"/>
        </w:rPr>
        <w:t>6</w:t>
      </w:r>
      <w:r w:rsidR="009E42B0">
        <w:t xml:space="preserve">) gibi florlu bileşiklerin olduğu gazlardır </w:t>
      </w:r>
      <w:r w:rsidR="00494FAC">
        <w:t>(Türkeş, 2008:105)</w:t>
      </w:r>
      <w:r w:rsidR="005C37A3">
        <w:t>.</w:t>
      </w:r>
    </w:p>
    <w:p w:rsidR="0044255F" w:rsidRDefault="0044255F" w:rsidP="003B6B4A">
      <w:pPr>
        <w:spacing w:before="240" w:after="240" w:line="360" w:lineRule="auto"/>
        <w:ind w:firstLine="709"/>
        <w:jc w:val="both"/>
      </w:pPr>
      <w:r w:rsidRPr="008F2207">
        <w:t>İklim değişikliği, çevrese</w:t>
      </w:r>
      <w:r>
        <w:t>l sorunların artmasıyla beraber</w:t>
      </w:r>
      <w:r w:rsidR="005C1848">
        <w:t xml:space="preserve"> </w:t>
      </w:r>
      <w:r>
        <w:t>tüm dünyada</w:t>
      </w:r>
      <w:r w:rsidRPr="008F2207">
        <w:t xml:space="preserve"> güncelliğini koruyan bir </w:t>
      </w:r>
      <w:r w:rsidR="00117233">
        <w:t>meseledir</w:t>
      </w:r>
      <w:r w:rsidRPr="008F2207">
        <w:t xml:space="preserve">. </w:t>
      </w:r>
      <w:r>
        <w:t xml:space="preserve">Bilim adamları tarafından gözlemlenen ve üzerinde çokça çalışılan bir konudur. </w:t>
      </w:r>
      <w:r w:rsidRPr="008F2207">
        <w:t>Mevsimsel sıcaklıklarda gözlemlenen</w:t>
      </w:r>
      <w:r>
        <w:t xml:space="preserve"> değişiklikler</w:t>
      </w:r>
      <w:r w:rsidRPr="008F2207">
        <w:t xml:space="preserve">, </w:t>
      </w:r>
      <w:r>
        <w:t xml:space="preserve">buzullardaki erimeler, </w:t>
      </w:r>
      <w:r w:rsidRPr="008F2207">
        <w:t>temiz su kaynaklarının azalması</w:t>
      </w:r>
      <w:r w:rsidR="00FA23CB">
        <w:t xml:space="preserve"> </w:t>
      </w:r>
      <w:r w:rsidRPr="008F2207">
        <w:t>ve bunların canlıların yaşamını ciddi boyutta tehdit eder hale gelmesi,</w:t>
      </w:r>
      <w:r w:rsidR="0031082B">
        <w:t xml:space="preserve"> </w:t>
      </w:r>
      <w:r w:rsidRPr="008F2207">
        <w:t xml:space="preserve">insan kaynaklı iklim değişikliği ile doğrudan </w:t>
      </w:r>
      <w:r>
        <w:t>bağlantılı konulardır</w:t>
      </w:r>
      <w:r w:rsidRPr="008F2207">
        <w:t xml:space="preserve">. </w:t>
      </w:r>
      <w:r>
        <w:t xml:space="preserve">Yüzyıllardır süre gelen bu iklim değişikliğinin içinde bulunduğumuz yüzyılda tehlikeli boyutlara taşınmasının altında temel olarak fosil yakıt kullanımı, </w:t>
      </w:r>
      <w:r w:rsidRPr="008F2207">
        <w:t>sanayileşme, nüfus artışı, ormanların tahrip edilmesi ve tarım-hayvancılık faaliyetleri gibi insanoğlunun ihtiyaçların</w:t>
      </w:r>
      <w:r>
        <w:t>dan d</w:t>
      </w:r>
      <w:r w:rsidR="009B4CCB">
        <w:t>oğan ve ekolojik düzen üzerinde</w:t>
      </w:r>
      <w:r>
        <w:t>ki baskılardan kaynaklanmaktadır.</w:t>
      </w:r>
    </w:p>
    <w:bookmarkEnd w:id="0"/>
    <w:p w:rsidR="0044255F" w:rsidRPr="00073D79" w:rsidRDefault="00215D86" w:rsidP="009960F7">
      <w:pPr>
        <w:pStyle w:val="Balk2"/>
        <w:numPr>
          <w:ilvl w:val="1"/>
          <w:numId w:val="32"/>
        </w:numPr>
      </w:pPr>
      <w:r w:rsidRPr="00073D79">
        <w:t xml:space="preserve"> </w:t>
      </w:r>
      <w:bookmarkStart w:id="29" w:name="_Toc384823974"/>
      <w:r w:rsidR="0049470D">
        <w:t xml:space="preserve">KÜRESEL ISINMA VE SERA </w:t>
      </w:r>
      <w:r w:rsidR="0049470D" w:rsidRPr="0049470D">
        <w:t>GAZLARI</w:t>
      </w:r>
      <w:bookmarkEnd w:id="29"/>
    </w:p>
    <w:p w:rsidR="00E277D8" w:rsidRDefault="0044255F" w:rsidP="0052615E">
      <w:pPr>
        <w:pStyle w:val="GvdeMetniGirintisi"/>
        <w:spacing w:before="240" w:after="240"/>
      </w:pPr>
      <w:r>
        <w:t>İlk kez Svante Arrhennius</w:t>
      </w:r>
      <w:r>
        <w:rPr>
          <w:rStyle w:val="DipnotBavurusu"/>
        </w:rPr>
        <w:footnoteReference w:id="1"/>
      </w:r>
      <w:r>
        <w:t xml:space="preserve"> adında İsveçli bir bilim adamı 19. yüzyılın sonlarında atmosferdeki karbondioksit miktarının değiştiğini, bunun da sera etkisi yoluyla iklimi değiştirebileceğine dair hesaplamalar yapmıştır</w:t>
      </w:r>
      <w:bookmarkStart w:id="30" w:name="OLE_LINK31"/>
      <w:bookmarkStart w:id="31" w:name="OLE_LINK32"/>
      <w:r w:rsidR="0031082B">
        <w:t xml:space="preserve"> </w:t>
      </w:r>
      <w:r>
        <w:t>(Madra, 2007:</w:t>
      </w:r>
      <w:r w:rsidR="0031082B">
        <w:t xml:space="preserve"> </w:t>
      </w:r>
      <w:r>
        <w:t xml:space="preserve">21).  </w:t>
      </w:r>
      <w:bookmarkEnd w:id="30"/>
      <w:bookmarkEnd w:id="31"/>
      <w:r>
        <w:t>Bu hesaplamaların bugünkü hesaplara çok yakın o</w:t>
      </w:r>
      <w:r w:rsidR="00576BA8">
        <w:t xml:space="preserve">lduğu görülmektedir. Arrhennius ilk kez karbondioksit miktarı </w:t>
      </w:r>
      <w:r>
        <w:t xml:space="preserve">iki kat artarsa sıcaklardaki değişiklik </w:t>
      </w:r>
      <w:r w:rsidR="00643878">
        <w:t>5 ile 6 ºC artacağını hesaplamıştır</w:t>
      </w:r>
      <w:r w:rsidR="00560897">
        <w:t>. B</w:t>
      </w:r>
      <w:r>
        <w:t>ugün d</w:t>
      </w:r>
      <w:r w:rsidRPr="003F1DDC">
        <w:t xml:space="preserve">ünya meteoroloji örgütü verilerine göre, 1990 yılından 2100 yılına kadar küresel anlamda yer yüzeyinin ortalama sıcaklık değerinin </w:t>
      </w:r>
      <w:proofErr w:type="gramStart"/>
      <w:r w:rsidRPr="003F1DDC">
        <w:t>1</w:t>
      </w:r>
      <w:r w:rsidR="00F0396F">
        <w:t>.4</w:t>
      </w:r>
      <w:proofErr w:type="gramEnd"/>
      <w:r w:rsidR="00F0396F">
        <w:t xml:space="preserve"> – 5.</w:t>
      </w:r>
      <w:r w:rsidRPr="003F1DDC">
        <w:t xml:space="preserve">8 </w:t>
      </w:r>
      <w:bookmarkStart w:id="32" w:name="OLE_LINK14"/>
      <w:bookmarkStart w:id="33" w:name="OLE_LINK15"/>
      <w:bookmarkStart w:id="34" w:name="OLE_LINK18"/>
      <w:r w:rsidRPr="003F1DDC">
        <w:t>ºC</w:t>
      </w:r>
      <w:bookmarkEnd w:id="32"/>
      <w:bookmarkEnd w:id="33"/>
      <w:bookmarkEnd w:id="34"/>
      <w:r w:rsidRPr="003F1DDC">
        <w:t xml:space="preserve"> artış göstereceği</w:t>
      </w:r>
      <w:r>
        <w:t>,</w:t>
      </w:r>
      <w:r w:rsidR="00033B0C">
        <w:t xml:space="preserve"> </w:t>
      </w:r>
      <w:r w:rsidR="002A6283">
        <w:t>IPCC’</w:t>
      </w:r>
      <w:r w:rsidRPr="002F3B81">
        <w:t xml:space="preserve">nin </w:t>
      </w:r>
      <w:r>
        <w:t xml:space="preserve">2007 yılındaki raporuna göre ise </w:t>
      </w:r>
      <w:r w:rsidR="00074DC1">
        <w:t>hava sıcaklığı 1</w:t>
      </w:r>
      <w:r w:rsidR="00B81CA3">
        <w:t>.</w:t>
      </w:r>
      <w:r w:rsidR="00074DC1">
        <w:t>8 ila</w:t>
      </w:r>
      <w:r w:rsidRPr="002F3B81">
        <w:t xml:space="preserve"> 4 </w:t>
      </w:r>
      <w:r>
        <w:t>ºC</w:t>
      </w:r>
      <w:r w:rsidRPr="002F3B81">
        <w:t xml:space="preserve"> arasında artış gö</w:t>
      </w:r>
      <w:r>
        <w:t>stereceği vurgulan</w:t>
      </w:r>
      <w:r w:rsidR="00E878BF">
        <w:t>maktadır</w:t>
      </w:r>
      <w:r>
        <w:t>.</w:t>
      </w:r>
    </w:p>
    <w:p w:rsidR="005B7834" w:rsidRDefault="005B7834" w:rsidP="0052615E">
      <w:pPr>
        <w:pStyle w:val="GvdeMetniGirintisi"/>
        <w:spacing w:before="240" w:after="240"/>
      </w:pPr>
    </w:p>
    <w:p w:rsidR="005B7834" w:rsidRDefault="005B7834" w:rsidP="0052615E">
      <w:pPr>
        <w:pStyle w:val="GvdeMetniGirintisi"/>
        <w:spacing w:before="240" w:after="240"/>
      </w:pPr>
    </w:p>
    <w:p w:rsidR="005B7834" w:rsidRDefault="005B7834" w:rsidP="0052615E">
      <w:pPr>
        <w:pStyle w:val="GvdeMetniGirintisi"/>
        <w:spacing w:before="240" w:after="240"/>
      </w:pPr>
    </w:p>
    <w:p w:rsidR="005B7834" w:rsidRDefault="005B7834" w:rsidP="0052615E">
      <w:pPr>
        <w:pStyle w:val="GvdeMetniGirintisi"/>
        <w:spacing w:before="240" w:after="240"/>
      </w:pPr>
    </w:p>
    <w:p w:rsidR="00E878BF" w:rsidRPr="0023787F" w:rsidRDefault="0044255F" w:rsidP="00547877">
      <w:pPr>
        <w:pStyle w:val="stil1"/>
        <w:spacing w:before="0"/>
      </w:pPr>
      <w:bookmarkStart w:id="35" w:name="_Toc382293815"/>
      <w:bookmarkStart w:id="36" w:name="_Toc382298141"/>
      <w:r w:rsidRPr="0023787F">
        <w:lastRenderedPageBreak/>
        <w:t xml:space="preserve">Şekil </w:t>
      </w:r>
      <w:proofErr w:type="gramStart"/>
      <w:r w:rsidRPr="0023787F">
        <w:t>1.2</w:t>
      </w:r>
      <w:proofErr w:type="gramEnd"/>
      <w:r w:rsidRPr="0023787F">
        <w:t>: Atmosferde</w:t>
      </w:r>
      <w:r w:rsidR="00DB4E98" w:rsidRPr="0023787F">
        <w:t xml:space="preserve"> </w:t>
      </w:r>
      <w:r w:rsidRPr="0023787F">
        <w:t>Sera</w:t>
      </w:r>
      <w:r w:rsidR="000735D5" w:rsidRPr="0023787F">
        <w:t xml:space="preserve"> </w:t>
      </w:r>
      <w:r w:rsidR="00EB191D">
        <w:t>G</w:t>
      </w:r>
      <w:r w:rsidRPr="0023787F">
        <w:t>azları Yoğunluğu</w:t>
      </w:r>
      <w:bookmarkEnd w:id="35"/>
      <w:bookmarkEnd w:id="36"/>
    </w:p>
    <w:p w:rsidR="00E878BF" w:rsidRDefault="00E878BF" w:rsidP="00547877">
      <w:pPr>
        <w:rPr>
          <w:b/>
          <w:bCs/>
        </w:rPr>
      </w:pPr>
      <w:r>
        <w:rPr>
          <w:noProof/>
          <w:lang w:eastAsia="tr-TR"/>
        </w:rPr>
        <w:drawing>
          <wp:anchor distT="0" distB="0" distL="114300" distR="114300" simplePos="0" relativeHeight="251658752" behindDoc="1" locked="0" layoutInCell="1" allowOverlap="1" wp14:anchorId="4E07300E" wp14:editId="04CB669A">
            <wp:simplePos x="0" y="0"/>
            <wp:positionH relativeFrom="column">
              <wp:posOffset>-9525</wp:posOffset>
            </wp:positionH>
            <wp:positionV relativeFrom="paragraph">
              <wp:posOffset>48260</wp:posOffset>
            </wp:positionV>
            <wp:extent cx="3768090" cy="2488565"/>
            <wp:effectExtent l="19050" t="19050" r="22860" b="26035"/>
            <wp:wrapSquare wrapText="bothSides"/>
            <wp:docPr id="4" name="Resim 314" descr="0-2005 e kadar co2 değiş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4" descr="0-2005 e kadar co2 değişim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8090" cy="2488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878BF" w:rsidRDefault="00E878BF" w:rsidP="00547877">
      <w:pPr>
        <w:rPr>
          <w:b/>
          <w:bCs/>
        </w:rPr>
      </w:pPr>
    </w:p>
    <w:p w:rsidR="00E878BF" w:rsidRDefault="00E878BF" w:rsidP="00547877">
      <w:pPr>
        <w:rPr>
          <w:b/>
          <w:bCs/>
        </w:rPr>
      </w:pPr>
    </w:p>
    <w:p w:rsidR="00E878BF" w:rsidRDefault="00E878BF" w:rsidP="00547877">
      <w:pPr>
        <w:rPr>
          <w:b/>
          <w:bCs/>
        </w:rPr>
      </w:pPr>
    </w:p>
    <w:p w:rsidR="00E878BF" w:rsidRDefault="00E878BF" w:rsidP="00547877">
      <w:pPr>
        <w:rPr>
          <w:b/>
          <w:bCs/>
        </w:rPr>
      </w:pPr>
    </w:p>
    <w:p w:rsidR="00E878BF" w:rsidRDefault="00E878BF" w:rsidP="00547877">
      <w:pPr>
        <w:rPr>
          <w:b/>
          <w:bCs/>
        </w:rPr>
      </w:pPr>
    </w:p>
    <w:p w:rsidR="00E878BF" w:rsidRDefault="00E878BF" w:rsidP="00547877">
      <w:pPr>
        <w:rPr>
          <w:b/>
          <w:bCs/>
        </w:rPr>
      </w:pPr>
    </w:p>
    <w:p w:rsidR="00E878BF" w:rsidRDefault="00E878BF" w:rsidP="00547877">
      <w:pPr>
        <w:rPr>
          <w:b/>
          <w:bCs/>
        </w:rPr>
      </w:pPr>
    </w:p>
    <w:p w:rsidR="00E878BF" w:rsidRDefault="00E878BF" w:rsidP="00547877">
      <w:pPr>
        <w:rPr>
          <w:b/>
          <w:bCs/>
        </w:rPr>
      </w:pPr>
    </w:p>
    <w:p w:rsidR="00E878BF" w:rsidRPr="00A46039" w:rsidRDefault="00E878BF" w:rsidP="00547877">
      <w:pPr>
        <w:rPr>
          <w:b/>
          <w:bCs/>
        </w:rPr>
      </w:pPr>
    </w:p>
    <w:p w:rsidR="00E878BF" w:rsidRDefault="00E878BF" w:rsidP="00547877">
      <w:pPr>
        <w:pStyle w:val="GvdeMetniGirintisi"/>
        <w:spacing w:line="240" w:lineRule="auto"/>
        <w:ind w:firstLine="0"/>
        <w:jc w:val="left"/>
      </w:pPr>
    </w:p>
    <w:p w:rsidR="00E878BF" w:rsidRDefault="00E878BF" w:rsidP="00547877">
      <w:pPr>
        <w:pStyle w:val="GvdeMetniGirintisi"/>
        <w:spacing w:line="240" w:lineRule="auto"/>
        <w:ind w:firstLine="0"/>
        <w:jc w:val="left"/>
      </w:pPr>
    </w:p>
    <w:p w:rsidR="00E878BF" w:rsidRDefault="00E878BF" w:rsidP="00547877">
      <w:pPr>
        <w:pStyle w:val="GvdeMetniGirintisi"/>
        <w:spacing w:line="240" w:lineRule="auto"/>
        <w:ind w:firstLine="0"/>
        <w:jc w:val="left"/>
      </w:pPr>
    </w:p>
    <w:p w:rsidR="00547877" w:rsidRDefault="00547877" w:rsidP="00547877">
      <w:pPr>
        <w:pStyle w:val="GvdeMetniGirintisi"/>
        <w:spacing w:line="240" w:lineRule="auto"/>
        <w:ind w:firstLine="0"/>
        <w:jc w:val="left"/>
        <w:rPr>
          <w:b/>
          <w:bCs/>
          <w:sz w:val="20"/>
          <w:szCs w:val="20"/>
        </w:rPr>
      </w:pPr>
    </w:p>
    <w:p w:rsidR="00547877" w:rsidRDefault="00547877" w:rsidP="00547877">
      <w:pPr>
        <w:pStyle w:val="GvdeMetniGirintisi"/>
        <w:spacing w:line="240" w:lineRule="auto"/>
        <w:ind w:firstLine="0"/>
        <w:jc w:val="left"/>
        <w:rPr>
          <w:b/>
          <w:bCs/>
          <w:sz w:val="20"/>
          <w:szCs w:val="20"/>
        </w:rPr>
      </w:pPr>
    </w:p>
    <w:p w:rsidR="0044255F" w:rsidRDefault="0044255F" w:rsidP="00547877">
      <w:pPr>
        <w:pStyle w:val="GvdeMetniGirintisi"/>
        <w:spacing w:line="240" w:lineRule="auto"/>
        <w:ind w:firstLine="0"/>
        <w:jc w:val="left"/>
        <w:rPr>
          <w:sz w:val="20"/>
          <w:szCs w:val="20"/>
        </w:rPr>
      </w:pPr>
      <w:r w:rsidRPr="0031082B">
        <w:rPr>
          <w:b/>
          <w:bCs/>
          <w:sz w:val="20"/>
          <w:szCs w:val="20"/>
        </w:rPr>
        <w:t>Kaynak</w:t>
      </w:r>
      <w:r w:rsidRPr="0031082B">
        <w:rPr>
          <w:b/>
          <w:sz w:val="20"/>
          <w:szCs w:val="20"/>
        </w:rPr>
        <w:t>:</w:t>
      </w:r>
      <w:r>
        <w:rPr>
          <w:sz w:val="20"/>
          <w:szCs w:val="20"/>
        </w:rPr>
        <w:t xml:space="preserve"> IPCC 2007. FAQ </w:t>
      </w:r>
      <w:proofErr w:type="gramStart"/>
      <w:r>
        <w:rPr>
          <w:sz w:val="20"/>
          <w:szCs w:val="20"/>
        </w:rPr>
        <w:t>2.1</w:t>
      </w:r>
      <w:proofErr w:type="gramEnd"/>
      <w:r>
        <w:rPr>
          <w:sz w:val="20"/>
          <w:szCs w:val="20"/>
        </w:rPr>
        <w:t>, s:100 (ppb, ppm yoğunluk birimidir.)</w:t>
      </w:r>
    </w:p>
    <w:p w:rsidR="00547877" w:rsidRDefault="00547877" w:rsidP="00547877">
      <w:pPr>
        <w:pStyle w:val="GvdeMetniGirintisi"/>
        <w:spacing w:line="240" w:lineRule="auto"/>
        <w:ind w:firstLine="0"/>
        <w:jc w:val="left"/>
        <w:rPr>
          <w:sz w:val="20"/>
          <w:szCs w:val="20"/>
        </w:rPr>
      </w:pPr>
    </w:p>
    <w:p w:rsidR="007C15E7" w:rsidRPr="0098597E" w:rsidRDefault="007C15E7" w:rsidP="00547877">
      <w:pPr>
        <w:pStyle w:val="GvdeMetniGirintisi"/>
        <w:spacing w:line="240" w:lineRule="auto"/>
        <w:ind w:firstLine="0"/>
        <w:jc w:val="left"/>
        <w:rPr>
          <w:sz w:val="20"/>
          <w:szCs w:val="20"/>
        </w:rPr>
      </w:pPr>
      <w:r>
        <w:rPr>
          <w:noProof/>
          <w:lang w:eastAsia="tr-TR"/>
        </w:rPr>
        <w:drawing>
          <wp:inline distT="0" distB="0" distL="0" distR="0" wp14:anchorId="0A2BC970" wp14:editId="4CDB7699">
            <wp:extent cx="3852626" cy="4993419"/>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62125" cy="5005731"/>
                    </a:xfrm>
                    <a:prstGeom prst="rect">
                      <a:avLst/>
                    </a:prstGeom>
                  </pic:spPr>
                </pic:pic>
              </a:graphicData>
            </a:graphic>
          </wp:inline>
        </w:drawing>
      </w:r>
    </w:p>
    <w:p w:rsidR="007C15E7" w:rsidRDefault="007C15E7" w:rsidP="00547877">
      <w:pPr>
        <w:pStyle w:val="GvdeMetniGirintisi"/>
        <w:spacing w:line="240" w:lineRule="auto"/>
        <w:ind w:firstLine="0"/>
        <w:jc w:val="left"/>
        <w:rPr>
          <w:sz w:val="20"/>
          <w:szCs w:val="20"/>
        </w:rPr>
      </w:pPr>
      <w:r w:rsidRPr="0031082B">
        <w:rPr>
          <w:b/>
          <w:bCs/>
          <w:sz w:val="20"/>
          <w:szCs w:val="20"/>
        </w:rPr>
        <w:t>Kaynak</w:t>
      </w:r>
      <w:r w:rsidRPr="0031082B">
        <w:rPr>
          <w:b/>
          <w:sz w:val="20"/>
          <w:szCs w:val="20"/>
        </w:rPr>
        <w:t>:</w:t>
      </w:r>
      <w:r>
        <w:rPr>
          <w:sz w:val="20"/>
          <w:szCs w:val="20"/>
        </w:rPr>
        <w:t xml:space="preserve"> IPCC 2013 WGI 5. Değerlendirme Raporu, Grafik </w:t>
      </w:r>
      <w:proofErr w:type="gramStart"/>
      <w:r>
        <w:rPr>
          <w:sz w:val="20"/>
          <w:szCs w:val="20"/>
        </w:rPr>
        <w:t>6.3</w:t>
      </w:r>
      <w:proofErr w:type="gramEnd"/>
      <w:r>
        <w:rPr>
          <w:sz w:val="20"/>
          <w:szCs w:val="20"/>
        </w:rPr>
        <w:t>, FAQ 3.2.</w:t>
      </w:r>
    </w:p>
    <w:p w:rsidR="0044255F" w:rsidRDefault="0044255F" w:rsidP="00BD4D9E">
      <w:pPr>
        <w:spacing w:before="240" w:after="240" w:line="360" w:lineRule="auto"/>
        <w:ind w:firstLine="709"/>
        <w:jc w:val="both"/>
      </w:pPr>
      <w:r>
        <w:t xml:space="preserve">Sanayi devriminden bu yana sera gazlarının aşırı derecede arttığı Şekil </w:t>
      </w:r>
      <w:proofErr w:type="gramStart"/>
      <w:r>
        <w:t>1.2’de</w:t>
      </w:r>
      <w:proofErr w:type="gramEnd"/>
      <w:r>
        <w:t xml:space="preserve"> görülmektedir. Günümüzde sera etkisi</w:t>
      </w:r>
      <w:r w:rsidRPr="008C41E4">
        <w:t xml:space="preserve"> ve küresel ısınmanın bir gerçek olduğu birçok </w:t>
      </w:r>
      <w:r w:rsidRPr="008C41E4">
        <w:lastRenderedPageBreak/>
        <w:t>bilimsel çalışmayla ortaya konmuş</w:t>
      </w:r>
      <w:r>
        <w:t xml:space="preserve">tur. </w:t>
      </w:r>
      <w:r w:rsidRPr="008C41E4">
        <w:t xml:space="preserve">British Antarctic Survey araştırmacılarından Eric Wolff başkanlığındaki </w:t>
      </w:r>
      <w:r w:rsidRPr="005C2B8C">
        <w:t>Avrupalı bilim</w:t>
      </w:r>
      <w:r w:rsidR="002A6283">
        <w:t xml:space="preserve"> </w:t>
      </w:r>
      <w:r w:rsidRPr="005C2B8C">
        <w:t xml:space="preserve">adamlarının Antarktika kıtasında EPICA Projesi adıyla 2004 yılında tamamladıkları çalışmaya göre, 750 bin yıl </w:t>
      </w:r>
      <w:r>
        <w:t>önceki iklimle ilgili verilere ulaşmışlardır.</w:t>
      </w:r>
      <w:r w:rsidR="00033B0C">
        <w:t xml:space="preserve"> </w:t>
      </w:r>
      <w:r>
        <w:t>Bu bulgulara</w:t>
      </w:r>
      <w:r w:rsidRPr="005C2B8C">
        <w:t xml:space="preserve"> göre, </w:t>
      </w:r>
      <w:r w:rsidR="00E1362E">
        <w:t>sera gazlarının miktarı</w:t>
      </w:r>
      <w:r w:rsidRPr="005C2B8C">
        <w:t xml:space="preserve"> 440.000 yılın</w:t>
      </w:r>
      <w:r>
        <w:t xml:space="preserve"> en yüksek seviyesine ulaşmıştır</w:t>
      </w:r>
      <w:r w:rsidR="0031082B">
        <w:t xml:space="preserve"> </w:t>
      </w:r>
      <w:r>
        <w:t>(Mercan, 2013</w:t>
      </w:r>
      <w:r w:rsidR="0031082B">
        <w:t xml:space="preserve">: </w:t>
      </w:r>
      <w:r w:rsidR="00033B0C">
        <w:t>9</w:t>
      </w:r>
      <w:r>
        <w:t>).</w:t>
      </w:r>
    </w:p>
    <w:p w:rsidR="00006D27" w:rsidRDefault="0044255F" w:rsidP="0052615E">
      <w:pPr>
        <w:spacing w:before="240" w:after="240" w:line="360" w:lineRule="auto"/>
        <w:ind w:firstLine="709"/>
        <w:jc w:val="both"/>
      </w:pPr>
      <w:r w:rsidRPr="00B67A5C">
        <w:t xml:space="preserve">Küresel ısınma çerçevesinde bilim adamlarının bugüne kadar yaptıkları çalışmalarda atmosfer içindeki sera gazları emisyonlarının her geçen gün arttığını bilimsel yöntemlerle </w:t>
      </w:r>
      <w:r w:rsidR="00C56289">
        <w:t>tespit edilmiştir</w:t>
      </w:r>
      <w:r w:rsidRPr="00B67A5C">
        <w:t xml:space="preserve">. IPCC 2007 yılında yayımladığı </w:t>
      </w:r>
      <w:r w:rsidR="00C56289">
        <w:t>D</w:t>
      </w:r>
      <w:r w:rsidRPr="00B67A5C">
        <w:t xml:space="preserve">ördüncü </w:t>
      </w:r>
      <w:r w:rsidR="00C56289">
        <w:t>D</w:t>
      </w:r>
      <w:r w:rsidRPr="00B67A5C">
        <w:t xml:space="preserve">eğerlendirme </w:t>
      </w:r>
      <w:r w:rsidR="00C56289">
        <w:t>R</w:t>
      </w:r>
      <w:r w:rsidRPr="00B67A5C">
        <w:t>aporu</w:t>
      </w:r>
      <w:r w:rsidR="00C56289">
        <w:t>’</w:t>
      </w:r>
      <w:r w:rsidRPr="00B67A5C">
        <w:t>na göre; yerküre ve okyanusların sıcaklığının arttığı, buzullarda erimelerin old</w:t>
      </w:r>
      <w:r w:rsidR="00604EE9">
        <w:t>uğu gerçeğinin altı çizil</w:t>
      </w:r>
      <w:r w:rsidR="00C56289">
        <w:t>miştir</w:t>
      </w:r>
      <w:r w:rsidR="00604EE9">
        <w:t>.</w:t>
      </w:r>
      <w:r w:rsidRPr="00B67A5C">
        <w:t xml:space="preserve"> IPCC raporları gibi</w:t>
      </w:r>
      <w:r w:rsidR="00604EE9">
        <w:t>,</w:t>
      </w:r>
      <w:r w:rsidRPr="00B67A5C">
        <w:t xml:space="preserve"> dünyanın birçok yerinde bilim adamları iklim değişikliği </w:t>
      </w:r>
      <w:r w:rsidR="00604EE9">
        <w:t>üzerine çalışmalar yürüttü</w:t>
      </w:r>
      <w:r w:rsidRPr="00B67A5C">
        <w:t>. Örnek ol</w:t>
      </w:r>
      <w:r w:rsidR="00604EE9">
        <w:t>arak; Amerika Birleşik Devlet</w:t>
      </w:r>
      <w:r w:rsidRPr="00B67A5C">
        <w:t>i Hükümeti Ulusal Okyanus ve Atmosfer İdaresi’nin (National Oceanic and Atmospheric Administration), Pasifik Okyanusu’nun ortasındaki Hawai Adası’nda 3.500 metre yükseklikteki Mauna Loa isimli dağın zirvesinde kurulu olan gözlemevinde 1958 yılından bu yana yapılan ölçümlere göre, atmosfer içerisindeki karbondioksit birikimi</w:t>
      </w:r>
      <w:r w:rsidR="00604EE9">
        <w:t>nin çok hızlı biçimde artığını tespit edil</w:t>
      </w:r>
      <w:r w:rsidR="00C56289">
        <w:t>miştir</w:t>
      </w:r>
      <w:r>
        <w:rPr>
          <w:rStyle w:val="DipnotBavurusu"/>
        </w:rPr>
        <w:footnoteReference w:id="2"/>
      </w:r>
      <w:r>
        <w:t xml:space="preserve"> (Şekil </w:t>
      </w:r>
      <w:proofErr w:type="gramStart"/>
      <w:r>
        <w:t>1.3</w:t>
      </w:r>
      <w:proofErr w:type="gramEnd"/>
      <w:r w:rsidRPr="00B67A5C">
        <w:t>). Mauna Loa gözlemevi haricinde Law Dome, Adalie Land, South Pole v</w:t>
      </w:r>
      <w:r w:rsidR="006F6802">
        <w:t>e Siple gibi bir</w:t>
      </w:r>
      <w:r w:rsidRPr="00B67A5C">
        <w:t>çok sabit istasyon ve atmosferin belirli yükseklikleri için uçaklarla sürekli olarak</w:t>
      </w:r>
      <w:r w:rsidR="00604EE9">
        <w:t xml:space="preserve"> </w:t>
      </w:r>
      <w:r w:rsidR="003463A8">
        <w:t>sera gazı</w:t>
      </w:r>
      <w:r w:rsidR="00C56289">
        <w:t xml:space="preserve"> ölçümleri yapılmış</w:t>
      </w:r>
      <w:r w:rsidR="00604EE9">
        <w:t xml:space="preserve"> </w:t>
      </w:r>
      <w:r w:rsidRPr="00B67A5C">
        <w:t xml:space="preserve">ve </w:t>
      </w:r>
      <w:r w:rsidR="003463A8">
        <w:t>sera gazı</w:t>
      </w:r>
      <w:r w:rsidRPr="00B67A5C">
        <w:t xml:space="preserve"> emisyonlarındaki artış bilimsel olarak ortay</w:t>
      </w:r>
      <w:r w:rsidR="00C56289">
        <w:t>a konulmuştur</w:t>
      </w:r>
      <w:r w:rsidR="0031082B">
        <w:t xml:space="preserve"> (Özçağ, 2011: </w:t>
      </w:r>
      <w:r w:rsidRPr="00B67A5C">
        <w:t>12).</w:t>
      </w:r>
    </w:p>
    <w:p w:rsidR="007A77D5" w:rsidRDefault="007A77D5" w:rsidP="0052615E">
      <w:pPr>
        <w:spacing w:before="240" w:after="240" w:line="360" w:lineRule="auto"/>
        <w:ind w:firstLine="709"/>
        <w:jc w:val="both"/>
      </w:pPr>
    </w:p>
    <w:p w:rsidR="007A77D5" w:rsidRDefault="007A77D5" w:rsidP="0052615E">
      <w:pPr>
        <w:spacing w:before="240" w:after="240" w:line="360" w:lineRule="auto"/>
        <w:ind w:firstLine="709"/>
        <w:jc w:val="both"/>
      </w:pPr>
    </w:p>
    <w:p w:rsidR="007A77D5" w:rsidRDefault="007A77D5" w:rsidP="0052615E">
      <w:pPr>
        <w:spacing w:before="240" w:after="240" w:line="360" w:lineRule="auto"/>
        <w:ind w:firstLine="709"/>
        <w:jc w:val="both"/>
      </w:pPr>
    </w:p>
    <w:p w:rsidR="007A77D5" w:rsidRDefault="007A77D5" w:rsidP="0052615E">
      <w:pPr>
        <w:spacing w:before="240" w:after="240" w:line="360" w:lineRule="auto"/>
        <w:ind w:firstLine="709"/>
        <w:jc w:val="both"/>
      </w:pPr>
    </w:p>
    <w:p w:rsidR="007A77D5" w:rsidRDefault="007A77D5" w:rsidP="0052615E">
      <w:pPr>
        <w:spacing w:before="240" w:after="240" w:line="360" w:lineRule="auto"/>
        <w:ind w:firstLine="709"/>
        <w:jc w:val="both"/>
      </w:pPr>
    </w:p>
    <w:p w:rsidR="007A77D5" w:rsidRDefault="007A77D5" w:rsidP="0052615E">
      <w:pPr>
        <w:spacing w:before="240" w:after="240" w:line="360" w:lineRule="auto"/>
        <w:ind w:firstLine="709"/>
        <w:jc w:val="both"/>
      </w:pPr>
    </w:p>
    <w:p w:rsidR="00D975E1" w:rsidRDefault="00D975E1" w:rsidP="00645120">
      <w:pPr>
        <w:pStyle w:val="stil1"/>
      </w:pPr>
      <w:bookmarkStart w:id="37" w:name="OLE_LINK21"/>
      <w:bookmarkStart w:id="38" w:name="OLE_LINK22"/>
      <w:bookmarkStart w:id="39" w:name="OLE_LINK41"/>
      <w:bookmarkStart w:id="40" w:name="_Toc382298142"/>
      <w:r>
        <w:lastRenderedPageBreak/>
        <w:t xml:space="preserve">Şekil </w:t>
      </w:r>
      <w:proofErr w:type="gramStart"/>
      <w:r>
        <w:t>1.3</w:t>
      </w:r>
      <w:proofErr w:type="gramEnd"/>
      <w:r>
        <w:t xml:space="preserve">: </w:t>
      </w:r>
      <w:bookmarkStart w:id="41" w:name="OLE_LINK28"/>
      <w:bookmarkStart w:id="42" w:name="OLE_LINK27"/>
      <w:r>
        <w:t>Atmosferdeki CO</w:t>
      </w:r>
      <w:r>
        <w:rPr>
          <w:vertAlign w:val="subscript"/>
        </w:rPr>
        <w:t>2</w:t>
      </w:r>
      <w:r>
        <w:t>Yoğunluğunun Gelişimi</w:t>
      </w:r>
      <w:bookmarkEnd w:id="37"/>
      <w:bookmarkEnd w:id="38"/>
      <w:bookmarkEnd w:id="39"/>
      <w:bookmarkEnd w:id="40"/>
      <w:bookmarkEnd w:id="41"/>
      <w:bookmarkEnd w:id="42"/>
    </w:p>
    <w:p w:rsidR="008E0608" w:rsidRDefault="008E0608" w:rsidP="0052615E">
      <w:pPr>
        <w:pStyle w:val="GvdeMetniGirintisi"/>
        <w:spacing w:line="240" w:lineRule="auto"/>
        <w:jc w:val="left"/>
        <w:rPr>
          <w:b/>
          <w:bCs/>
        </w:rPr>
      </w:pPr>
      <w:r>
        <w:rPr>
          <w:b/>
          <w:bCs/>
          <w:noProof/>
          <w:lang w:eastAsia="tr-TR"/>
        </w:rPr>
        <w:drawing>
          <wp:anchor distT="0" distB="0" distL="114300" distR="114300" simplePos="0" relativeHeight="251664896" behindDoc="1" locked="0" layoutInCell="1" allowOverlap="1" wp14:anchorId="1A61AC2B" wp14:editId="3016A645">
            <wp:simplePos x="0" y="0"/>
            <wp:positionH relativeFrom="column">
              <wp:posOffset>-1905</wp:posOffset>
            </wp:positionH>
            <wp:positionV relativeFrom="paragraph">
              <wp:posOffset>95885</wp:posOffset>
            </wp:positionV>
            <wp:extent cx="4107815" cy="3021330"/>
            <wp:effectExtent l="19050" t="19050" r="26035" b="26670"/>
            <wp:wrapTight wrapText="bothSides">
              <wp:wrapPolygon edited="0">
                <wp:start x="-100" y="-136"/>
                <wp:lineTo x="-100" y="21654"/>
                <wp:lineTo x="21637" y="21654"/>
                <wp:lineTo x="21637" y="-136"/>
                <wp:lineTo x="-100" y="-136"/>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bondioksit yoğunluğu.jpg"/>
                    <pic:cNvPicPr/>
                  </pic:nvPicPr>
                  <pic:blipFill>
                    <a:blip r:embed="rId16">
                      <a:extLst>
                        <a:ext uri="{28A0092B-C50C-407E-A947-70E740481C1C}">
                          <a14:useLocalDpi xmlns:a14="http://schemas.microsoft.com/office/drawing/2010/main" val="0"/>
                        </a:ext>
                      </a:extLst>
                    </a:blip>
                    <a:stretch>
                      <a:fillRect/>
                    </a:stretch>
                  </pic:blipFill>
                  <pic:spPr>
                    <a:xfrm>
                      <a:off x="0" y="0"/>
                      <a:ext cx="4107815" cy="30213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E0608" w:rsidRDefault="008E0608" w:rsidP="0052615E">
      <w:pPr>
        <w:pStyle w:val="GvdeMetniGirintisi"/>
        <w:spacing w:line="240" w:lineRule="auto"/>
        <w:jc w:val="left"/>
        <w:rPr>
          <w:b/>
          <w:bCs/>
        </w:rPr>
      </w:pPr>
    </w:p>
    <w:p w:rsidR="008E0608" w:rsidRDefault="008E0608" w:rsidP="0052615E">
      <w:pPr>
        <w:pStyle w:val="GvdeMetniGirintisi"/>
        <w:spacing w:line="240" w:lineRule="auto"/>
        <w:jc w:val="left"/>
        <w:rPr>
          <w:b/>
          <w:bCs/>
        </w:rPr>
      </w:pPr>
    </w:p>
    <w:p w:rsidR="008E0608" w:rsidRDefault="008E0608" w:rsidP="0052615E">
      <w:pPr>
        <w:pStyle w:val="GvdeMetniGirintisi"/>
        <w:spacing w:line="240" w:lineRule="auto"/>
        <w:jc w:val="left"/>
        <w:rPr>
          <w:b/>
          <w:bCs/>
        </w:rPr>
      </w:pPr>
    </w:p>
    <w:p w:rsidR="008E0608" w:rsidRDefault="008E0608" w:rsidP="0052615E">
      <w:pPr>
        <w:pStyle w:val="GvdeMetniGirintisi"/>
        <w:spacing w:line="240" w:lineRule="auto"/>
        <w:jc w:val="left"/>
        <w:rPr>
          <w:b/>
          <w:bCs/>
        </w:rPr>
      </w:pPr>
    </w:p>
    <w:p w:rsidR="008E0608" w:rsidRDefault="008E0608" w:rsidP="0052615E">
      <w:pPr>
        <w:pStyle w:val="GvdeMetniGirintisi"/>
        <w:spacing w:line="240" w:lineRule="auto"/>
        <w:jc w:val="left"/>
        <w:rPr>
          <w:b/>
          <w:bCs/>
        </w:rPr>
      </w:pPr>
    </w:p>
    <w:p w:rsidR="008E0608" w:rsidRDefault="008E0608" w:rsidP="0052615E">
      <w:pPr>
        <w:pStyle w:val="GvdeMetniGirintisi"/>
        <w:spacing w:line="240" w:lineRule="auto"/>
        <w:jc w:val="left"/>
        <w:rPr>
          <w:b/>
          <w:bCs/>
        </w:rPr>
      </w:pPr>
    </w:p>
    <w:p w:rsidR="008E0608" w:rsidRDefault="008E0608" w:rsidP="0052615E">
      <w:pPr>
        <w:pStyle w:val="GvdeMetniGirintisi"/>
        <w:spacing w:line="240" w:lineRule="auto"/>
        <w:jc w:val="left"/>
        <w:rPr>
          <w:b/>
          <w:bCs/>
        </w:rPr>
      </w:pPr>
    </w:p>
    <w:p w:rsidR="008E0608" w:rsidRDefault="008E0608" w:rsidP="0052615E">
      <w:pPr>
        <w:pStyle w:val="GvdeMetniGirintisi"/>
        <w:spacing w:line="240" w:lineRule="auto"/>
        <w:jc w:val="left"/>
        <w:rPr>
          <w:b/>
          <w:bCs/>
        </w:rPr>
      </w:pPr>
    </w:p>
    <w:p w:rsidR="008E0608" w:rsidRDefault="008E0608" w:rsidP="0052615E">
      <w:pPr>
        <w:pStyle w:val="GvdeMetniGirintisi"/>
        <w:spacing w:line="240" w:lineRule="auto"/>
        <w:jc w:val="left"/>
        <w:rPr>
          <w:b/>
          <w:bCs/>
        </w:rPr>
      </w:pPr>
    </w:p>
    <w:p w:rsidR="008E0608" w:rsidRDefault="008E0608" w:rsidP="0052615E">
      <w:pPr>
        <w:pStyle w:val="GvdeMetniGirintisi"/>
        <w:spacing w:line="240" w:lineRule="auto"/>
        <w:jc w:val="left"/>
        <w:rPr>
          <w:b/>
          <w:bCs/>
        </w:rPr>
      </w:pPr>
    </w:p>
    <w:p w:rsidR="008E0608" w:rsidRDefault="008E0608" w:rsidP="0052615E">
      <w:pPr>
        <w:pStyle w:val="GvdeMetniGirintisi"/>
        <w:spacing w:line="240" w:lineRule="auto"/>
        <w:jc w:val="left"/>
        <w:rPr>
          <w:b/>
          <w:bCs/>
        </w:rPr>
      </w:pPr>
    </w:p>
    <w:p w:rsidR="008E0608" w:rsidRDefault="008E0608" w:rsidP="0052615E">
      <w:pPr>
        <w:pStyle w:val="GvdeMetniGirintisi"/>
        <w:spacing w:line="240" w:lineRule="auto"/>
        <w:jc w:val="left"/>
        <w:rPr>
          <w:b/>
          <w:bCs/>
        </w:rPr>
      </w:pPr>
    </w:p>
    <w:p w:rsidR="008E0608" w:rsidRDefault="008E0608" w:rsidP="0052615E">
      <w:pPr>
        <w:pStyle w:val="GvdeMetniGirintisi"/>
        <w:spacing w:line="240" w:lineRule="auto"/>
        <w:jc w:val="left"/>
        <w:rPr>
          <w:b/>
          <w:bCs/>
        </w:rPr>
      </w:pPr>
    </w:p>
    <w:p w:rsidR="008E0608" w:rsidRDefault="008E0608" w:rsidP="0052615E">
      <w:pPr>
        <w:pStyle w:val="GvdeMetniGirintisi"/>
        <w:spacing w:line="240" w:lineRule="auto"/>
        <w:jc w:val="left"/>
        <w:rPr>
          <w:b/>
          <w:bCs/>
        </w:rPr>
      </w:pPr>
    </w:p>
    <w:p w:rsidR="008E0608" w:rsidRDefault="008E0608" w:rsidP="0052615E">
      <w:pPr>
        <w:pStyle w:val="GvdeMetniGirintisi"/>
        <w:spacing w:line="240" w:lineRule="auto"/>
        <w:jc w:val="left"/>
        <w:rPr>
          <w:b/>
          <w:bCs/>
        </w:rPr>
      </w:pPr>
    </w:p>
    <w:p w:rsidR="008E0608" w:rsidRDefault="008E0608" w:rsidP="0052615E">
      <w:pPr>
        <w:pStyle w:val="GvdeMetniGirintisi"/>
        <w:spacing w:line="240" w:lineRule="auto"/>
        <w:jc w:val="left"/>
        <w:rPr>
          <w:b/>
          <w:bCs/>
        </w:rPr>
      </w:pPr>
    </w:p>
    <w:p w:rsidR="008E0608" w:rsidRDefault="008E0608" w:rsidP="0052615E">
      <w:pPr>
        <w:pStyle w:val="GvdeMetniGirintisi"/>
        <w:spacing w:line="240" w:lineRule="auto"/>
        <w:jc w:val="left"/>
        <w:rPr>
          <w:b/>
          <w:bCs/>
        </w:rPr>
      </w:pPr>
    </w:p>
    <w:p w:rsidR="0044255F" w:rsidRPr="00BF1263" w:rsidRDefault="0044255F" w:rsidP="0052615E">
      <w:pPr>
        <w:pStyle w:val="GvdeMetniGirintisi"/>
        <w:spacing w:line="240" w:lineRule="auto"/>
        <w:ind w:firstLine="0"/>
        <w:jc w:val="left"/>
        <w:rPr>
          <w:bCs/>
          <w:sz w:val="20"/>
          <w:szCs w:val="20"/>
        </w:rPr>
      </w:pPr>
      <w:bookmarkStart w:id="43" w:name="OLE_LINK25"/>
      <w:bookmarkStart w:id="44" w:name="OLE_LINK26"/>
      <w:bookmarkStart w:id="45" w:name="OLE_LINK38"/>
      <w:r w:rsidRPr="004331CC">
        <w:rPr>
          <w:b/>
          <w:bCs/>
          <w:sz w:val="20"/>
          <w:szCs w:val="20"/>
        </w:rPr>
        <w:t>Kaynak:</w:t>
      </w:r>
      <w:r w:rsidR="00BF1263" w:rsidRPr="00BF1263">
        <w:rPr>
          <w:b/>
          <w:bCs/>
          <w:sz w:val="20"/>
          <w:szCs w:val="20"/>
        </w:rPr>
        <w:t xml:space="preserve"> </w:t>
      </w:r>
      <w:bookmarkStart w:id="46" w:name="OLE_LINK61"/>
      <w:bookmarkStart w:id="47" w:name="OLE_LINK62"/>
      <w:r w:rsidR="00A338D4" w:rsidRPr="00A338D4">
        <w:rPr>
          <w:bCs/>
          <w:sz w:val="20"/>
          <w:szCs w:val="20"/>
        </w:rPr>
        <w:fldChar w:fldCharType="begin"/>
      </w:r>
      <w:r w:rsidR="00A338D4" w:rsidRPr="00A338D4">
        <w:rPr>
          <w:bCs/>
          <w:sz w:val="20"/>
          <w:szCs w:val="20"/>
        </w:rPr>
        <w:instrText xml:space="preserve"> HYPERLINK "http://www.esrl.noaa.gov" </w:instrText>
      </w:r>
      <w:r w:rsidR="00A338D4" w:rsidRPr="00A338D4">
        <w:rPr>
          <w:bCs/>
          <w:sz w:val="20"/>
          <w:szCs w:val="20"/>
        </w:rPr>
        <w:fldChar w:fldCharType="separate"/>
      </w:r>
      <w:r w:rsidR="00A338D4" w:rsidRPr="00A338D4">
        <w:rPr>
          <w:rStyle w:val="Kpr"/>
          <w:bCs/>
          <w:color w:val="auto"/>
          <w:sz w:val="20"/>
          <w:szCs w:val="20"/>
          <w:u w:val="none"/>
        </w:rPr>
        <w:t>http://www.esrl.noaa.gov</w:t>
      </w:r>
      <w:bookmarkEnd w:id="46"/>
      <w:bookmarkEnd w:id="47"/>
      <w:r w:rsidR="00A338D4" w:rsidRPr="00A338D4">
        <w:rPr>
          <w:bCs/>
          <w:sz w:val="20"/>
          <w:szCs w:val="20"/>
        </w:rPr>
        <w:fldChar w:fldCharType="end"/>
      </w:r>
      <w:r w:rsidR="00A338D4">
        <w:rPr>
          <w:bCs/>
          <w:sz w:val="20"/>
          <w:szCs w:val="20"/>
        </w:rPr>
        <w:t xml:space="preserve"> (1)</w:t>
      </w:r>
    </w:p>
    <w:bookmarkEnd w:id="43"/>
    <w:bookmarkEnd w:id="44"/>
    <w:bookmarkEnd w:id="45"/>
    <w:p w:rsidR="0044255F" w:rsidRDefault="0044255F" w:rsidP="00147375">
      <w:pPr>
        <w:pStyle w:val="GvdeMetniGirintisi"/>
        <w:spacing w:before="240" w:after="240"/>
        <w:ind w:firstLine="708"/>
      </w:pPr>
      <w:r>
        <w:t xml:space="preserve">Küresel ısınma </w:t>
      </w:r>
      <w:r w:rsidR="00C56289">
        <w:t>nedeniyle</w:t>
      </w:r>
      <w:r>
        <w:t xml:space="preserve"> Gröland’ın buzullarının erimesi</w:t>
      </w:r>
      <w:r w:rsidR="00C57D93">
        <w:t>,</w:t>
      </w:r>
      <w:r>
        <w:t xml:space="preserve"> Kuzey Atla</w:t>
      </w:r>
      <w:r w:rsidR="00C56289">
        <w:t>ntik O</w:t>
      </w:r>
      <w:r w:rsidR="00C57D93">
        <w:t>kyanusu</w:t>
      </w:r>
      <w:r w:rsidR="00C56289">
        <w:t>’</w:t>
      </w:r>
      <w:r w:rsidR="00C57D93">
        <w:t>na tatlı suların bo</w:t>
      </w:r>
      <w:r>
        <w:t>şalmasına</w:t>
      </w:r>
      <w:r w:rsidR="00C62A83">
        <w:t xml:space="preserve"> neden ola</w:t>
      </w:r>
      <w:r w:rsidR="00C56289">
        <w:t>bilecek</w:t>
      </w:r>
      <w:r>
        <w:t xml:space="preserve">, bu da </w:t>
      </w:r>
      <w:bookmarkStart w:id="48" w:name="OLE_LINK36"/>
      <w:bookmarkStart w:id="49" w:name="OLE_LINK37"/>
      <w:r>
        <w:t>termohalin</w:t>
      </w:r>
      <w:r>
        <w:rPr>
          <w:rStyle w:val="DipnotBavurusu"/>
        </w:rPr>
        <w:footnoteReference w:id="3"/>
      </w:r>
      <w:r>
        <w:t xml:space="preserve"> </w:t>
      </w:r>
      <w:bookmarkEnd w:id="48"/>
      <w:bookmarkEnd w:id="49"/>
      <w:r w:rsidR="00C62A83">
        <w:t>etkile</w:t>
      </w:r>
      <w:r w:rsidR="00C56289">
        <w:t>yebilecektir</w:t>
      </w:r>
      <w:r>
        <w:t>. Etkilenen akım Amazon’un üzerin</w:t>
      </w:r>
      <w:r w:rsidR="009B4CCB">
        <w:t>d</w:t>
      </w:r>
      <w:r>
        <w:t>eki</w:t>
      </w:r>
      <w:r w:rsidR="00C57D93">
        <w:t xml:space="preserve"> hava akımını yeniden düzenler</w:t>
      </w:r>
      <w:r>
        <w:t>. Amazon’daki kuraklık ve ağaç kaybı 20</w:t>
      </w:r>
      <w:r w:rsidR="00C57D93">
        <w:t>.</w:t>
      </w:r>
      <w:r>
        <w:t xml:space="preserve"> yüzyılda kullanılan fosil yakıtlardan kaynaklanan </w:t>
      </w:r>
      <w:r w:rsidR="003463A8">
        <w:t>sera gazı emisyonların</w:t>
      </w:r>
      <w:r>
        <w:t>dan daha fazla etkili olabilir. Bu ani boşalma Grönland buzlarından arta kalan buzulları eritecektir. O zaman da Golfstrim duracak ve Avrupa ciddi biçimde soğuyacaktır</w:t>
      </w:r>
      <w:r w:rsidR="00253186">
        <w:t xml:space="preserve"> </w:t>
      </w:r>
      <w:r>
        <w:t>(Madra, 2007:</w:t>
      </w:r>
      <w:r w:rsidR="00253186">
        <w:t xml:space="preserve"> </w:t>
      </w:r>
      <w:r>
        <w:t xml:space="preserve">273).  </w:t>
      </w:r>
    </w:p>
    <w:p w:rsidR="00C62A83" w:rsidRDefault="001A2445" w:rsidP="0052615E">
      <w:pPr>
        <w:spacing w:before="240" w:after="240" w:line="360" w:lineRule="auto"/>
        <w:ind w:firstLine="709"/>
        <w:jc w:val="both"/>
      </w:pPr>
      <w:r>
        <w:t>Güneşten gelen ışınımının yaklaşık % 31’i yüzeyden, atmosferdeki aerosollerden ve bulut tepelerinden yansıyarak uzaya geri d</w:t>
      </w:r>
      <w:r w:rsidR="00CA1975">
        <w:t>öner</w:t>
      </w:r>
      <w:r w:rsidR="00BF1BA6">
        <w:t xml:space="preserve"> (Şekil </w:t>
      </w:r>
      <w:proofErr w:type="gramStart"/>
      <w:r w:rsidR="00BF1BA6">
        <w:t>1.4</w:t>
      </w:r>
      <w:proofErr w:type="gramEnd"/>
      <w:r w:rsidR="00BF1BA6">
        <w:t>)</w:t>
      </w:r>
      <w:r w:rsidR="00CA1975">
        <w:t xml:space="preserve">. Güneş enerjisinin </w:t>
      </w:r>
      <w:r w:rsidR="00FF1863">
        <w:t>y</w:t>
      </w:r>
      <w:r w:rsidR="00CA1975">
        <w:t xml:space="preserve">erküre ile </w:t>
      </w:r>
      <w:r>
        <w:t>atmosfer sisteminde tutulan % 69’luk bölüm, iklim sistemini oluşturan ana bileşenlerce (atmosfer, hidrosfer, litosfer ve biyosfer) kullanıldıktan sonra uzun dalgalı yer ışınımı olarak atmosfere geri verilir. Giden kızıl ötesi ışınımın önemli bir bölümü sera gazlarınca ve bulutlarca emilir ve atmosfere geri salınır. “Atmosferdeki gazların gelen Güneş ışınımına karşı geçirgen, buna karşılık geri salınan uzun dalgalı yer ışınımına karşı çok daha az geçirgen olması nedeniyle, Yerküre’nin beklenenden daha fazla ısınmasını sağlayan ve ısı dengesini düzenleyen doğal süreç” doğal sera etkisi</w:t>
      </w:r>
      <w:r>
        <w:rPr>
          <w:rStyle w:val="DipnotBavurusu"/>
        </w:rPr>
        <w:footnoteReference w:id="4"/>
      </w:r>
      <w:r>
        <w:t xml:space="preserve"> </w:t>
      </w:r>
      <w:r>
        <w:lastRenderedPageBreak/>
        <w:t>olarak adlandırılır. Yeryüzü, sera etkisi sayesinde</w:t>
      </w:r>
      <w:r w:rsidR="00BD4D9E">
        <w:t xml:space="preserve"> (Şekil </w:t>
      </w:r>
      <w:proofErr w:type="gramStart"/>
      <w:r w:rsidR="00BD4D9E">
        <w:t>1.4</w:t>
      </w:r>
      <w:proofErr w:type="gramEnd"/>
      <w:r w:rsidR="00BD4D9E">
        <w:t>)</w:t>
      </w:r>
      <w:r>
        <w:t>, bu sürecin bulunmadığı ortam koşullarına göre yaklaşık 33 °C daha sıcaktır.</w:t>
      </w:r>
      <w:r w:rsidR="00C62A83">
        <w:t xml:space="preserve"> </w:t>
      </w:r>
      <w:r w:rsidR="00C62A83" w:rsidRPr="009111B9">
        <w:t>(DPT, 2000</w:t>
      </w:r>
      <w:r w:rsidR="00C62A83">
        <w:t xml:space="preserve">:  </w:t>
      </w:r>
      <w:r w:rsidR="00C62A83" w:rsidRPr="009111B9">
        <w:t>3).</w:t>
      </w:r>
      <w:r w:rsidR="00C62A83">
        <w:t xml:space="preserve"> </w:t>
      </w:r>
      <w:r w:rsidR="0011040D">
        <w:t>Diğer bir tanımla</w:t>
      </w:r>
      <w:r w:rsidR="00C62A83">
        <w:t xml:space="preserve"> sera etkisi; dünya yüzeyinin güneş ve atmosferden almış olduğu enerji nedeniyle atmosferin olmayacağı durumdan daha sıcak olmasıdır (Kadıoğlu, 2007:  64). </w:t>
      </w:r>
    </w:p>
    <w:p w:rsidR="00731E85" w:rsidRDefault="00731E85" w:rsidP="00645120">
      <w:pPr>
        <w:pStyle w:val="stil1"/>
      </w:pPr>
      <w:bookmarkStart w:id="50" w:name="_Toc382298143"/>
      <w:r>
        <w:t xml:space="preserve">Şekil </w:t>
      </w:r>
      <w:proofErr w:type="gramStart"/>
      <w:r>
        <w:t>1.4</w:t>
      </w:r>
      <w:proofErr w:type="gramEnd"/>
      <w:r>
        <w:t>: Sera Etkisi</w:t>
      </w:r>
      <w:bookmarkEnd w:id="50"/>
    </w:p>
    <w:p w:rsidR="00731E85" w:rsidRDefault="00731E85" w:rsidP="0052615E">
      <w:pPr>
        <w:ind w:firstLine="709"/>
      </w:pPr>
      <w:r>
        <w:rPr>
          <w:noProof/>
          <w:lang w:eastAsia="tr-TR"/>
        </w:rPr>
        <w:drawing>
          <wp:anchor distT="0" distB="0" distL="114300" distR="114300" simplePos="0" relativeHeight="251661824" behindDoc="0" locked="0" layoutInCell="1" allowOverlap="1" wp14:anchorId="6FF564D4" wp14:editId="342A08F6">
            <wp:simplePos x="0" y="0"/>
            <wp:positionH relativeFrom="column">
              <wp:posOffset>4445</wp:posOffset>
            </wp:positionH>
            <wp:positionV relativeFrom="paragraph">
              <wp:posOffset>109220</wp:posOffset>
            </wp:positionV>
            <wp:extent cx="4501515" cy="2790825"/>
            <wp:effectExtent l="19050" t="19050" r="13335" b="28575"/>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jpg"/>
                    <pic:cNvPicPr/>
                  </pic:nvPicPr>
                  <pic:blipFill>
                    <a:blip r:embed="rId17">
                      <a:extLst>
                        <a:ext uri="{28A0092B-C50C-407E-A947-70E740481C1C}">
                          <a14:useLocalDpi xmlns:a14="http://schemas.microsoft.com/office/drawing/2010/main" val="0"/>
                        </a:ext>
                      </a:extLst>
                    </a:blip>
                    <a:stretch>
                      <a:fillRect/>
                    </a:stretch>
                  </pic:blipFill>
                  <pic:spPr>
                    <a:xfrm>
                      <a:off x="0" y="0"/>
                      <a:ext cx="4501515" cy="2790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31E85" w:rsidRDefault="00731E85" w:rsidP="0052615E">
      <w:pPr>
        <w:ind w:firstLine="709"/>
      </w:pPr>
    </w:p>
    <w:p w:rsidR="00731E85" w:rsidRDefault="00731E85" w:rsidP="0052615E">
      <w:pPr>
        <w:ind w:firstLine="709"/>
      </w:pPr>
    </w:p>
    <w:p w:rsidR="00731E85" w:rsidRDefault="00731E85" w:rsidP="0052615E">
      <w:pPr>
        <w:ind w:firstLine="709"/>
      </w:pPr>
    </w:p>
    <w:p w:rsidR="00731E85" w:rsidRDefault="00731E85" w:rsidP="0052615E">
      <w:pPr>
        <w:ind w:firstLine="709"/>
      </w:pPr>
    </w:p>
    <w:p w:rsidR="00731E85" w:rsidRDefault="00731E85" w:rsidP="0052615E">
      <w:pPr>
        <w:ind w:firstLine="709"/>
      </w:pPr>
    </w:p>
    <w:p w:rsidR="005B7834" w:rsidRDefault="005B7834" w:rsidP="0052615E">
      <w:pPr>
        <w:rPr>
          <w:b/>
          <w:sz w:val="20"/>
          <w:szCs w:val="20"/>
        </w:rPr>
      </w:pPr>
    </w:p>
    <w:p w:rsidR="005B7834" w:rsidRDefault="005B7834" w:rsidP="0052615E">
      <w:pPr>
        <w:rPr>
          <w:b/>
          <w:sz w:val="20"/>
          <w:szCs w:val="20"/>
        </w:rPr>
      </w:pPr>
    </w:p>
    <w:p w:rsidR="005B7834" w:rsidRDefault="005B7834" w:rsidP="0052615E">
      <w:pPr>
        <w:rPr>
          <w:b/>
          <w:sz w:val="20"/>
          <w:szCs w:val="20"/>
        </w:rPr>
      </w:pPr>
    </w:p>
    <w:p w:rsidR="005B7834" w:rsidRDefault="005B7834" w:rsidP="0052615E">
      <w:pPr>
        <w:rPr>
          <w:b/>
          <w:sz w:val="20"/>
          <w:szCs w:val="20"/>
        </w:rPr>
      </w:pPr>
    </w:p>
    <w:p w:rsidR="005B7834" w:rsidRDefault="005B7834" w:rsidP="0052615E">
      <w:pPr>
        <w:rPr>
          <w:b/>
          <w:sz w:val="20"/>
          <w:szCs w:val="20"/>
        </w:rPr>
      </w:pPr>
    </w:p>
    <w:p w:rsidR="005B7834" w:rsidRDefault="005B7834" w:rsidP="0052615E">
      <w:pPr>
        <w:rPr>
          <w:b/>
          <w:sz w:val="20"/>
          <w:szCs w:val="20"/>
        </w:rPr>
      </w:pPr>
    </w:p>
    <w:p w:rsidR="005B7834" w:rsidRDefault="005B7834" w:rsidP="0052615E">
      <w:pPr>
        <w:rPr>
          <w:b/>
          <w:sz w:val="20"/>
          <w:szCs w:val="20"/>
        </w:rPr>
      </w:pPr>
    </w:p>
    <w:p w:rsidR="005B7834" w:rsidRDefault="005B7834" w:rsidP="0052615E">
      <w:pPr>
        <w:rPr>
          <w:b/>
          <w:sz w:val="20"/>
          <w:szCs w:val="20"/>
        </w:rPr>
      </w:pPr>
    </w:p>
    <w:p w:rsidR="005B7834" w:rsidRDefault="005B7834" w:rsidP="0052615E">
      <w:pPr>
        <w:rPr>
          <w:b/>
          <w:sz w:val="20"/>
          <w:szCs w:val="20"/>
        </w:rPr>
      </w:pPr>
    </w:p>
    <w:p w:rsidR="005B7834" w:rsidRDefault="005B7834" w:rsidP="0052615E">
      <w:pPr>
        <w:rPr>
          <w:b/>
          <w:sz w:val="20"/>
          <w:szCs w:val="20"/>
        </w:rPr>
      </w:pPr>
    </w:p>
    <w:p w:rsidR="005B7834" w:rsidRDefault="005B7834" w:rsidP="0052615E">
      <w:pPr>
        <w:rPr>
          <w:b/>
          <w:sz w:val="20"/>
          <w:szCs w:val="20"/>
        </w:rPr>
      </w:pPr>
    </w:p>
    <w:p w:rsidR="005B7834" w:rsidRDefault="005B7834" w:rsidP="0052615E">
      <w:pPr>
        <w:rPr>
          <w:b/>
          <w:sz w:val="20"/>
          <w:szCs w:val="20"/>
        </w:rPr>
      </w:pPr>
    </w:p>
    <w:p w:rsidR="005B7834" w:rsidRDefault="005B7834" w:rsidP="0052615E">
      <w:pPr>
        <w:rPr>
          <w:b/>
          <w:sz w:val="20"/>
          <w:szCs w:val="20"/>
        </w:rPr>
      </w:pPr>
    </w:p>
    <w:p w:rsidR="000C0F6D" w:rsidRPr="00731E85" w:rsidRDefault="00731E85" w:rsidP="0052615E">
      <w:pPr>
        <w:rPr>
          <w:sz w:val="20"/>
          <w:szCs w:val="20"/>
        </w:rPr>
      </w:pPr>
      <w:r w:rsidRPr="00731E85">
        <w:rPr>
          <w:b/>
          <w:sz w:val="20"/>
          <w:szCs w:val="20"/>
        </w:rPr>
        <w:t>Kaynak:</w:t>
      </w:r>
      <w:r w:rsidR="00253186">
        <w:rPr>
          <w:sz w:val="20"/>
          <w:szCs w:val="20"/>
        </w:rPr>
        <w:t xml:space="preserve"> http://climate.nasa.gov</w:t>
      </w:r>
    </w:p>
    <w:p w:rsidR="00E62720" w:rsidRDefault="00E62720" w:rsidP="0052615E">
      <w:pPr>
        <w:pStyle w:val="GvdeMetniGirintisi"/>
        <w:spacing w:before="240" w:after="240"/>
      </w:pPr>
      <w:r>
        <w:t xml:space="preserve">IPCC’nin raporlarına göre </w:t>
      </w:r>
      <w:r w:rsidR="003463A8">
        <w:t>sera gazı</w:t>
      </w:r>
      <w:r w:rsidR="002D1A57">
        <w:t>; atmosferin içerisinde doğal olarak belirli miktarlarda bulunan su buharı, Karbondioksit (CO</w:t>
      </w:r>
      <w:r w:rsidR="002D1A57">
        <w:rPr>
          <w:vertAlign w:val="subscript"/>
        </w:rPr>
        <w:t>2</w:t>
      </w:r>
      <w:r w:rsidR="002D1A57">
        <w:t>), Metan (CH</w:t>
      </w:r>
      <w:r w:rsidR="002D1A57">
        <w:rPr>
          <w:vertAlign w:val="subscript"/>
        </w:rPr>
        <w:t>4</w:t>
      </w:r>
      <w:r w:rsidR="002D1A57">
        <w:t>), Azotoksit (</w:t>
      </w:r>
      <w:r w:rsidR="002D1A57" w:rsidRPr="00CE5199">
        <w:t>N</w:t>
      </w:r>
      <w:r w:rsidR="002D1A57">
        <w:rPr>
          <w:vertAlign w:val="subscript"/>
        </w:rPr>
        <w:t>2</w:t>
      </w:r>
      <w:r w:rsidR="002D1A57" w:rsidRPr="00CE5199">
        <w:t>O</w:t>
      </w:r>
      <w:r w:rsidR="002D1A57">
        <w:t>) ve Ozon (O</w:t>
      </w:r>
      <w:r w:rsidR="002D1A57">
        <w:rPr>
          <w:vertAlign w:val="subscript"/>
        </w:rPr>
        <w:t>3</w:t>
      </w:r>
      <w:r w:rsidR="002D1A57">
        <w:t>) gazları ile endüstriyel üretim sonucunda açığa çıkan Hidroflorokarbon (HFC), Perflorokarbon (PFC), Sülfürhekzaflorid (SF</w:t>
      </w:r>
      <w:r w:rsidR="002D1A57">
        <w:rPr>
          <w:vertAlign w:val="subscript"/>
        </w:rPr>
        <w:t>6</w:t>
      </w:r>
      <w:r w:rsidR="002D1A57">
        <w:t>) gibi florlu bileşiklerin tümüne verilen ortak isimdir.</w:t>
      </w:r>
      <w:r>
        <w:t xml:space="preserve"> Bu gazların</w:t>
      </w:r>
      <w:r w:rsidRPr="00E62720">
        <w:t xml:space="preserve"> yapısındaki değişme sera gazlarını doğrudan etkilemektedir. Karbonmonoksit (CO) ve nitrik oksit (NO) sera gazlarını dolaylı, ozon ve metan hem doğrudan hem de dolaylı olarak etkilemektedir. </w:t>
      </w:r>
      <w:r>
        <w:t>Sera gazlarının konsantrasyonu</w:t>
      </w:r>
      <w:r w:rsidRPr="00E62720">
        <w:t xml:space="preserve">, uzun dalga boylu radyasyonun emilimi ve atmosferdeki yarılanma ömürleri etkili olmaktadır. </w:t>
      </w:r>
      <w:r w:rsidR="00C2774A">
        <w:t>K</w:t>
      </w:r>
      <w:r w:rsidRPr="00E62720">
        <w:t>arbondioksit</w:t>
      </w:r>
      <w:r>
        <w:t xml:space="preserve"> (CO</w:t>
      </w:r>
      <w:r w:rsidRPr="00C2774A">
        <w:rPr>
          <w:vertAlign w:val="subscript"/>
        </w:rPr>
        <w:t>2</w:t>
      </w:r>
      <w:r>
        <w:t>)</w:t>
      </w:r>
      <w:r w:rsidR="000E4A41">
        <w:t xml:space="preserve"> üretimi</w:t>
      </w:r>
      <w:r w:rsidRPr="00E62720">
        <w:t xml:space="preserve">, sera etkisinde </w:t>
      </w:r>
      <w:r w:rsidR="00C2774A">
        <w:t xml:space="preserve">önemli bir etkisye sahiptir. Ayrıca </w:t>
      </w:r>
      <w:r w:rsidRPr="00E62720">
        <w:t>CO</w:t>
      </w:r>
      <w:r w:rsidRPr="00C2774A">
        <w:rPr>
          <w:vertAlign w:val="subscript"/>
        </w:rPr>
        <w:t>2</w:t>
      </w:r>
      <w:r w:rsidR="00C2774A">
        <w:t xml:space="preserve"> ve </w:t>
      </w:r>
      <w:r w:rsidR="000E4A41">
        <w:t xml:space="preserve">diğer gazların </w:t>
      </w:r>
      <w:r w:rsidRPr="00E62720">
        <w:t>atmosferde uzun bir yaşam ömrü vardır.</w:t>
      </w:r>
      <w:r>
        <w:t xml:space="preserve"> </w:t>
      </w:r>
    </w:p>
    <w:p w:rsidR="0044255F" w:rsidRPr="00267EDC" w:rsidRDefault="0044255F" w:rsidP="0052615E">
      <w:pPr>
        <w:pStyle w:val="GvdeMetniGirintisi"/>
        <w:spacing w:before="240" w:after="240"/>
        <w:ind w:firstLine="0"/>
        <w:rPr>
          <w:bCs/>
        </w:rPr>
      </w:pPr>
      <w:r w:rsidRPr="00077BFC">
        <w:rPr>
          <w:b/>
          <w:bCs/>
        </w:rPr>
        <w:t>Karbondioksit (CO</w:t>
      </w:r>
      <w:r w:rsidRPr="00077BFC">
        <w:rPr>
          <w:b/>
          <w:bCs/>
          <w:vertAlign w:val="subscript"/>
        </w:rPr>
        <w:t>2</w:t>
      </w:r>
      <w:r w:rsidRPr="00077BFC">
        <w:rPr>
          <w:b/>
          <w:bCs/>
        </w:rPr>
        <w:t>)</w:t>
      </w:r>
      <w:r>
        <w:rPr>
          <w:b/>
          <w:bCs/>
        </w:rPr>
        <w:t>;</w:t>
      </w:r>
      <w:r w:rsidR="00E058D8">
        <w:rPr>
          <w:b/>
          <w:bCs/>
        </w:rPr>
        <w:t xml:space="preserve"> </w:t>
      </w:r>
      <w:r w:rsidR="00267EDC">
        <w:rPr>
          <w:bCs/>
        </w:rPr>
        <w:t xml:space="preserve">Sera gazları arasında iklim değişikliğinin başlıca sorumlusu olan gaz karbondioksit gazıdır. Doğal olarak atmosferde, okyanuslarda ve karasal yutak yutaklarda bulunduğu gibi fosil yakıtların kullanılması sonucu da oluşur. </w:t>
      </w:r>
    </w:p>
    <w:p w:rsidR="00133E97" w:rsidRDefault="00133E97" w:rsidP="0052615E">
      <w:pPr>
        <w:pStyle w:val="GvdeMetniGirintisi"/>
        <w:spacing w:before="240" w:after="240"/>
        <w:ind w:firstLine="708"/>
      </w:pPr>
      <w:r w:rsidRPr="00133E97">
        <w:t xml:space="preserve">IPCC Üçüncü Değerlendirme Raporu’nda </w:t>
      </w:r>
      <w:r>
        <w:t>sanayi devrimi</w:t>
      </w:r>
      <w:r w:rsidRPr="00133E97">
        <w:t xml:space="preserve"> boyunca gözlenen ısınmanın büyük oranda insan aktivitelerinden kaynaklandığı</w:t>
      </w:r>
      <w:r>
        <w:t xml:space="preserve"> ifade edilmektedir. </w:t>
      </w:r>
      <w:r w:rsidRPr="00133E97">
        <w:t>CO</w:t>
      </w:r>
      <w:r w:rsidRPr="00580F24">
        <w:rPr>
          <w:vertAlign w:val="subscript"/>
        </w:rPr>
        <w:t>2</w:t>
      </w:r>
      <w:r w:rsidRPr="00133E97">
        <w:t xml:space="preserve">, </w:t>
      </w:r>
      <w:r w:rsidRPr="00133E97">
        <w:lastRenderedPageBreak/>
        <w:t xml:space="preserve">insan aktivitelerinden kaynaklanan en geniş ölçekteki </w:t>
      </w:r>
      <w:r w:rsidR="003463A8">
        <w:t>sera gazı</w:t>
      </w:r>
      <w:r w:rsidRPr="00133E97">
        <w:t>dır. Fosil yakıtlarının yakılması ya da biokütlenin yakıt olarak kullanılması</w:t>
      </w:r>
      <w:r w:rsidR="00931411">
        <w:t>nd</w:t>
      </w:r>
      <w:r w:rsidR="00055AD9">
        <w:t>a karbondioksit salınır. Örnek olarak arazi genişletme sırasında ormanların yakılması veya bazı end</w:t>
      </w:r>
      <w:r w:rsidR="00931411">
        <w:t>üstri faaliyetleri sonucu atmosf</w:t>
      </w:r>
      <w:r w:rsidR="00055AD9">
        <w:t>ere CO</w:t>
      </w:r>
      <w:r w:rsidR="00055AD9" w:rsidRPr="00580F24">
        <w:rPr>
          <w:vertAlign w:val="subscript"/>
        </w:rPr>
        <w:t>2</w:t>
      </w:r>
      <w:r w:rsidR="00055AD9">
        <w:t xml:space="preserve"> salınması</w:t>
      </w:r>
      <w:r w:rsidRPr="00133E97">
        <w:t xml:space="preserve"> </w:t>
      </w:r>
      <w:r w:rsidR="00197A30">
        <w:t xml:space="preserve">verilebilir </w:t>
      </w:r>
      <w:r>
        <w:t xml:space="preserve">(IPCC </w:t>
      </w:r>
      <w:r w:rsidRPr="00133E97">
        <w:t>2001)</w:t>
      </w:r>
      <w:r>
        <w:t>.</w:t>
      </w:r>
    </w:p>
    <w:p w:rsidR="00A43DBA" w:rsidRDefault="00FE70E5" w:rsidP="0052615E">
      <w:pPr>
        <w:pStyle w:val="GvdeMetniGirintisi"/>
        <w:spacing w:before="240" w:after="240"/>
        <w:ind w:firstLine="708"/>
      </w:pPr>
      <w:r>
        <w:t>1959 yılında atmosferdeki karbondioksit seviyesi ölçülmeye başladığından beri, her yıl giderek artmaktadır. Atmosferdeki karbondioksit düzeyi yükseldikçe, dünyadaki sıcaklıklar artmıştır. Hükümetlerarası İklim Değişikliği Paneli (IPCC)’nin 2007 yılında yayınladığı</w:t>
      </w:r>
      <w:r w:rsidR="004D495E">
        <w:t xml:space="preserve"> Dördüncü Değerlendirme Raporu’na </w:t>
      </w:r>
      <w:r w:rsidR="00931411">
        <w:t>(AR4) göre; sıcaklık artışları Kuzey Amerika’dan Ortadoğu’ya, Avustralya’dan Avrupa’ya dünyanın her yerinde gözlenebilen ve etkileri hissedilen bir gerçektir. Ayrıca raporda küresel ısınmaya bağlı olarak kuzey yarımküredeki buzulların eridiği ve deniz suyu sıcaklıklarının arttığı gözlenmiştir.</w:t>
      </w:r>
    </w:p>
    <w:p w:rsidR="006838FC" w:rsidRDefault="00936118" w:rsidP="0052615E">
      <w:pPr>
        <w:pStyle w:val="GvdeMetniGirintisi"/>
        <w:spacing w:before="240" w:after="240"/>
      </w:pPr>
      <w:r>
        <w:t>Yine AR4’e göre;</w:t>
      </w:r>
      <w:r w:rsidR="009A2745">
        <w:t xml:space="preserve"> k</w:t>
      </w:r>
      <w:r w:rsidR="00DC3688">
        <w:t xml:space="preserve">arbondioksit emisyonlarında </w:t>
      </w:r>
      <w:r>
        <w:t>meydana gelen</w:t>
      </w:r>
      <w:r w:rsidR="00DC3688">
        <w:t xml:space="preserve"> önemli artışlara bağlı olarak, 2100 yılına kadar ortalama yüzey sıcaklıklarında yaşanacak artışın yaklaşık olarak 3 C</w:t>
      </w:r>
      <w:r w:rsidR="00DC3688">
        <w:rPr>
          <w:vertAlign w:val="superscript"/>
        </w:rPr>
        <w:t>o</w:t>
      </w:r>
      <w:r w:rsidR="00DC3688">
        <w:t xml:space="preserve"> olması, en iyi kestirme değeriyle 2 C</w:t>
      </w:r>
      <w:r w:rsidR="00DC3688">
        <w:rPr>
          <w:vertAlign w:val="superscript"/>
        </w:rPr>
        <w:t>o</w:t>
      </w:r>
      <w:r w:rsidR="009A2745">
        <w:rPr>
          <w:vertAlign w:val="superscript"/>
        </w:rPr>
        <w:t xml:space="preserve"> </w:t>
      </w:r>
      <w:r w:rsidR="00DC3688">
        <w:t xml:space="preserve">ile </w:t>
      </w:r>
      <w:proofErr w:type="gramStart"/>
      <w:r w:rsidR="00DC3688">
        <w:t>4.5</w:t>
      </w:r>
      <w:proofErr w:type="gramEnd"/>
      <w:r w:rsidR="00DC3688">
        <w:t xml:space="preserve"> C</w:t>
      </w:r>
      <w:r w:rsidR="00DC3688">
        <w:rPr>
          <w:vertAlign w:val="superscript"/>
        </w:rPr>
        <w:t>o</w:t>
      </w:r>
      <w:r w:rsidR="00DC3688">
        <w:t xml:space="preserve"> aralığında olması beklenmektedir. Ayrıca birçok senaryo, gelecek 20 yıl için </w:t>
      </w:r>
      <w:proofErr w:type="gramStart"/>
      <w:r w:rsidR="00DC3688">
        <w:t>0.2</w:t>
      </w:r>
      <w:proofErr w:type="gramEnd"/>
      <w:r w:rsidR="00DC3688">
        <w:t xml:space="preserve"> C</w:t>
      </w:r>
      <w:r w:rsidR="00DC3688">
        <w:rPr>
          <w:vertAlign w:val="superscript"/>
        </w:rPr>
        <w:t>o</w:t>
      </w:r>
      <w:r w:rsidR="00DC3688">
        <w:t>/10 yıl oranında bir ısınma</w:t>
      </w:r>
      <w:r w:rsidR="009A2745">
        <w:t xml:space="preserve">nın yaşanacağını öngörmektedir </w:t>
      </w:r>
      <w:r w:rsidR="00DC3688">
        <w:t xml:space="preserve">(Türkeş, 2007:  50). </w:t>
      </w:r>
    </w:p>
    <w:p w:rsidR="003F64F1" w:rsidRDefault="005835FF" w:rsidP="0052615E">
      <w:pPr>
        <w:pStyle w:val="GvdeMetniGirintisi"/>
        <w:spacing w:before="240" w:after="240"/>
        <w:ind w:firstLine="0"/>
      </w:pPr>
      <w:bookmarkStart w:id="51" w:name="OLE_LINK29"/>
      <w:bookmarkStart w:id="52" w:name="OLE_LINK30"/>
      <w:r>
        <w:tab/>
        <w:t xml:space="preserve">Şekil </w:t>
      </w:r>
      <w:proofErr w:type="gramStart"/>
      <w:r>
        <w:t>1.5’te</w:t>
      </w:r>
      <w:proofErr w:type="gramEnd"/>
      <w:r w:rsidR="002702F3" w:rsidRPr="002702F3">
        <w:t xml:space="preserve"> Mauna Loa gözlemevinde </w:t>
      </w:r>
      <w:r w:rsidR="00184B67">
        <w:t xml:space="preserve">çekilen karbondioksit yoğunluğunun artış trendi yer almaktadır. </w:t>
      </w:r>
      <w:r w:rsidR="004E3566">
        <w:t>1750 yılında 280 ppm olan karbondioksit yoğunluğu 2013 yılında 395 ppm’ye yükselerek yaklaşık %40 oranında artmıştır.</w:t>
      </w:r>
      <w:r w:rsidR="00F37C7A">
        <w:t xml:space="preserve"> </w:t>
      </w:r>
      <w:bookmarkEnd w:id="51"/>
      <w:bookmarkEnd w:id="52"/>
    </w:p>
    <w:p w:rsidR="007A77D5" w:rsidRDefault="007A77D5" w:rsidP="0052615E">
      <w:pPr>
        <w:pStyle w:val="GvdeMetniGirintisi"/>
        <w:spacing w:before="240" w:after="240"/>
        <w:ind w:firstLine="0"/>
      </w:pPr>
    </w:p>
    <w:p w:rsidR="007A77D5" w:rsidRDefault="007A77D5" w:rsidP="0052615E">
      <w:pPr>
        <w:pStyle w:val="GvdeMetniGirintisi"/>
        <w:spacing w:before="240" w:after="240"/>
        <w:ind w:firstLine="0"/>
      </w:pPr>
    </w:p>
    <w:p w:rsidR="007A77D5" w:rsidRDefault="007A77D5" w:rsidP="0052615E">
      <w:pPr>
        <w:pStyle w:val="GvdeMetniGirintisi"/>
        <w:spacing w:before="240" w:after="240"/>
        <w:ind w:firstLine="0"/>
      </w:pPr>
    </w:p>
    <w:p w:rsidR="007A77D5" w:rsidRDefault="007A77D5" w:rsidP="0052615E">
      <w:pPr>
        <w:pStyle w:val="GvdeMetniGirintisi"/>
        <w:spacing w:before="240" w:after="240"/>
        <w:ind w:firstLine="0"/>
      </w:pPr>
    </w:p>
    <w:p w:rsidR="007A77D5" w:rsidRDefault="007A77D5" w:rsidP="0052615E">
      <w:pPr>
        <w:pStyle w:val="GvdeMetniGirintisi"/>
        <w:spacing w:before="240" w:after="240"/>
        <w:ind w:firstLine="0"/>
      </w:pPr>
    </w:p>
    <w:p w:rsidR="007A77D5" w:rsidRDefault="007A77D5" w:rsidP="0052615E">
      <w:pPr>
        <w:pStyle w:val="GvdeMetniGirintisi"/>
        <w:spacing w:before="240" w:after="240"/>
        <w:ind w:firstLine="0"/>
      </w:pPr>
    </w:p>
    <w:p w:rsidR="007A77D5" w:rsidRDefault="007A77D5" w:rsidP="0052615E">
      <w:pPr>
        <w:pStyle w:val="GvdeMetniGirintisi"/>
        <w:spacing w:before="240" w:after="240"/>
        <w:ind w:firstLine="0"/>
      </w:pPr>
    </w:p>
    <w:p w:rsidR="001A31E1" w:rsidRDefault="00444A85" w:rsidP="00645120">
      <w:pPr>
        <w:pStyle w:val="stil1"/>
      </w:pPr>
      <w:bookmarkStart w:id="53" w:name="_Toc382298144"/>
      <w:bookmarkStart w:id="54" w:name="OLE_LINK54"/>
      <w:bookmarkStart w:id="55" w:name="OLE_LINK55"/>
      <w:bookmarkStart w:id="56" w:name="OLE_LINK75"/>
      <w:r>
        <w:lastRenderedPageBreak/>
        <w:t xml:space="preserve">Şekil </w:t>
      </w:r>
      <w:proofErr w:type="gramStart"/>
      <w:r>
        <w:t>1.5</w:t>
      </w:r>
      <w:proofErr w:type="gramEnd"/>
      <w:r w:rsidR="001A31E1">
        <w:t>: Mauna Loa Gözlemevinde Çekilen Ortalama CO</w:t>
      </w:r>
      <w:r w:rsidR="001A31E1" w:rsidRPr="00072FD2">
        <w:rPr>
          <w:vertAlign w:val="subscript"/>
        </w:rPr>
        <w:t>2</w:t>
      </w:r>
      <w:r w:rsidR="001A31E1">
        <w:t xml:space="preserve"> Yoğunluğu</w:t>
      </w:r>
      <w:bookmarkEnd w:id="53"/>
    </w:p>
    <w:p w:rsidR="009A0F8C" w:rsidRDefault="005B7834" w:rsidP="0052615E">
      <w:pPr>
        <w:pStyle w:val="GvdeMetniGirintisi"/>
        <w:spacing w:line="240" w:lineRule="auto"/>
        <w:jc w:val="center"/>
        <w:rPr>
          <w:b/>
          <w:bCs/>
        </w:rPr>
      </w:pPr>
      <w:r>
        <w:rPr>
          <w:b/>
          <w:bCs/>
          <w:noProof/>
          <w:sz w:val="20"/>
          <w:szCs w:val="20"/>
          <w:lang w:eastAsia="tr-TR"/>
        </w:rPr>
        <w:drawing>
          <wp:anchor distT="0" distB="0" distL="114300" distR="114300" simplePos="0" relativeHeight="251663872" behindDoc="1" locked="0" layoutInCell="1" allowOverlap="1" wp14:anchorId="4BA68714" wp14:editId="4E98EF91">
            <wp:simplePos x="0" y="0"/>
            <wp:positionH relativeFrom="column">
              <wp:posOffset>-10160</wp:posOffset>
            </wp:positionH>
            <wp:positionV relativeFrom="paragraph">
              <wp:posOffset>79375</wp:posOffset>
            </wp:positionV>
            <wp:extent cx="4294505" cy="2997200"/>
            <wp:effectExtent l="19050" t="19050" r="10795" b="12700"/>
            <wp:wrapTight wrapText="bothSides">
              <wp:wrapPolygon edited="0">
                <wp:start x="-96" y="-137"/>
                <wp:lineTo x="-96" y="21554"/>
                <wp:lineTo x="21558" y="21554"/>
                <wp:lineTo x="21558" y="-137"/>
                <wp:lineTo x="-96" y="-137"/>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na.jpg"/>
                    <pic:cNvPicPr/>
                  </pic:nvPicPr>
                  <pic:blipFill>
                    <a:blip r:embed="rId18">
                      <a:extLst>
                        <a:ext uri="{28A0092B-C50C-407E-A947-70E740481C1C}">
                          <a14:useLocalDpi xmlns:a14="http://schemas.microsoft.com/office/drawing/2010/main" val="0"/>
                        </a:ext>
                      </a:extLst>
                    </a:blip>
                    <a:stretch>
                      <a:fillRect/>
                    </a:stretch>
                  </pic:blipFill>
                  <pic:spPr>
                    <a:xfrm>
                      <a:off x="0" y="0"/>
                      <a:ext cx="4294505" cy="2997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A0F8C" w:rsidRDefault="009A0F8C" w:rsidP="0052615E">
      <w:pPr>
        <w:pStyle w:val="GvdeMetniGirintisi"/>
        <w:spacing w:line="240" w:lineRule="auto"/>
        <w:jc w:val="center"/>
        <w:rPr>
          <w:b/>
          <w:bCs/>
        </w:rPr>
      </w:pPr>
    </w:p>
    <w:p w:rsidR="009A0F8C" w:rsidRDefault="009A0F8C" w:rsidP="0052615E">
      <w:pPr>
        <w:pStyle w:val="GvdeMetniGirintisi"/>
        <w:spacing w:line="240" w:lineRule="auto"/>
        <w:jc w:val="center"/>
        <w:rPr>
          <w:b/>
          <w:bCs/>
        </w:rPr>
      </w:pPr>
    </w:p>
    <w:p w:rsidR="009A0F8C" w:rsidRDefault="009A0F8C" w:rsidP="0052615E">
      <w:pPr>
        <w:pStyle w:val="GvdeMetniGirintisi"/>
        <w:spacing w:line="240" w:lineRule="auto"/>
        <w:jc w:val="center"/>
        <w:rPr>
          <w:b/>
          <w:bCs/>
        </w:rPr>
      </w:pPr>
    </w:p>
    <w:p w:rsidR="009A0F8C" w:rsidRDefault="009A0F8C" w:rsidP="0052615E">
      <w:pPr>
        <w:pStyle w:val="GvdeMetniGirintisi"/>
        <w:spacing w:line="240" w:lineRule="auto"/>
        <w:jc w:val="center"/>
        <w:rPr>
          <w:b/>
          <w:bCs/>
        </w:rPr>
      </w:pPr>
    </w:p>
    <w:p w:rsidR="009A0F8C" w:rsidRDefault="009A0F8C" w:rsidP="0052615E">
      <w:pPr>
        <w:pStyle w:val="GvdeMetniGirintisi"/>
        <w:spacing w:line="240" w:lineRule="auto"/>
        <w:jc w:val="center"/>
        <w:rPr>
          <w:b/>
          <w:bCs/>
        </w:rPr>
      </w:pPr>
    </w:p>
    <w:p w:rsidR="009A0F8C" w:rsidRDefault="009A0F8C" w:rsidP="0052615E">
      <w:pPr>
        <w:pStyle w:val="GvdeMetniGirintisi"/>
        <w:spacing w:line="240" w:lineRule="auto"/>
        <w:jc w:val="center"/>
        <w:rPr>
          <w:b/>
          <w:bCs/>
        </w:rPr>
      </w:pPr>
    </w:p>
    <w:p w:rsidR="009A0F8C" w:rsidRDefault="009A0F8C" w:rsidP="0052615E">
      <w:pPr>
        <w:pStyle w:val="GvdeMetniGirintisi"/>
        <w:spacing w:line="240" w:lineRule="auto"/>
        <w:jc w:val="center"/>
        <w:rPr>
          <w:b/>
          <w:bCs/>
        </w:rPr>
      </w:pPr>
    </w:p>
    <w:p w:rsidR="009A0F8C" w:rsidRDefault="009A0F8C" w:rsidP="0052615E">
      <w:pPr>
        <w:pStyle w:val="GvdeMetniGirintisi"/>
        <w:spacing w:line="240" w:lineRule="auto"/>
        <w:jc w:val="center"/>
        <w:rPr>
          <w:b/>
          <w:bCs/>
        </w:rPr>
      </w:pPr>
    </w:p>
    <w:p w:rsidR="009A0F8C" w:rsidRDefault="009A0F8C" w:rsidP="0052615E">
      <w:pPr>
        <w:pStyle w:val="GvdeMetniGirintisi"/>
        <w:spacing w:line="240" w:lineRule="auto"/>
        <w:jc w:val="center"/>
        <w:rPr>
          <w:b/>
          <w:bCs/>
        </w:rPr>
      </w:pPr>
    </w:p>
    <w:p w:rsidR="009A0F8C" w:rsidRDefault="009A0F8C" w:rsidP="0052615E">
      <w:pPr>
        <w:pStyle w:val="GvdeMetniGirintisi"/>
        <w:spacing w:line="240" w:lineRule="auto"/>
        <w:jc w:val="center"/>
        <w:rPr>
          <w:b/>
          <w:bCs/>
        </w:rPr>
      </w:pPr>
    </w:p>
    <w:p w:rsidR="009A0F8C" w:rsidRDefault="009A0F8C" w:rsidP="0052615E">
      <w:pPr>
        <w:pStyle w:val="GvdeMetniGirintisi"/>
        <w:spacing w:line="240" w:lineRule="auto"/>
        <w:jc w:val="center"/>
        <w:rPr>
          <w:b/>
          <w:bCs/>
        </w:rPr>
      </w:pPr>
    </w:p>
    <w:p w:rsidR="009A0F8C" w:rsidRDefault="009A0F8C" w:rsidP="0052615E">
      <w:pPr>
        <w:pStyle w:val="GvdeMetniGirintisi"/>
        <w:spacing w:line="240" w:lineRule="auto"/>
        <w:jc w:val="center"/>
        <w:rPr>
          <w:b/>
          <w:bCs/>
        </w:rPr>
      </w:pPr>
    </w:p>
    <w:p w:rsidR="009A0F8C" w:rsidRDefault="009A0F8C" w:rsidP="0052615E">
      <w:pPr>
        <w:pStyle w:val="GvdeMetniGirintisi"/>
        <w:spacing w:line="240" w:lineRule="auto"/>
        <w:jc w:val="center"/>
        <w:rPr>
          <w:b/>
          <w:bCs/>
        </w:rPr>
      </w:pPr>
    </w:p>
    <w:p w:rsidR="009A0F8C" w:rsidRDefault="009A0F8C" w:rsidP="0052615E">
      <w:pPr>
        <w:pStyle w:val="GvdeMetniGirintisi"/>
        <w:spacing w:line="240" w:lineRule="auto"/>
        <w:jc w:val="center"/>
        <w:rPr>
          <w:b/>
          <w:bCs/>
        </w:rPr>
      </w:pPr>
    </w:p>
    <w:p w:rsidR="009A0F8C" w:rsidRDefault="009A0F8C" w:rsidP="0052615E">
      <w:pPr>
        <w:pStyle w:val="GvdeMetniGirintisi"/>
        <w:spacing w:line="240" w:lineRule="auto"/>
        <w:jc w:val="center"/>
        <w:rPr>
          <w:b/>
          <w:bCs/>
        </w:rPr>
      </w:pPr>
    </w:p>
    <w:p w:rsidR="009A0F8C" w:rsidRDefault="009A0F8C" w:rsidP="0052615E">
      <w:pPr>
        <w:pStyle w:val="GvdeMetniGirintisi"/>
        <w:spacing w:line="240" w:lineRule="auto"/>
        <w:jc w:val="center"/>
        <w:rPr>
          <w:b/>
          <w:bCs/>
        </w:rPr>
      </w:pPr>
    </w:p>
    <w:bookmarkEnd w:id="54"/>
    <w:bookmarkEnd w:id="55"/>
    <w:bookmarkEnd w:id="56"/>
    <w:p w:rsidR="00CA1F32" w:rsidRDefault="00CA1F32" w:rsidP="0052615E">
      <w:pPr>
        <w:pStyle w:val="GvdeMetniGirintisi"/>
        <w:spacing w:line="240" w:lineRule="auto"/>
        <w:ind w:firstLine="0"/>
        <w:jc w:val="center"/>
        <w:rPr>
          <w:b/>
          <w:bCs/>
          <w:sz w:val="20"/>
          <w:szCs w:val="20"/>
        </w:rPr>
      </w:pPr>
    </w:p>
    <w:p w:rsidR="003F64F1" w:rsidRDefault="003F64F1" w:rsidP="0052615E">
      <w:pPr>
        <w:pStyle w:val="GvdeMetniGirintisi"/>
        <w:spacing w:line="240" w:lineRule="auto"/>
        <w:ind w:firstLine="0"/>
        <w:jc w:val="left"/>
        <w:rPr>
          <w:sz w:val="20"/>
          <w:szCs w:val="20"/>
        </w:rPr>
      </w:pPr>
      <w:r>
        <w:rPr>
          <w:b/>
          <w:bCs/>
          <w:sz w:val="20"/>
          <w:szCs w:val="20"/>
        </w:rPr>
        <w:t xml:space="preserve">Kaynak: </w:t>
      </w:r>
      <w:bookmarkStart w:id="57" w:name="OLE_LINK49"/>
      <w:bookmarkStart w:id="58" w:name="OLE_LINK53"/>
      <w:r w:rsidR="00253186">
        <w:rPr>
          <w:color w:val="000000"/>
          <w:sz w:val="20"/>
          <w:szCs w:val="20"/>
        </w:rPr>
        <w:t>http://www.esrl.noaa.gov</w:t>
      </w:r>
      <w:r>
        <w:rPr>
          <w:bCs/>
          <w:sz w:val="20"/>
          <w:szCs w:val="20"/>
        </w:rPr>
        <w:t xml:space="preserve"> </w:t>
      </w:r>
      <w:bookmarkEnd w:id="57"/>
      <w:bookmarkEnd w:id="58"/>
      <w:r w:rsidR="00E1159A">
        <w:rPr>
          <w:bCs/>
          <w:sz w:val="20"/>
          <w:szCs w:val="20"/>
        </w:rPr>
        <w:t>(2)</w:t>
      </w:r>
    </w:p>
    <w:p w:rsidR="00DC3688" w:rsidRDefault="0044255F" w:rsidP="0052615E">
      <w:pPr>
        <w:pStyle w:val="GvdeMetniGirintisi"/>
        <w:spacing w:before="240" w:after="240"/>
        <w:ind w:firstLine="0"/>
      </w:pPr>
      <w:bookmarkStart w:id="59" w:name="OLE_LINK42"/>
      <w:r w:rsidRPr="00882BDA">
        <w:rPr>
          <w:b/>
          <w:bCs/>
        </w:rPr>
        <w:t>Metan</w:t>
      </w:r>
      <w:r>
        <w:rPr>
          <w:b/>
          <w:bCs/>
        </w:rPr>
        <w:t xml:space="preserve"> (</w:t>
      </w:r>
      <w:r w:rsidRPr="00D172FD">
        <w:rPr>
          <w:b/>
          <w:bCs/>
        </w:rPr>
        <w:t>CH</w:t>
      </w:r>
      <w:r>
        <w:rPr>
          <w:b/>
          <w:bCs/>
          <w:vertAlign w:val="subscript"/>
        </w:rPr>
        <w:t>4</w:t>
      </w:r>
      <w:r>
        <w:rPr>
          <w:b/>
          <w:bCs/>
        </w:rPr>
        <w:t>)</w:t>
      </w:r>
      <w:r w:rsidRPr="00882BDA">
        <w:rPr>
          <w:b/>
          <w:bCs/>
        </w:rPr>
        <w:t xml:space="preserve">; </w:t>
      </w:r>
      <w:bookmarkEnd w:id="59"/>
      <w:r w:rsidRPr="00882BDA">
        <w:t xml:space="preserve">Atmosferde en çok bulunan gazlardan ikicisidir. </w:t>
      </w:r>
      <w:r w:rsidR="00F37C7A">
        <w:t xml:space="preserve">Metan oksijensiz çevrede mikrobik aktivite ile üretilir. Başlıca </w:t>
      </w:r>
      <w:r>
        <w:t>İklimi değiş</w:t>
      </w:r>
      <w:r w:rsidRPr="00882BDA">
        <w:t>tir</w:t>
      </w:r>
      <w:r>
        <w:t>ir</w:t>
      </w:r>
      <w:r w:rsidRPr="00882BDA">
        <w:t>ken kendisi de ik</w:t>
      </w:r>
      <w:r>
        <w:t>lim değişikliğinden etkilenir.</w:t>
      </w:r>
      <w:r w:rsidR="00056694">
        <w:t xml:space="preserve"> Bu etkilenme berabe</w:t>
      </w:r>
      <w:r w:rsidR="009E1900">
        <w:t>rinde geri beslenmeye neden olmaktadır</w:t>
      </w:r>
      <w:r w:rsidR="00056694">
        <w:t>.</w:t>
      </w:r>
      <w:r w:rsidR="008113B7">
        <w:t xml:space="preserve"> </w:t>
      </w:r>
      <w:r w:rsidR="00DC3688" w:rsidRPr="008113B7">
        <w:t xml:space="preserve">Metan’ın sanayi öncesi dönemde 715 ppb (parts per billion–milyarda bir) atmosfer içindeki yoğunluğu, 1990’lı yılların başında 1732 ppb’ye yükselmiş, bu rakam 2005 yılında 1774 ppb seviyesine ulaşmıştır. Aynı dönemde Nitrit oksit ise 215 </w:t>
      </w:r>
      <w:proofErr w:type="gramStart"/>
      <w:r w:rsidR="00DC3688" w:rsidRPr="008113B7">
        <w:t>ppb’den  317</w:t>
      </w:r>
      <w:proofErr w:type="gramEnd"/>
      <w:r w:rsidR="00DC3688" w:rsidRPr="008113B7">
        <w:t xml:space="preserve"> ppb’ye yükselmiştir (IPCC, 2007a:</w:t>
      </w:r>
      <w:r w:rsidR="009A2745">
        <w:t xml:space="preserve"> </w:t>
      </w:r>
      <w:r w:rsidR="00DC3688" w:rsidRPr="008113B7">
        <w:t>2-3).</w:t>
      </w:r>
    </w:p>
    <w:p w:rsidR="006D452A" w:rsidRDefault="006D452A" w:rsidP="0052615E">
      <w:pPr>
        <w:pStyle w:val="GvdeMetniGirintisi"/>
        <w:spacing w:before="240" w:after="240"/>
        <w:ind w:firstLine="0"/>
      </w:pPr>
      <w:r>
        <w:tab/>
      </w:r>
      <w:r w:rsidR="005835FF">
        <w:t>Çizelge</w:t>
      </w:r>
      <w:r>
        <w:t xml:space="preserve"> </w:t>
      </w:r>
      <w:proofErr w:type="gramStart"/>
      <w:r>
        <w:t>1.1’de</w:t>
      </w:r>
      <w:proofErr w:type="gramEnd"/>
      <w:r>
        <w:t xml:space="preserve"> doğal olarak bulunan metan emisyonları verilmiştir. </w:t>
      </w:r>
      <w:r w:rsidR="003463A8">
        <w:t>Sera gazı</w:t>
      </w:r>
      <w:r>
        <w:t xml:space="preserve"> emisyonlarının yüzde </w:t>
      </w:r>
      <w:proofErr w:type="gramStart"/>
      <w:r>
        <w:t>9.1’ini</w:t>
      </w:r>
      <w:proofErr w:type="gramEnd"/>
      <w:r>
        <w:t xml:space="preserve"> metan emisyonları oluşturur. </w:t>
      </w:r>
      <w:r w:rsidR="009A2745">
        <w:t>Metan emisyonların % 60’ının kıtalarda olması insan kaynaklı iklim değişikliğinin bir nedeni olarak anlaşılmaktadır.</w:t>
      </w:r>
    </w:p>
    <w:p w:rsidR="005D7F77" w:rsidRDefault="005D7F77" w:rsidP="0052615E">
      <w:pPr>
        <w:pStyle w:val="GvdeMetniGirintisi"/>
        <w:spacing w:before="240" w:after="240"/>
        <w:ind w:firstLine="0"/>
      </w:pPr>
    </w:p>
    <w:p w:rsidR="005D7F77" w:rsidRDefault="005D7F77" w:rsidP="0052615E">
      <w:pPr>
        <w:pStyle w:val="GvdeMetniGirintisi"/>
        <w:spacing w:before="240" w:after="240"/>
        <w:ind w:firstLine="0"/>
      </w:pPr>
    </w:p>
    <w:p w:rsidR="005D7F77" w:rsidRDefault="005D7F77" w:rsidP="0052615E">
      <w:pPr>
        <w:pStyle w:val="GvdeMetniGirintisi"/>
        <w:spacing w:before="240" w:after="240"/>
        <w:ind w:firstLine="0"/>
      </w:pPr>
    </w:p>
    <w:p w:rsidR="005D7F77" w:rsidRDefault="005D7F77" w:rsidP="0052615E">
      <w:pPr>
        <w:pStyle w:val="GvdeMetniGirintisi"/>
        <w:spacing w:before="240" w:after="240"/>
        <w:ind w:firstLine="0"/>
      </w:pPr>
    </w:p>
    <w:p w:rsidR="005D7F77" w:rsidRDefault="005D7F77" w:rsidP="0052615E">
      <w:pPr>
        <w:pStyle w:val="GvdeMetniGirintisi"/>
        <w:spacing w:before="240" w:after="240"/>
        <w:ind w:firstLine="0"/>
      </w:pPr>
    </w:p>
    <w:p w:rsidR="008F5A61" w:rsidRPr="000D38D2" w:rsidRDefault="00FB0E0B" w:rsidP="000D38D2">
      <w:pPr>
        <w:pStyle w:val="it6"/>
        <w:rPr>
          <w:rStyle w:val="Vurgu"/>
          <w:i w:val="0"/>
        </w:rPr>
      </w:pPr>
      <w:bookmarkStart w:id="60" w:name="_Toc382295049"/>
      <w:bookmarkStart w:id="61" w:name="_Toc384716090"/>
      <w:bookmarkStart w:id="62" w:name="OLE_LINK45"/>
      <w:bookmarkStart w:id="63" w:name="OLE_LINK46"/>
      <w:bookmarkStart w:id="64" w:name="OLE_LINK56"/>
      <w:r w:rsidRPr="000D38D2">
        <w:rPr>
          <w:rStyle w:val="Vurgu"/>
          <w:i w:val="0"/>
        </w:rPr>
        <w:lastRenderedPageBreak/>
        <w:t xml:space="preserve">Çizelge </w:t>
      </w:r>
      <w:proofErr w:type="gramStart"/>
      <w:r w:rsidR="008F5A61" w:rsidRPr="000D38D2">
        <w:rPr>
          <w:rStyle w:val="Vurgu"/>
          <w:i w:val="0"/>
        </w:rPr>
        <w:t>1.1</w:t>
      </w:r>
      <w:proofErr w:type="gramEnd"/>
      <w:r w:rsidR="008F5A61" w:rsidRPr="000D38D2">
        <w:rPr>
          <w:rStyle w:val="Vurgu"/>
          <w:i w:val="0"/>
        </w:rPr>
        <w:t>: Okyanuslar, Akarsular ve Nehirler</w:t>
      </w:r>
      <w:r w:rsidR="009F344B" w:rsidRPr="000D38D2">
        <w:rPr>
          <w:rStyle w:val="Vurgu"/>
          <w:i w:val="0"/>
        </w:rPr>
        <w:t>den</w:t>
      </w:r>
      <w:r w:rsidR="008F5A61" w:rsidRPr="000D38D2">
        <w:rPr>
          <w:rStyle w:val="Vurgu"/>
          <w:i w:val="0"/>
        </w:rPr>
        <w:t xml:space="preserve"> kaynaktan Doğal Metan Emisyonları</w:t>
      </w:r>
      <w:bookmarkEnd w:id="60"/>
      <w:bookmarkEnd w:id="61"/>
    </w:p>
    <w:bookmarkEnd w:id="62"/>
    <w:bookmarkEnd w:id="63"/>
    <w:bookmarkEnd w:id="64"/>
    <w:tbl>
      <w:tblPr>
        <w:tblStyle w:val="TabloKlavuzu"/>
        <w:tblW w:w="6645" w:type="dxa"/>
        <w:tblInd w:w="250" w:type="dxa"/>
        <w:tblLook w:val="04A0" w:firstRow="1" w:lastRow="0" w:firstColumn="1" w:lastColumn="0" w:noHBand="0" w:noVBand="1"/>
      </w:tblPr>
      <w:tblGrid>
        <w:gridCol w:w="2518"/>
        <w:gridCol w:w="1843"/>
        <w:gridCol w:w="2284"/>
      </w:tblGrid>
      <w:tr w:rsidR="00D9513B" w:rsidTr="005B7834">
        <w:tc>
          <w:tcPr>
            <w:tcW w:w="2518" w:type="dxa"/>
            <w:vAlign w:val="center"/>
          </w:tcPr>
          <w:p w:rsidR="00D9513B" w:rsidRDefault="00D9513B" w:rsidP="005D7F77">
            <w:pPr>
              <w:pStyle w:val="GvdeMetniGirintisi"/>
              <w:spacing w:before="120" w:after="120" w:line="240" w:lineRule="auto"/>
              <w:ind w:left="-44" w:firstLine="0"/>
              <w:jc w:val="left"/>
            </w:pPr>
          </w:p>
        </w:tc>
        <w:tc>
          <w:tcPr>
            <w:tcW w:w="1843" w:type="dxa"/>
            <w:vAlign w:val="center"/>
          </w:tcPr>
          <w:p w:rsidR="006004AD" w:rsidRPr="008E0608" w:rsidRDefault="00D9513B" w:rsidP="005D7F77">
            <w:pPr>
              <w:pStyle w:val="GvdeMetniGirintisi"/>
              <w:spacing w:before="120" w:after="120" w:line="240" w:lineRule="auto"/>
              <w:ind w:firstLine="0"/>
              <w:jc w:val="center"/>
              <w:rPr>
                <w:b/>
                <w:sz w:val="20"/>
                <w:szCs w:val="20"/>
              </w:rPr>
            </w:pPr>
            <w:r w:rsidRPr="008E0608">
              <w:rPr>
                <w:b/>
                <w:sz w:val="20"/>
                <w:szCs w:val="20"/>
              </w:rPr>
              <w:t>Yıllık Emisyon</w:t>
            </w:r>
          </w:p>
          <w:p w:rsidR="00D9513B" w:rsidRPr="008E0608" w:rsidRDefault="00D9513B" w:rsidP="005D7F77">
            <w:pPr>
              <w:pStyle w:val="GvdeMetniGirintisi"/>
              <w:spacing w:before="120" w:after="120" w:line="240" w:lineRule="auto"/>
              <w:ind w:firstLine="0"/>
              <w:jc w:val="center"/>
              <w:rPr>
                <w:b/>
                <w:sz w:val="20"/>
                <w:szCs w:val="20"/>
              </w:rPr>
            </w:pPr>
            <w:r w:rsidRPr="008E0608">
              <w:rPr>
                <w:b/>
                <w:sz w:val="20"/>
                <w:szCs w:val="20"/>
              </w:rPr>
              <w:t>(TG CH</w:t>
            </w:r>
            <w:r w:rsidRPr="008E0608">
              <w:rPr>
                <w:b/>
                <w:sz w:val="20"/>
                <w:szCs w:val="20"/>
                <w:vertAlign w:val="subscript"/>
              </w:rPr>
              <w:t>4</w:t>
            </w:r>
            <w:r w:rsidRPr="008E0608">
              <w:rPr>
                <w:b/>
                <w:sz w:val="20"/>
                <w:szCs w:val="20"/>
              </w:rPr>
              <w:t>/yr)</w:t>
            </w:r>
          </w:p>
        </w:tc>
        <w:tc>
          <w:tcPr>
            <w:tcW w:w="2284" w:type="dxa"/>
            <w:vAlign w:val="center"/>
          </w:tcPr>
          <w:p w:rsidR="006004AD" w:rsidRPr="008E0608" w:rsidRDefault="00D9513B" w:rsidP="005D7F77">
            <w:pPr>
              <w:pStyle w:val="GvdeMetniGirintisi"/>
              <w:spacing w:before="120" w:after="120" w:line="240" w:lineRule="auto"/>
              <w:ind w:firstLine="0"/>
              <w:jc w:val="center"/>
              <w:rPr>
                <w:b/>
                <w:sz w:val="20"/>
                <w:szCs w:val="20"/>
              </w:rPr>
            </w:pPr>
            <w:r w:rsidRPr="008E0608">
              <w:rPr>
                <w:b/>
                <w:sz w:val="20"/>
                <w:szCs w:val="20"/>
              </w:rPr>
              <w:t>Toplam Emisyon</w:t>
            </w:r>
          </w:p>
          <w:p w:rsidR="00D9513B" w:rsidRPr="008E0608" w:rsidRDefault="00D9513B" w:rsidP="005D7F77">
            <w:pPr>
              <w:pStyle w:val="GvdeMetniGirintisi"/>
              <w:spacing w:before="120" w:after="120" w:line="240" w:lineRule="auto"/>
              <w:ind w:firstLine="0"/>
              <w:jc w:val="center"/>
              <w:rPr>
                <w:b/>
                <w:sz w:val="20"/>
                <w:szCs w:val="20"/>
              </w:rPr>
            </w:pPr>
            <w:r w:rsidRPr="008E0608">
              <w:rPr>
                <w:b/>
                <w:sz w:val="20"/>
                <w:szCs w:val="20"/>
              </w:rPr>
              <w:t>(%)</w:t>
            </w:r>
          </w:p>
        </w:tc>
      </w:tr>
      <w:tr w:rsidR="00D9513B" w:rsidTr="005B7834">
        <w:tc>
          <w:tcPr>
            <w:tcW w:w="2518" w:type="dxa"/>
            <w:vAlign w:val="center"/>
          </w:tcPr>
          <w:p w:rsidR="00D9513B" w:rsidRPr="008E0608" w:rsidRDefault="00E3052F" w:rsidP="005D7F77">
            <w:pPr>
              <w:pStyle w:val="GvdeMetniGirintisi"/>
              <w:spacing w:before="120" w:after="120" w:line="240" w:lineRule="auto"/>
              <w:ind w:firstLine="0"/>
              <w:jc w:val="left"/>
              <w:rPr>
                <w:sz w:val="20"/>
                <w:szCs w:val="20"/>
              </w:rPr>
            </w:pPr>
            <w:r w:rsidRPr="008E0608">
              <w:rPr>
                <w:sz w:val="20"/>
                <w:szCs w:val="20"/>
              </w:rPr>
              <w:t>Okyanus(open ocean)</w:t>
            </w:r>
          </w:p>
        </w:tc>
        <w:tc>
          <w:tcPr>
            <w:tcW w:w="1843" w:type="dxa"/>
            <w:vAlign w:val="center"/>
          </w:tcPr>
          <w:p w:rsidR="00D9513B" w:rsidRPr="008E0608" w:rsidRDefault="00E3052F" w:rsidP="005D7F77">
            <w:pPr>
              <w:pStyle w:val="GvdeMetniGirintisi"/>
              <w:spacing w:before="120" w:after="120" w:line="240" w:lineRule="auto"/>
              <w:ind w:firstLine="0"/>
              <w:jc w:val="center"/>
              <w:rPr>
                <w:sz w:val="20"/>
                <w:szCs w:val="20"/>
              </w:rPr>
            </w:pPr>
            <w:r w:rsidRPr="008E0608">
              <w:rPr>
                <w:sz w:val="20"/>
                <w:szCs w:val="20"/>
              </w:rPr>
              <w:t>1.8</w:t>
            </w:r>
          </w:p>
        </w:tc>
        <w:tc>
          <w:tcPr>
            <w:tcW w:w="2284" w:type="dxa"/>
            <w:vAlign w:val="center"/>
          </w:tcPr>
          <w:p w:rsidR="00D9513B" w:rsidRPr="008E0608" w:rsidRDefault="00E3052F" w:rsidP="005D7F77">
            <w:pPr>
              <w:pStyle w:val="GvdeMetniGirintisi"/>
              <w:spacing w:before="120" w:after="120" w:line="240" w:lineRule="auto"/>
              <w:ind w:firstLine="0"/>
              <w:jc w:val="center"/>
              <w:rPr>
                <w:sz w:val="20"/>
                <w:szCs w:val="20"/>
              </w:rPr>
            </w:pPr>
            <w:r w:rsidRPr="008E0608">
              <w:rPr>
                <w:sz w:val="20"/>
                <w:szCs w:val="20"/>
              </w:rPr>
              <w:t>20</w:t>
            </w:r>
          </w:p>
        </w:tc>
      </w:tr>
      <w:tr w:rsidR="00D9513B" w:rsidTr="005B7834">
        <w:tc>
          <w:tcPr>
            <w:tcW w:w="2518" w:type="dxa"/>
            <w:vAlign w:val="center"/>
          </w:tcPr>
          <w:p w:rsidR="00D9513B" w:rsidRPr="008E0608" w:rsidRDefault="00E3052F" w:rsidP="005D7F77">
            <w:pPr>
              <w:pStyle w:val="GvdeMetniGirintisi"/>
              <w:spacing w:before="120" w:after="120" w:line="240" w:lineRule="auto"/>
              <w:ind w:firstLine="0"/>
              <w:jc w:val="left"/>
              <w:rPr>
                <w:sz w:val="20"/>
                <w:szCs w:val="20"/>
              </w:rPr>
            </w:pPr>
            <w:r w:rsidRPr="008E0608">
              <w:rPr>
                <w:sz w:val="20"/>
                <w:szCs w:val="20"/>
              </w:rPr>
              <w:t>Kıtalar (continental shelves)</w:t>
            </w:r>
          </w:p>
        </w:tc>
        <w:tc>
          <w:tcPr>
            <w:tcW w:w="1843" w:type="dxa"/>
            <w:vAlign w:val="center"/>
          </w:tcPr>
          <w:p w:rsidR="00D9513B" w:rsidRPr="008E0608" w:rsidRDefault="00E3052F" w:rsidP="005D7F77">
            <w:pPr>
              <w:pStyle w:val="GvdeMetniGirintisi"/>
              <w:spacing w:before="120" w:after="120" w:line="240" w:lineRule="auto"/>
              <w:ind w:firstLine="0"/>
              <w:jc w:val="center"/>
              <w:rPr>
                <w:sz w:val="20"/>
                <w:szCs w:val="20"/>
              </w:rPr>
            </w:pPr>
            <w:r w:rsidRPr="008E0608">
              <w:rPr>
                <w:sz w:val="20"/>
                <w:szCs w:val="20"/>
              </w:rPr>
              <w:t>5.5</w:t>
            </w:r>
          </w:p>
        </w:tc>
        <w:tc>
          <w:tcPr>
            <w:tcW w:w="2284" w:type="dxa"/>
            <w:vAlign w:val="center"/>
          </w:tcPr>
          <w:p w:rsidR="00D9513B" w:rsidRPr="008E0608" w:rsidRDefault="00E3052F" w:rsidP="005D7F77">
            <w:pPr>
              <w:pStyle w:val="GvdeMetniGirintisi"/>
              <w:spacing w:before="120" w:after="120" w:line="240" w:lineRule="auto"/>
              <w:ind w:firstLine="0"/>
              <w:jc w:val="center"/>
              <w:rPr>
                <w:sz w:val="20"/>
                <w:szCs w:val="20"/>
              </w:rPr>
            </w:pPr>
            <w:r w:rsidRPr="008E0608">
              <w:rPr>
                <w:sz w:val="20"/>
                <w:szCs w:val="20"/>
              </w:rPr>
              <w:t>60</w:t>
            </w:r>
          </w:p>
        </w:tc>
      </w:tr>
      <w:tr w:rsidR="00D9513B" w:rsidTr="005B7834">
        <w:tc>
          <w:tcPr>
            <w:tcW w:w="2518" w:type="dxa"/>
            <w:vAlign w:val="center"/>
          </w:tcPr>
          <w:p w:rsidR="00D9513B" w:rsidRPr="008E0608" w:rsidRDefault="00D9513B" w:rsidP="005D7F77">
            <w:pPr>
              <w:pStyle w:val="GvdeMetniGirintisi"/>
              <w:spacing w:before="120" w:after="120" w:line="240" w:lineRule="auto"/>
              <w:ind w:firstLine="0"/>
              <w:jc w:val="left"/>
              <w:rPr>
                <w:sz w:val="20"/>
                <w:szCs w:val="20"/>
              </w:rPr>
            </w:pPr>
            <w:r w:rsidRPr="008E0608">
              <w:rPr>
                <w:sz w:val="20"/>
                <w:szCs w:val="20"/>
              </w:rPr>
              <w:t>Nehirler ve Akarsular</w:t>
            </w:r>
            <w:r w:rsidR="00E3052F" w:rsidRPr="008E0608">
              <w:rPr>
                <w:sz w:val="20"/>
                <w:szCs w:val="20"/>
              </w:rPr>
              <w:t xml:space="preserve"> (Estuaries and rivers)</w:t>
            </w:r>
          </w:p>
        </w:tc>
        <w:tc>
          <w:tcPr>
            <w:tcW w:w="1843" w:type="dxa"/>
            <w:vAlign w:val="center"/>
          </w:tcPr>
          <w:p w:rsidR="00D9513B" w:rsidRPr="008E0608" w:rsidRDefault="00E3052F" w:rsidP="005D7F77">
            <w:pPr>
              <w:pStyle w:val="GvdeMetniGirintisi"/>
              <w:spacing w:before="120" w:after="120" w:line="240" w:lineRule="auto"/>
              <w:ind w:firstLine="0"/>
              <w:jc w:val="center"/>
              <w:rPr>
                <w:sz w:val="20"/>
                <w:szCs w:val="20"/>
              </w:rPr>
            </w:pPr>
            <w:r w:rsidRPr="008E0608">
              <w:rPr>
                <w:sz w:val="20"/>
                <w:szCs w:val="20"/>
              </w:rPr>
              <w:t>1.85</w:t>
            </w:r>
          </w:p>
        </w:tc>
        <w:tc>
          <w:tcPr>
            <w:tcW w:w="2284" w:type="dxa"/>
            <w:vAlign w:val="center"/>
          </w:tcPr>
          <w:p w:rsidR="00D9513B" w:rsidRPr="008E0608" w:rsidRDefault="00E3052F" w:rsidP="005D7F77">
            <w:pPr>
              <w:pStyle w:val="GvdeMetniGirintisi"/>
              <w:spacing w:before="120" w:after="120" w:line="240" w:lineRule="auto"/>
              <w:ind w:firstLine="0"/>
              <w:jc w:val="center"/>
              <w:rPr>
                <w:sz w:val="20"/>
                <w:szCs w:val="20"/>
              </w:rPr>
            </w:pPr>
            <w:r w:rsidRPr="008E0608">
              <w:rPr>
                <w:sz w:val="20"/>
                <w:szCs w:val="20"/>
              </w:rPr>
              <w:t>20</w:t>
            </w:r>
          </w:p>
        </w:tc>
      </w:tr>
      <w:tr w:rsidR="00D9513B" w:rsidTr="005B7834">
        <w:tc>
          <w:tcPr>
            <w:tcW w:w="2518" w:type="dxa"/>
            <w:vAlign w:val="center"/>
          </w:tcPr>
          <w:p w:rsidR="00D9513B" w:rsidRPr="008E0608" w:rsidRDefault="00D9513B" w:rsidP="005D7F77">
            <w:pPr>
              <w:pStyle w:val="GvdeMetniGirintisi"/>
              <w:spacing w:before="120" w:after="120" w:line="240" w:lineRule="auto"/>
              <w:ind w:firstLine="0"/>
              <w:jc w:val="left"/>
              <w:rPr>
                <w:sz w:val="20"/>
                <w:szCs w:val="20"/>
              </w:rPr>
            </w:pPr>
            <w:r w:rsidRPr="008E0608">
              <w:rPr>
                <w:sz w:val="20"/>
                <w:szCs w:val="20"/>
              </w:rPr>
              <w:t>Toplam</w:t>
            </w:r>
          </w:p>
        </w:tc>
        <w:tc>
          <w:tcPr>
            <w:tcW w:w="1843" w:type="dxa"/>
            <w:vAlign w:val="center"/>
          </w:tcPr>
          <w:p w:rsidR="00D9513B" w:rsidRPr="008E0608" w:rsidRDefault="00D9513B" w:rsidP="005D7F77">
            <w:pPr>
              <w:pStyle w:val="GvdeMetniGirintisi"/>
              <w:spacing w:before="120" w:after="120" w:line="240" w:lineRule="auto"/>
              <w:ind w:firstLine="0"/>
              <w:jc w:val="center"/>
              <w:rPr>
                <w:sz w:val="20"/>
                <w:szCs w:val="20"/>
              </w:rPr>
            </w:pPr>
            <w:r w:rsidRPr="008E0608">
              <w:rPr>
                <w:sz w:val="20"/>
                <w:szCs w:val="20"/>
              </w:rPr>
              <w:t>9.1</w:t>
            </w:r>
          </w:p>
        </w:tc>
        <w:tc>
          <w:tcPr>
            <w:tcW w:w="2284" w:type="dxa"/>
            <w:vAlign w:val="center"/>
          </w:tcPr>
          <w:p w:rsidR="00D9513B" w:rsidRPr="008E0608" w:rsidRDefault="009A2745" w:rsidP="005D7F77">
            <w:pPr>
              <w:pStyle w:val="GvdeMetniGirintisi"/>
              <w:spacing w:before="120" w:after="120" w:line="240" w:lineRule="auto"/>
              <w:ind w:firstLine="0"/>
              <w:jc w:val="center"/>
              <w:rPr>
                <w:sz w:val="20"/>
                <w:szCs w:val="20"/>
              </w:rPr>
            </w:pPr>
            <w:r w:rsidRPr="008E0608">
              <w:rPr>
                <w:sz w:val="20"/>
                <w:szCs w:val="20"/>
              </w:rPr>
              <w:t>100</w:t>
            </w:r>
          </w:p>
        </w:tc>
      </w:tr>
    </w:tbl>
    <w:p w:rsidR="00D9513B" w:rsidRPr="008F5A61" w:rsidRDefault="008F5A61" w:rsidP="005D7F77">
      <w:pPr>
        <w:pStyle w:val="GvdeMetniGirintisi"/>
        <w:spacing w:before="120" w:after="120" w:line="240" w:lineRule="auto"/>
        <w:ind w:firstLine="0"/>
        <w:jc w:val="left"/>
        <w:rPr>
          <w:sz w:val="20"/>
          <w:szCs w:val="20"/>
        </w:rPr>
      </w:pPr>
      <w:r w:rsidRPr="008F5A61">
        <w:rPr>
          <w:b/>
          <w:sz w:val="20"/>
          <w:szCs w:val="20"/>
        </w:rPr>
        <w:t>Kaynak:</w:t>
      </w:r>
      <w:r w:rsidRPr="008F5A61">
        <w:rPr>
          <w:sz w:val="20"/>
          <w:szCs w:val="20"/>
        </w:rPr>
        <w:t xml:space="preserve"> EPA, 2010</w:t>
      </w:r>
    </w:p>
    <w:p w:rsidR="00A53F0B" w:rsidRDefault="009A2745" w:rsidP="0052615E">
      <w:pPr>
        <w:pStyle w:val="NormalWeb"/>
        <w:spacing w:before="240" w:beforeAutospacing="0" w:after="240" w:afterAutospacing="0" w:line="360" w:lineRule="auto"/>
        <w:ind w:left="150" w:right="150" w:firstLine="558"/>
        <w:rPr>
          <w:rFonts w:ascii="Times New Roman" w:hAnsi="Times New Roman" w:cs="Times New Roman"/>
          <w:color w:val="auto"/>
          <w:sz w:val="24"/>
          <w:szCs w:val="24"/>
        </w:rPr>
      </w:pPr>
      <w:r>
        <w:rPr>
          <w:rFonts w:ascii="Times New Roman" w:hAnsi="Times New Roman" w:cs="Times New Roman"/>
          <w:color w:val="auto"/>
          <w:sz w:val="24"/>
          <w:szCs w:val="24"/>
        </w:rPr>
        <w:t>Metan gazı</w:t>
      </w:r>
      <w:r w:rsidR="00A53F0B" w:rsidRPr="00FA442C">
        <w:rPr>
          <w:rFonts w:ascii="Times New Roman" w:hAnsi="Times New Roman" w:cs="Times New Roman"/>
          <w:color w:val="auto"/>
          <w:sz w:val="24"/>
          <w:szCs w:val="24"/>
        </w:rPr>
        <w:t xml:space="preserve"> organik artıkların oksijensiz ortamda ayrışması (anaerobik ayrışma) sonucunda </w:t>
      </w:r>
      <w:r w:rsidR="006D452A">
        <w:rPr>
          <w:rFonts w:ascii="Times New Roman" w:hAnsi="Times New Roman" w:cs="Times New Roman"/>
          <w:color w:val="auto"/>
          <w:sz w:val="24"/>
          <w:szCs w:val="24"/>
        </w:rPr>
        <w:t xml:space="preserve">da </w:t>
      </w:r>
      <w:r w:rsidR="00A53F0B" w:rsidRPr="00FA442C">
        <w:rPr>
          <w:rFonts w:ascii="Times New Roman" w:hAnsi="Times New Roman" w:cs="Times New Roman"/>
          <w:color w:val="auto"/>
          <w:sz w:val="24"/>
          <w:szCs w:val="24"/>
        </w:rPr>
        <w:t xml:space="preserve">meydana </w:t>
      </w:r>
      <w:r w:rsidR="001B78D8">
        <w:rPr>
          <w:rFonts w:ascii="Times New Roman" w:hAnsi="Times New Roman" w:cs="Times New Roman"/>
          <w:color w:val="auto"/>
          <w:sz w:val="24"/>
          <w:szCs w:val="24"/>
        </w:rPr>
        <w:t xml:space="preserve">gelmektedir. </w:t>
      </w:r>
      <w:r w:rsidR="006F5051">
        <w:rPr>
          <w:rFonts w:ascii="Times New Roman" w:hAnsi="Times New Roman" w:cs="Times New Roman"/>
          <w:color w:val="auto"/>
          <w:sz w:val="24"/>
          <w:szCs w:val="24"/>
        </w:rPr>
        <w:t>P</w:t>
      </w:r>
      <w:r w:rsidR="00A53F0B" w:rsidRPr="00FA442C">
        <w:rPr>
          <w:rFonts w:ascii="Times New Roman" w:hAnsi="Times New Roman" w:cs="Times New Roman"/>
          <w:color w:val="auto"/>
          <w:sz w:val="24"/>
          <w:szCs w:val="24"/>
        </w:rPr>
        <w:t>irinç tarlaları, çif</w:t>
      </w:r>
      <w:r w:rsidR="001B78D8">
        <w:rPr>
          <w:rFonts w:ascii="Times New Roman" w:hAnsi="Times New Roman" w:cs="Times New Roman"/>
          <w:color w:val="auto"/>
          <w:sz w:val="24"/>
          <w:szCs w:val="24"/>
        </w:rPr>
        <w:t xml:space="preserve">tlik gübreleri, çöp yığınları, bataklıklardır, doğal gaz boruların ek yerleri ve hayvanların geviş getirmesi gibi faaliyetler metan gazının temel kaynağıdır. </w:t>
      </w:r>
      <w:r w:rsidR="00A53F0B" w:rsidRPr="00FA442C">
        <w:rPr>
          <w:rFonts w:ascii="Times New Roman" w:hAnsi="Times New Roman" w:cs="Times New Roman"/>
          <w:color w:val="auto"/>
          <w:sz w:val="24"/>
          <w:szCs w:val="24"/>
        </w:rPr>
        <w:t xml:space="preserve"> </w:t>
      </w:r>
    </w:p>
    <w:p w:rsidR="00A53F0B" w:rsidRDefault="00CB6902" w:rsidP="0052615E">
      <w:pPr>
        <w:autoSpaceDE w:val="0"/>
        <w:autoSpaceDN w:val="0"/>
        <w:adjustRightInd w:val="0"/>
        <w:spacing w:before="240" w:after="240" w:line="360" w:lineRule="auto"/>
        <w:ind w:firstLine="708"/>
        <w:jc w:val="both"/>
      </w:pPr>
      <w:r w:rsidRPr="000D1A11">
        <w:t xml:space="preserve">Kömür, doğalgaz ve petrolün üretim ve taşınması </w:t>
      </w:r>
      <w:r w:rsidR="007326DA">
        <w:t>sırasında</w:t>
      </w:r>
      <w:r w:rsidR="000D1A11">
        <w:t xml:space="preserve"> </w:t>
      </w:r>
      <w:r w:rsidRPr="000D1A11">
        <w:t xml:space="preserve">da bir miktar metan gazı atmosfere </w:t>
      </w:r>
      <w:r w:rsidR="007326DA">
        <w:t>karışır</w:t>
      </w:r>
      <w:r w:rsidRPr="000D1A11">
        <w:t xml:space="preserve">. </w:t>
      </w:r>
      <w:r w:rsidR="007326DA">
        <w:t>Yapılan çalışmalar</w:t>
      </w:r>
      <w:r w:rsidRPr="000D1A11">
        <w:t>, atmosferdeki CH4</w:t>
      </w:r>
      <w:r w:rsidR="00751B7B" w:rsidRPr="000D1A11">
        <w:t xml:space="preserve"> </w:t>
      </w:r>
      <w:r w:rsidR="007326DA">
        <w:t xml:space="preserve">gazı </w:t>
      </w:r>
      <w:r w:rsidR="00751B7B" w:rsidRPr="000D1A11">
        <w:t xml:space="preserve">artışının karbondioksite göre daha hızlı olduğunu </w:t>
      </w:r>
      <w:r w:rsidR="007326DA">
        <w:t>göstermektedir</w:t>
      </w:r>
      <w:r w:rsidR="00751B7B" w:rsidRPr="000D1A11">
        <w:t>.</w:t>
      </w:r>
      <w:r w:rsidR="000D1A11">
        <w:t xml:space="preserve"> </w:t>
      </w:r>
      <w:r w:rsidR="00751B7B" w:rsidRPr="000D1A11">
        <w:t xml:space="preserve">Atmosferdeki metan </w:t>
      </w:r>
      <w:r w:rsidR="007326DA">
        <w:t>gazının konsantrasyonunu</w:t>
      </w:r>
      <w:r w:rsidR="00751B7B" w:rsidRPr="000D1A11">
        <w:t xml:space="preserve"> yıllık artış miktarı yaklaşık %</w:t>
      </w:r>
      <w:r w:rsidR="009A2745">
        <w:t xml:space="preserve"> </w:t>
      </w:r>
      <w:proofErr w:type="gramStart"/>
      <w:r w:rsidR="00751B7B" w:rsidRPr="000D1A11">
        <w:t>0.9’dur</w:t>
      </w:r>
      <w:proofErr w:type="gramEnd"/>
      <w:r w:rsidR="00751B7B" w:rsidRPr="000D1A11">
        <w:t>.</w:t>
      </w:r>
      <w:r w:rsidR="000D1A11">
        <w:t xml:space="preserve"> </w:t>
      </w:r>
      <w:r w:rsidR="007326DA">
        <w:t>Ayrıca metan gazının</w:t>
      </w:r>
      <w:r w:rsidR="00751B7B" w:rsidRPr="000D1A11">
        <w:t>, karbondioksite göre kızıl ötesi ışınları tutma gücünün çok</w:t>
      </w:r>
      <w:r w:rsidR="000D1A11">
        <w:t xml:space="preserve"> </w:t>
      </w:r>
      <w:r w:rsidR="007326DA">
        <w:t>daha fazladır. Örnek olarak bir</w:t>
      </w:r>
      <w:r w:rsidR="00751B7B" w:rsidRPr="000D1A11">
        <w:t xml:space="preserve"> kilo metan gazı, bir kilo karbondioksitten</w:t>
      </w:r>
      <w:r w:rsidR="000D1A11">
        <w:t xml:space="preserve"> </w:t>
      </w:r>
      <w:r w:rsidR="00751B7B" w:rsidRPr="000D1A11">
        <w:t>yaklaşık 63 kat d</w:t>
      </w:r>
      <w:r w:rsidR="007326DA">
        <w:t>aha güçlü sera etkisine neden olmaktadır</w:t>
      </w:r>
      <w:r w:rsidR="00751B7B" w:rsidRPr="000D1A11">
        <w:t>.</w:t>
      </w:r>
    </w:p>
    <w:p w:rsidR="00016A0D" w:rsidRDefault="002D1A57" w:rsidP="0052615E">
      <w:pPr>
        <w:autoSpaceDE w:val="0"/>
        <w:autoSpaceDN w:val="0"/>
        <w:adjustRightInd w:val="0"/>
        <w:spacing w:before="240" w:after="240" w:line="360" w:lineRule="auto"/>
        <w:jc w:val="both"/>
      </w:pPr>
      <w:r>
        <w:rPr>
          <w:b/>
          <w:bCs/>
        </w:rPr>
        <w:t>Azoto</w:t>
      </w:r>
      <w:r w:rsidR="0044255F" w:rsidRPr="00623120">
        <w:rPr>
          <w:b/>
          <w:bCs/>
        </w:rPr>
        <w:t>ksit (N</w:t>
      </w:r>
      <w:r w:rsidR="0044255F" w:rsidRPr="00623120">
        <w:rPr>
          <w:b/>
          <w:bCs/>
          <w:vertAlign w:val="subscript"/>
        </w:rPr>
        <w:t>2</w:t>
      </w:r>
      <w:r w:rsidR="0044255F" w:rsidRPr="00623120">
        <w:rPr>
          <w:b/>
          <w:bCs/>
        </w:rPr>
        <w:t>O);</w:t>
      </w:r>
      <w:r w:rsidR="0049596D">
        <w:rPr>
          <w:b/>
          <w:bCs/>
        </w:rPr>
        <w:t xml:space="preserve"> </w:t>
      </w:r>
      <w:r w:rsidR="00A53F0B" w:rsidRPr="0049596D">
        <w:t xml:space="preserve">Bu </w:t>
      </w:r>
      <w:r w:rsidR="003463A8">
        <w:t>sera gazı</w:t>
      </w:r>
      <w:r w:rsidR="00A53F0B" w:rsidRPr="0049596D">
        <w:t>nın kaynakları egzoz gazları, fosil yakıtlar ve organik maddelerdir.</w:t>
      </w:r>
      <w:r w:rsidR="00C26B27" w:rsidRPr="00C26B27">
        <w:t xml:space="preserve"> Diazotmonoksit (N</w:t>
      </w:r>
      <w:r w:rsidR="00C26B27" w:rsidRPr="00F22EB0">
        <w:rPr>
          <w:vertAlign w:val="subscript"/>
        </w:rPr>
        <w:t>2</w:t>
      </w:r>
      <w:r w:rsidR="00C26B27" w:rsidRPr="00C26B27">
        <w:t>O) gazının yaklaşık üçte biri, tarımda gübre</w:t>
      </w:r>
      <w:r w:rsidR="00C26B27">
        <w:t xml:space="preserve"> </w:t>
      </w:r>
      <w:r w:rsidR="00C26B27" w:rsidRPr="00C26B27">
        <w:t>kullanımı veya tarım topraklarının işlenmesi gibi tarımsal faaliyetler, kimya</w:t>
      </w:r>
      <w:r w:rsidR="00C26B27">
        <w:t xml:space="preserve"> endüstrisi ve ormansızlaştırma </w:t>
      </w:r>
      <w:r w:rsidR="00C26B27" w:rsidRPr="00C26B27">
        <w:t>neticesinde meydana gelmektedir.</w:t>
      </w:r>
      <w:r w:rsidR="00C26B27">
        <w:t xml:space="preserve"> </w:t>
      </w:r>
      <w:r w:rsidR="00C26B27" w:rsidRPr="00C26B27">
        <w:t>Atmosferdeki konsantrasyonu yılda %</w:t>
      </w:r>
      <w:r w:rsidR="002B19EB">
        <w:t xml:space="preserve"> </w:t>
      </w:r>
      <w:proofErr w:type="gramStart"/>
      <w:r w:rsidR="00C26B27" w:rsidRPr="00C26B27">
        <w:t>0.8</w:t>
      </w:r>
      <w:proofErr w:type="gramEnd"/>
      <w:r w:rsidR="00C26B27" w:rsidRPr="00C26B27">
        <w:t xml:space="preserve"> artan N</w:t>
      </w:r>
      <w:r w:rsidR="00C26B27">
        <w:rPr>
          <w:vertAlign w:val="subscript"/>
        </w:rPr>
        <w:t>2</w:t>
      </w:r>
      <w:r w:rsidR="00C26B27" w:rsidRPr="00C26B27">
        <w:t>O, 1750 yılından beri %</w:t>
      </w:r>
      <w:r w:rsidR="002B19EB">
        <w:t xml:space="preserve"> </w:t>
      </w:r>
      <w:r w:rsidR="00C26B27" w:rsidRPr="00C26B27">
        <w:t>17</w:t>
      </w:r>
      <w:r w:rsidR="00C26B27">
        <w:t xml:space="preserve"> </w:t>
      </w:r>
      <w:r w:rsidR="00C26B27" w:rsidRPr="00C26B27">
        <w:t>oranında artmıştır. Küresel ısınmaya katkısı ise %</w:t>
      </w:r>
      <w:r w:rsidR="002B19EB">
        <w:t xml:space="preserve"> </w:t>
      </w:r>
      <w:r w:rsidR="00C26B27" w:rsidRPr="00C26B27">
        <w:t>6 civarındadır.</w:t>
      </w:r>
      <w:r w:rsidR="00C26B27">
        <w:t xml:space="preserve"> </w:t>
      </w:r>
      <w:r w:rsidR="00C26B27" w:rsidRPr="00C26B27">
        <w:t>Diazotmonoksidin %</w:t>
      </w:r>
      <w:r w:rsidR="002B19EB">
        <w:t xml:space="preserve"> </w:t>
      </w:r>
      <w:r w:rsidR="00C26B27" w:rsidRPr="00C26B27">
        <w:t>90’ının toprakta oluştuğu kabul edilmekte ve atmosferde</w:t>
      </w:r>
      <w:r w:rsidR="00C26B27">
        <w:t xml:space="preserve"> </w:t>
      </w:r>
      <w:r w:rsidR="00C26B27" w:rsidRPr="00C26B27">
        <w:t xml:space="preserve">parçalanmadan 170 yıl </w:t>
      </w:r>
      <w:r w:rsidR="00C26B27">
        <w:t>kalabildiği tahmin edilmektedir</w:t>
      </w:r>
      <w:r w:rsidR="002B19EB">
        <w:t xml:space="preserve"> </w:t>
      </w:r>
      <w:r w:rsidR="00C26B27">
        <w:t>(Çılgın, 2006:</w:t>
      </w:r>
      <w:r w:rsidR="00717055">
        <w:t xml:space="preserve"> </w:t>
      </w:r>
      <w:r w:rsidR="00C26B27">
        <w:t>8).</w:t>
      </w:r>
      <w:r w:rsidR="00A83427">
        <w:t xml:space="preserve"> Çizelge </w:t>
      </w:r>
      <w:proofErr w:type="gramStart"/>
      <w:r w:rsidR="00A83427">
        <w:t>1.2’de</w:t>
      </w:r>
      <w:proofErr w:type="gramEnd"/>
      <w:r w:rsidR="00A83427">
        <w:t xml:space="preserve"> </w:t>
      </w:r>
      <w:r w:rsidR="00A83427" w:rsidRPr="00C26B27">
        <w:t>N</w:t>
      </w:r>
      <w:r w:rsidR="00A83427">
        <w:rPr>
          <w:vertAlign w:val="subscript"/>
        </w:rPr>
        <w:t>2</w:t>
      </w:r>
      <w:r w:rsidR="00A83427" w:rsidRPr="00C26B27">
        <w:t>O</w:t>
      </w:r>
      <w:r w:rsidR="00A83427">
        <w:t>’nun ortalama yıllık artış oranı yüzde 17 iken atmosferde kalma süresi 120 yıldır.</w:t>
      </w:r>
    </w:p>
    <w:p w:rsidR="0002299A" w:rsidRDefault="0002299A" w:rsidP="0052615E">
      <w:pPr>
        <w:autoSpaceDE w:val="0"/>
        <w:autoSpaceDN w:val="0"/>
        <w:adjustRightInd w:val="0"/>
        <w:spacing w:before="240" w:after="240" w:line="360" w:lineRule="auto"/>
        <w:jc w:val="both"/>
      </w:pPr>
    </w:p>
    <w:p w:rsidR="0002299A" w:rsidRDefault="0002299A" w:rsidP="0052615E">
      <w:pPr>
        <w:autoSpaceDE w:val="0"/>
        <w:autoSpaceDN w:val="0"/>
        <w:adjustRightInd w:val="0"/>
        <w:spacing w:before="240" w:after="240" w:line="360" w:lineRule="auto"/>
        <w:jc w:val="both"/>
      </w:pPr>
    </w:p>
    <w:p w:rsidR="005E559A" w:rsidRDefault="00FB0E0B" w:rsidP="000D38D2">
      <w:pPr>
        <w:pStyle w:val="it6"/>
      </w:pPr>
      <w:bookmarkStart w:id="65" w:name="_Toc382295050"/>
      <w:bookmarkStart w:id="66" w:name="_Toc384716091"/>
      <w:r>
        <w:t xml:space="preserve">Çizelge </w:t>
      </w:r>
      <w:proofErr w:type="gramStart"/>
      <w:r w:rsidR="005E559A">
        <w:t>1.2</w:t>
      </w:r>
      <w:proofErr w:type="gramEnd"/>
      <w:r w:rsidR="005E559A">
        <w:t>: İnsan Faaliyetlerine Dayanan Temel Sera Gazları</w:t>
      </w:r>
      <w:bookmarkEnd w:id="65"/>
      <w:bookmarkEnd w:id="66"/>
    </w:p>
    <w:tbl>
      <w:tblPr>
        <w:tblW w:w="7950" w:type="dxa"/>
        <w:tblLayout w:type="fixed"/>
        <w:tblCellMar>
          <w:left w:w="0" w:type="dxa"/>
          <w:right w:w="0" w:type="dxa"/>
        </w:tblCellMar>
        <w:tblLook w:val="04A0" w:firstRow="1" w:lastRow="0" w:firstColumn="1" w:lastColumn="0" w:noHBand="0" w:noVBand="1"/>
      </w:tblPr>
      <w:tblGrid>
        <w:gridCol w:w="739"/>
        <w:gridCol w:w="1541"/>
        <w:gridCol w:w="1560"/>
        <w:gridCol w:w="1275"/>
        <w:gridCol w:w="1701"/>
        <w:gridCol w:w="1134"/>
      </w:tblGrid>
      <w:tr w:rsidR="005E559A" w:rsidTr="005B7834">
        <w:trPr>
          <w:trHeight w:val="630"/>
        </w:trPr>
        <w:tc>
          <w:tcPr>
            <w:tcW w:w="74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hideMark/>
          </w:tcPr>
          <w:p w:rsidR="005E559A" w:rsidRPr="00FC393C" w:rsidRDefault="005E559A" w:rsidP="009047B3">
            <w:pPr>
              <w:spacing w:before="120" w:after="120"/>
              <w:jc w:val="center"/>
              <w:rPr>
                <w:b/>
                <w:color w:val="000000"/>
                <w:sz w:val="20"/>
                <w:szCs w:val="20"/>
              </w:rPr>
            </w:pPr>
            <w:r w:rsidRPr="00FC393C">
              <w:rPr>
                <w:b/>
                <w:color w:val="000000"/>
                <w:sz w:val="20"/>
                <w:szCs w:val="20"/>
              </w:rPr>
              <w:t>Sera Gazları</w:t>
            </w:r>
          </w:p>
        </w:tc>
        <w:tc>
          <w:tcPr>
            <w:tcW w:w="1541"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hideMark/>
          </w:tcPr>
          <w:p w:rsidR="005E559A" w:rsidRPr="00FC393C" w:rsidRDefault="005E559A" w:rsidP="009047B3">
            <w:pPr>
              <w:spacing w:before="120" w:after="120"/>
              <w:jc w:val="center"/>
              <w:rPr>
                <w:b/>
                <w:color w:val="000000"/>
                <w:sz w:val="20"/>
                <w:szCs w:val="20"/>
              </w:rPr>
            </w:pPr>
            <w:r w:rsidRPr="00FC393C">
              <w:rPr>
                <w:b/>
                <w:color w:val="000000"/>
                <w:sz w:val="20"/>
                <w:szCs w:val="20"/>
              </w:rPr>
              <w:t>Küresel Isınma Potansiyeli (GWP)*</w:t>
            </w:r>
          </w:p>
        </w:tc>
        <w:tc>
          <w:tcPr>
            <w:tcW w:w="15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hideMark/>
          </w:tcPr>
          <w:p w:rsidR="005E559A" w:rsidRPr="00FC393C" w:rsidRDefault="005E559A" w:rsidP="009047B3">
            <w:pPr>
              <w:spacing w:before="120" w:after="120"/>
              <w:jc w:val="center"/>
              <w:rPr>
                <w:b/>
                <w:color w:val="000000"/>
                <w:sz w:val="20"/>
                <w:szCs w:val="20"/>
              </w:rPr>
            </w:pPr>
            <w:r w:rsidRPr="00FC393C">
              <w:rPr>
                <w:b/>
                <w:color w:val="000000"/>
                <w:sz w:val="20"/>
                <w:szCs w:val="20"/>
              </w:rPr>
              <w:t>Atmosferde Kalma Süresi (yıl)**</w:t>
            </w:r>
          </w:p>
        </w:tc>
        <w:tc>
          <w:tcPr>
            <w:tcW w:w="1275"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hideMark/>
          </w:tcPr>
          <w:p w:rsidR="005E559A" w:rsidRPr="00FC393C" w:rsidRDefault="005E559A" w:rsidP="009047B3">
            <w:pPr>
              <w:spacing w:before="120" w:after="120"/>
              <w:jc w:val="center"/>
              <w:rPr>
                <w:b/>
                <w:color w:val="000000"/>
                <w:sz w:val="20"/>
                <w:szCs w:val="20"/>
              </w:rPr>
            </w:pPr>
            <w:r w:rsidRPr="00FC393C">
              <w:rPr>
                <w:b/>
                <w:color w:val="000000"/>
                <w:sz w:val="20"/>
                <w:szCs w:val="20"/>
              </w:rPr>
              <w:t>Tarihsel Dönem</w:t>
            </w:r>
          </w:p>
        </w:tc>
        <w:tc>
          <w:tcPr>
            <w:tcW w:w="1701"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hideMark/>
          </w:tcPr>
          <w:p w:rsidR="005E559A" w:rsidRPr="00FC393C" w:rsidRDefault="005E559A" w:rsidP="009047B3">
            <w:pPr>
              <w:spacing w:before="120" w:after="120"/>
              <w:jc w:val="center"/>
              <w:rPr>
                <w:b/>
                <w:color w:val="000000"/>
                <w:sz w:val="20"/>
                <w:szCs w:val="20"/>
              </w:rPr>
            </w:pPr>
            <w:r w:rsidRPr="00FC393C">
              <w:rPr>
                <w:b/>
                <w:color w:val="000000"/>
                <w:sz w:val="20"/>
                <w:szCs w:val="20"/>
              </w:rPr>
              <w:t>Atmosferdeki Konsanrasyonlar</w:t>
            </w:r>
          </w:p>
        </w:tc>
        <w:tc>
          <w:tcPr>
            <w:tcW w:w="1134"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hideMark/>
          </w:tcPr>
          <w:p w:rsidR="005E559A" w:rsidRPr="00FC393C" w:rsidRDefault="005E559A" w:rsidP="009047B3">
            <w:pPr>
              <w:spacing w:before="120" w:after="120"/>
              <w:jc w:val="center"/>
              <w:rPr>
                <w:b/>
                <w:color w:val="000000"/>
                <w:sz w:val="20"/>
                <w:szCs w:val="20"/>
              </w:rPr>
            </w:pPr>
            <w:r w:rsidRPr="00FC393C">
              <w:rPr>
                <w:b/>
                <w:color w:val="000000"/>
                <w:sz w:val="20"/>
                <w:szCs w:val="20"/>
              </w:rPr>
              <w:t>Ortalama Yıllık Artış Oranı</w:t>
            </w:r>
          </w:p>
        </w:tc>
      </w:tr>
      <w:tr w:rsidR="005E559A" w:rsidTr="005B7834">
        <w:trPr>
          <w:trHeight w:val="315"/>
        </w:trPr>
        <w:tc>
          <w:tcPr>
            <w:tcW w:w="74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CO</w:t>
            </w:r>
            <w:r w:rsidRPr="00FC393C">
              <w:rPr>
                <w:color w:val="000000"/>
                <w:sz w:val="20"/>
                <w:szCs w:val="20"/>
                <w:vertAlign w:val="subscript"/>
              </w:rPr>
              <w:t>2</w:t>
            </w:r>
          </w:p>
        </w:tc>
        <w:tc>
          <w:tcPr>
            <w:tcW w:w="1541"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1</w:t>
            </w:r>
          </w:p>
        </w:tc>
        <w:tc>
          <w:tcPr>
            <w:tcW w:w="156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50</w:t>
            </w:r>
            <w:r w:rsidR="00197C87">
              <w:rPr>
                <w:color w:val="000000"/>
                <w:sz w:val="20"/>
                <w:szCs w:val="20"/>
              </w:rPr>
              <w:t xml:space="preserve"> </w:t>
            </w:r>
            <w:r w:rsidRPr="00FC393C">
              <w:rPr>
                <w:color w:val="000000"/>
                <w:sz w:val="20"/>
                <w:szCs w:val="20"/>
              </w:rPr>
              <w:t>-</w:t>
            </w:r>
            <w:r w:rsidR="00197C87">
              <w:rPr>
                <w:color w:val="000000"/>
                <w:sz w:val="20"/>
                <w:szCs w:val="20"/>
              </w:rPr>
              <w:t xml:space="preserve"> </w:t>
            </w:r>
            <w:r w:rsidRPr="00FC393C">
              <w:rPr>
                <w:color w:val="000000"/>
                <w:sz w:val="20"/>
                <w:szCs w:val="20"/>
              </w:rPr>
              <w:t>200</w:t>
            </w:r>
          </w:p>
        </w:tc>
        <w:tc>
          <w:tcPr>
            <w:tcW w:w="1275" w:type="dxa"/>
            <w:tcBorders>
              <w:top w:val="nil"/>
              <w:left w:val="nil"/>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1000-1750</w:t>
            </w:r>
          </w:p>
        </w:tc>
        <w:tc>
          <w:tcPr>
            <w:tcW w:w="1701" w:type="dxa"/>
            <w:tcBorders>
              <w:top w:val="nil"/>
              <w:left w:val="nil"/>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280 ppm</w:t>
            </w:r>
          </w:p>
        </w:tc>
        <w:tc>
          <w:tcPr>
            <w:tcW w:w="1134"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31%</w:t>
            </w:r>
          </w:p>
        </w:tc>
      </w:tr>
      <w:tr w:rsidR="005E559A" w:rsidTr="005B7834">
        <w:trPr>
          <w:trHeight w:val="315"/>
        </w:trPr>
        <w:tc>
          <w:tcPr>
            <w:tcW w:w="740" w:type="dxa"/>
            <w:vMerge/>
            <w:tcBorders>
              <w:top w:val="nil"/>
              <w:left w:val="single" w:sz="4" w:space="0" w:color="auto"/>
              <w:bottom w:val="single" w:sz="4" w:space="0" w:color="auto"/>
              <w:right w:val="single" w:sz="4" w:space="0" w:color="auto"/>
            </w:tcBorders>
            <w:vAlign w:val="center"/>
            <w:hideMark/>
          </w:tcPr>
          <w:p w:rsidR="005E559A" w:rsidRPr="00FC393C" w:rsidRDefault="005E559A" w:rsidP="009047B3">
            <w:pPr>
              <w:spacing w:before="120" w:after="120"/>
              <w:jc w:val="center"/>
              <w:rPr>
                <w:color w:val="000000"/>
                <w:sz w:val="20"/>
                <w:szCs w:val="20"/>
              </w:rPr>
            </w:pPr>
          </w:p>
        </w:tc>
        <w:tc>
          <w:tcPr>
            <w:tcW w:w="1541" w:type="dxa"/>
            <w:vMerge/>
            <w:tcBorders>
              <w:top w:val="nil"/>
              <w:left w:val="single" w:sz="4" w:space="0" w:color="auto"/>
              <w:bottom w:val="single" w:sz="4" w:space="0" w:color="auto"/>
              <w:right w:val="single" w:sz="4" w:space="0" w:color="auto"/>
            </w:tcBorders>
            <w:vAlign w:val="center"/>
            <w:hideMark/>
          </w:tcPr>
          <w:p w:rsidR="005E559A" w:rsidRPr="00FC393C" w:rsidRDefault="005E559A" w:rsidP="009047B3">
            <w:pPr>
              <w:spacing w:before="120" w:after="120"/>
              <w:jc w:val="center"/>
              <w:rPr>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5E559A" w:rsidRPr="00FC393C" w:rsidRDefault="005E559A" w:rsidP="009047B3">
            <w:pPr>
              <w:spacing w:before="120" w:after="120"/>
              <w:jc w:val="center"/>
              <w:rPr>
                <w:color w:val="000000"/>
                <w:sz w:val="20"/>
                <w:szCs w:val="20"/>
              </w:rPr>
            </w:pPr>
          </w:p>
        </w:tc>
        <w:tc>
          <w:tcPr>
            <w:tcW w:w="1275" w:type="dxa"/>
            <w:tcBorders>
              <w:top w:val="nil"/>
              <w:left w:val="nil"/>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1750-2000</w:t>
            </w:r>
          </w:p>
        </w:tc>
        <w:tc>
          <w:tcPr>
            <w:tcW w:w="1701" w:type="dxa"/>
            <w:tcBorders>
              <w:top w:val="nil"/>
              <w:left w:val="nil"/>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368 ppm</w:t>
            </w:r>
          </w:p>
        </w:tc>
        <w:tc>
          <w:tcPr>
            <w:tcW w:w="1134" w:type="dxa"/>
            <w:vMerge/>
            <w:tcBorders>
              <w:top w:val="nil"/>
              <w:left w:val="single" w:sz="4" w:space="0" w:color="auto"/>
              <w:bottom w:val="single" w:sz="4" w:space="0" w:color="000000"/>
              <w:right w:val="single" w:sz="4" w:space="0" w:color="auto"/>
            </w:tcBorders>
            <w:vAlign w:val="center"/>
            <w:hideMark/>
          </w:tcPr>
          <w:p w:rsidR="005E559A" w:rsidRPr="00FC393C" w:rsidRDefault="005E559A" w:rsidP="009047B3">
            <w:pPr>
              <w:spacing w:before="120" w:after="120"/>
              <w:jc w:val="center"/>
              <w:rPr>
                <w:color w:val="000000"/>
                <w:sz w:val="20"/>
                <w:szCs w:val="20"/>
              </w:rPr>
            </w:pPr>
          </w:p>
        </w:tc>
      </w:tr>
      <w:tr w:rsidR="005E559A" w:rsidTr="005B7834">
        <w:trPr>
          <w:trHeight w:val="315"/>
        </w:trPr>
        <w:tc>
          <w:tcPr>
            <w:tcW w:w="74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CH</w:t>
            </w:r>
            <w:r w:rsidRPr="00FC393C">
              <w:rPr>
                <w:color w:val="000000"/>
                <w:sz w:val="20"/>
                <w:szCs w:val="20"/>
                <w:vertAlign w:val="subscript"/>
              </w:rPr>
              <w:t>4</w:t>
            </w:r>
          </w:p>
        </w:tc>
        <w:tc>
          <w:tcPr>
            <w:tcW w:w="1541"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21</w:t>
            </w:r>
          </w:p>
        </w:tc>
        <w:tc>
          <w:tcPr>
            <w:tcW w:w="156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12</w:t>
            </w:r>
          </w:p>
        </w:tc>
        <w:tc>
          <w:tcPr>
            <w:tcW w:w="1275" w:type="dxa"/>
            <w:tcBorders>
              <w:top w:val="nil"/>
              <w:left w:val="nil"/>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1000-1750</w:t>
            </w:r>
          </w:p>
        </w:tc>
        <w:tc>
          <w:tcPr>
            <w:tcW w:w="1701" w:type="dxa"/>
            <w:tcBorders>
              <w:top w:val="nil"/>
              <w:left w:val="nil"/>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700 ppm</w:t>
            </w:r>
          </w:p>
        </w:tc>
        <w:tc>
          <w:tcPr>
            <w:tcW w:w="1134"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150%</w:t>
            </w:r>
          </w:p>
        </w:tc>
      </w:tr>
      <w:tr w:rsidR="005E559A" w:rsidTr="005B7834">
        <w:trPr>
          <w:trHeight w:val="315"/>
        </w:trPr>
        <w:tc>
          <w:tcPr>
            <w:tcW w:w="740" w:type="dxa"/>
            <w:vMerge/>
            <w:tcBorders>
              <w:top w:val="nil"/>
              <w:left w:val="single" w:sz="4" w:space="0" w:color="auto"/>
              <w:bottom w:val="single" w:sz="4" w:space="0" w:color="auto"/>
              <w:right w:val="single" w:sz="4" w:space="0" w:color="auto"/>
            </w:tcBorders>
            <w:vAlign w:val="center"/>
            <w:hideMark/>
          </w:tcPr>
          <w:p w:rsidR="005E559A" w:rsidRPr="00FC393C" w:rsidRDefault="005E559A" w:rsidP="009047B3">
            <w:pPr>
              <w:spacing w:before="120" w:after="120"/>
              <w:jc w:val="center"/>
              <w:rPr>
                <w:color w:val="000000"/>
                <w:sz w:val="20"/>
                <w:szCs w:val="20"/>
              </w:rPr>
            </w:pPr>
          </w:p>
        </w:tc>
        <w:tc>
          <w:tcPr>
            <w:tcW w:w="1541" w:type="dxa"/>
            <w:vMerge/>
            <w:tcBorders>
              <w:top w:val="nil"/>
              <w:left w:val="single" w:sz="4" w:space="0" w:color="auto"/>
              <w:bottom w:val="single" w:sz="4" w:space="0" w:color="auto"/>
              <w:right w:val="single" w:sz="4" w:space="0" w:color="auto"/>
            </w:tcBorders>
            <w:vAlign w:val="center"/>
            <w:hideMark/>
          </w:tcPr>
          <w:p w:rsidR="005E559A" w:rsidRPr="00FC393C" w:rsidRDefault="005E559A" w:rsidP="009047B3">
            <w:pPr>
              <w:spacing w:before="120" w:after="120"/>
              <w:jc w:val="center"/>
              <w:rPr>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5E559A" w:rsidRPr="00FC393C" w:rsidRDefault="005E559A" w:rsidP="009047B3">
            <w:pPr>
              <w:spacing w:before="120" w:after="120"/>
              <w:jc w:val="center"/>
              <w:rPr>
                <w:color w:val="000000"/>
                <w:sz w:val="20"/>
                <w:szCs w:val="20"/>
              </w:rPr>
            </w:pPr>
          </w:p>
        </w:tc>
        <w:tc>
          <w:tcPr>
            <w:tcW w:w="1275" w:type="dxa"/>
            <w:tcBorders>
              <w:top w:val="nil"/>
              <w:left w:val="nil"/>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1750-2000</w:t>
            </w:r>
          </w:p>
        </w:tc>
        <w:tc>
          <w:tcPr>
            <w:tcW w:w="1701" w:type="dxa"/>
            <w:tcBorders>
              <w:top w:val="nil"/>
              <w:left w:val="nil"/>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1750 ppm</w:t>
            </w:r>
          </w:p>
        </w:tc>
        <w:tc>
          <w:tcPr>
            <w:tcW w:w="1134" w:type="dxa"/>
            <w:vMerge/>
            <w:tcBorders>
              <w:top w:val="nil"/>
              <w:left w:val="single" w:sz="4" w:space="0" w:color="auto"/>
              <w:bottom w:val="single" w:sz="4" w:space="0" w:color="000000"/>
              <w:right w:val="single" w:sz="4" w:space="0" w:color="auto"/>
            </w:tcBorders>
            <w:vAlign w:val="center"/>
            <w:hideMark/>
          </w:tcPr>
          <w:p w:rsidR="005E559A" w:rsidRPr="00FC393C" w:rsidRDefault="005E559A" w:rsidP="009047B3">
            <w:pPr>
              <w:spacing w:before="120" w:after="120"/>
              <w:jc w:val="center"/>
              <w:rPr>
                <w:color w:val="000000"/>
                <w:sz w:val="20"/>
                <w:szCs w:val="20"/>
              </w:rPr>
            </w:pPr>
          </w:p>
        </w:tc>
      </w:tr>
      <w:tr w:rsidR="005E559A" w:rsidTr="005B7834">
        <w:trPr>
          <w:trHeight w:val="315"/>
        </w:trPr>
        <w:tc>
          <w:tcPr>
            <w:tcW w:w="74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N</w:t>
            </w:r>
            <w:r w:rsidRPr="00FC393C">
              <w:rPr>
                <w:color w:val="000000"/>
                <w:sz w:val="20"/>
                <w:szCs w:val="20"/>
                <w:vertAlign w:val="subscript"/>
              </w:rPr>
              <w:t>2</w:t>
            </w:r>
            <w:r w:rsidRPr="00FC393C">
              <w:rPr>
                <w:color w:val="000000"/>
                <w:sz w:val="20"/>
                <w:szCs w:val="20"/>
              </w:rPr>
              <w:t>O</w:t>
            </w:r>
          </w:p>
        </w:tc>
        <w:tc>
          <w:tcPr>
            <w:tcW w:w="1541"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310</w:t>
            </w:r>
          </w:p>
        </w:tc>
        <w:tc>
          <w:tcPr>
            <w:tcW w:w="156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120</w:t>
            </w:r>
          </w:p>
        </w:tc>
        <w:tc>
          <w:tcPr>
            <w:tcW w:w="1275" w:type="dxa"/>
            <w:tcBorders>
              <w:top w:val="nil"/>
              <w:left w:val="nil"/>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1000-1750</w:t>
            </w:r>
          </w:p>
        </w:tc>
        <w:tc>
          <w:tcPr>
            <w:tcW w:w="1701" w:type="dxa"/>
            <w:tcBorders>
              <w:top w:val="nil"/>
              <w:left w:val="nil"/>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270 ppm</w:t>
            </w:r>
          </w:p>
        </w:tc>
        <w:tc>
          <w:tcPr>
            <w:tcW w:w="1134"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17%</w:t>
            </w:r>
          </w:p>
        </w:tc>
      </w:tr>
      <w:tr w:rsidR="005E559A" w:rsidTr="005B7834">
        <w:trPr>
          <w:trHeight w:val="315"/>
        </w:trPr>
        <w:tc>
          <w:tcPr>
            <w:tcW w:w="740" w:type="dxa"/>
            <w:vMerge/>
            <w:tcBorders>
              <w:top w:val="nil"/>
              <w:left w:val="single" w:sz="4" w:space="0" w:color="auto"/>
              <w:bottom w:val="single" w:sz="4" w:space="0" w:color="auto"/>
              <w:right w:val="single" w:sz="4" w:space="0" w:color="auto"/>
            </w:tcBorders>
            <w:vAlign w:val="center"/>
            <w:hideMark/>
          </w:tcPr>
          <w:p w:rsidR="005E559A" w:rsidRPr="00FC393C" w:rsidRDefault="005E559A" w:rsidP="009047B3">
            <w:pPr>
              <w:spacing w:before="120" w:after="120"/>
              <w:jc w:val="center"/>
              <w:rPr>
                <w:color w:val="000000"/>
                <w:sz w:val="20"/>
                <w:szCs w:val="20"/>
              </w:rPr>
            </w:pPr>
          </w:p>
        </w:tc>
        <w:tc>
          <w:tcPr>
            <w:tcW w:w="1541" w:type="dxa"/>
            <w:vMerge/>
            <w:tcBorders>
              <w:top w:val="nil"/>
              <w:left w:val="single" w:sz="4" w:space="0" w:color="auto"/>
              <w:bottom w:val="single" w:sz="4" w:space="0" w:color="auto"/>
              <w:right w:val="single" w:sz="4" w:space="0" w:color="auto"/>
            </w:tcBorders>
            <w:vAlign w:val="center"/>
            <w:hideMark/>
          </w:tcPr>
          <w:p w:rsidR="005E559A" w:rsidRPr="00FC393C" w:rsidRDefault="005E559A" w:rsidP="009047B3">
            <w:pPr>
              <w:spacing w:before="120" w:after="120"/>
              <w:jc w:val="center"/>
              <w:rPr>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5E559A" w:rsidRPr="00FC393C" w:rsidRDefault="005E559A" w:rsidP="009047B3">
            <w:pPr>
              <w:spacing w:before="120" w:after="120"/>
              <w:jc w:val="center"/>
              <w:rPr>
                <w:color w:val="000000"/>
                <w:sz w:val="20"/>
                <w:szCs w:val="20"/>
              </w:rPr>
            </w:pPr>
          </w:p>
        </w:tc>
        <w:tc>
          <w:tcPr>
            <w:tcW w:w="1275" w:type="dxa"/>
            <w:tcBorders>
              <w:top w:val="nil"/>
              <w:left w:val="nil"/>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1750-2000</w:t>
            </w:r>
          </w:p>
        </w:tc>
        <w:tc>
          <w:tcPr>
            <w:tcW w:w="1701" w:type="dxa"/>
            <w:tcBorders>
              <w:top w:val="nil"/>
              <w:left w:val="nil"/>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316 ppm</w:t>
            </w:r>
          </w:p>
        </w:tc>
        <w:tc>
          <w:tcPr>
            <w:tcW w:w="1134" w:type="dxa"/>
            <w:vMerge/>
            <w:tcBorders>
              <w:top w:val="nil"/>
              <w:left w:val="single" w:sz="4" w:space="0" w:color="auto"/>
              <w:bottom w:val="single" w:sz="4" w:space="0" w:color="000000"/>
              <w:right w:val="single" w:sz="4" w:space="0" w:color="auto"/>
            </w:tcBorders>
            <w:vAlign w:val="center"/>
            <w:hideMark/>
          </w:tcPr>
          <w:p w:rsidR="005E559A" w:rsidRPr="00FC393C" w:rsidRDefault="005E559A" w:rsidP="009047B3">
            <w:pPr>
              <w:spacing w:before="120" w:after="120"/>
              <w:jc w:val="center"/>
              <w:rPr>
                <w:color w:val="000000"/>
                <w:sz w:val="20"/>
                <w:szCs w:val="20"/>
              </w:rPr>
            </w:pPr>
          </w:p>
        </w:tc>
      </w:tr>
      <w:tr w:rsidR="005E559A" w:rsidTr="005B7834">
        <w:trPr>
          <w:trHeight w:val="375"/>
        </w:trPr>
        <w:tc>
          <w:tcPr>
            <w:tcW w:w="7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HFC</w:t>
            </w:r>
            <w:r w:rsidRPr="00FC393C">
              <w:rPr>
                <w:color w:val="000000"/>
                <w:sz w:val="20"/>
                <w:szCs w:val="20"/>
                <w:vertAlign w:val="subscript"/>
              </w:rPr>
              <w:t>s</w:t>
            </w:r>
          </w:p>
        </w:tc>
        <w:tc>
          <w:tcPr>
            <w:tcW w:w="1541"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140</w:t>
            </w:r>
            <w:r w:rsidR="00197C87">
              <w:rPr>
                <w:color w:val="000000"/>
                <w:sz w:val="20"/>
                <w:szCs w:val="20"/>
              </w:rPr>
              <w:t xml:space="preserve"> </w:t>
            </w:r>
            <w:r w:rsidRPr="00FC393C">
              <w:rPr>
                <w:color w:val="000000"/>
                <w:sz w:val="20"/>
                <w:szCs w:val="20"/>
              </w:rPr>
              <w:t>-</w:t>
            </w:r>
            <w:r w:rsidR="00197C87">
              <w:rPr>
                <w:color w:val="000000"/>
                <w:sz w:val="20"/>
                <w:szCs w:val="20"/>
              </w:rPr>
              <w:t xml:space="preserve"> </w:t>
            </w:r>
            <w:r w:rsidRPr="00FC393C">
              <w:rPr>
                <w:color w:val="000000"/>
                <w:sz w:val="20"/>
                <w:szCs w:val="20"/>
              </w:rPr>
              <w:t>12.000</w:t>
            </w:r>
          </w:p>
        </w:tc>
        <w:tc>
          <w:tcPr>
            <w:tcW w:w="1560"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2</w:t>
            </w:r>
            <w:r w:rsidR="00197C87">
              <w:rPr>
                <w:color w:val="000000"/>
                <w:sz w:val="20"/>
                <w:szCs w:val="20"/>
              </w:rPr>
              <w:t xml:space="preserve"> </w:t>
            </w:r>
            <w:r w:rsidRPr="00FC393C">
              <w:rPr>
                <w:color w:val="000000"/>
                <w:sz w:val="20"/>
                <w:szCs w:val="20"/>
              </w:rPr>
              <w:t>-</w:t>
            </w:r>
            <w:r w:rsidR="00197C87">
              <w:rPr>
                <w:color w:val="000000"/>
                <w:sz w:val="20"/>
                <w:szCs w:val="20"/>
              </w:rPr>
              <w:t xml:space="preserve"> </w:t>
            </w:r>
            <w:r w:rsidRPr="00FC393C">
              <w:rPr>
                <w:color w:val="000000"/>
                <w:sz w:val="20"/>
                <w:szCs w:val="20"/>
              </w:rPr>
              <w:t>50.000</w:t>
            </w:r>
          </w:p>
        </w:tc>
        <w:tc>
          <w:tcPr>
            <w:tcW w:w="4110" w:type="dxa"/>
            <w:gridSpan w:val="3"/>
            <w:vMerge w:val="restart"/>
            <w:tcBorders>
              <w:top w:val="single" w:sz="4" w:space="0" w:color="auto"/>
              <w:left w:val="single" w:sz="4" w:space="0" w:color="auto"/>
              <w:bottom w:val="single" w:sz="4" w:space="0" w:color="auto"/>
              <w:right w:val="single" w:sz="4" w:space="0" w:color="000000"/>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Son 50 yılda tüm dünyada arttı.</w:t>
            </w:r>
          </w:p>
        </w:tc>
      </w:tr>
      <w:tr w:rsidR="005E559A" w:rsidTr="005B7834">
        <w:trPr>
          <w:trHeight w:val="375"/>
        </w:trPr>
        <w:tc>
          <w:tcPr>
            <w:tcW w:w="7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PFC</w:t>
            </w:r>
            <w:r w:rsidRPr="00FC393C">
              <w:rPr>
                <w:color w:val="000000"/>
                <w:sz w:val="20"/>
                <w:szCs w:val="20"/>
                <w:vertAlign w:val="subscript"/>
              </w:rPr>
              <w:t>s</w:t>
            </w:r>
          </w:p>
        </w:tc>
        <w:tc>
          <w:tcPr>
            <w:tcW w:w="1541" w:type="dxa"/>
            <w:vMerge/>
            <w:tcBorders>
              <w:top w:val="nil"/>
              <w:left w:val="single" w:sz="4" w:space="0" w:color="auto"/>
              <w:bottom w:val="single" w:sz="4" w:space="0" w:color="000000"/>
              <w:right w:val="single" w:sz="4" w:space="0" w:color="auto"/>
            </w:tcBorders>
            <w:vAlign w:val="center"/>
            <w:hideMark/>
          </w:tcPr>
          <w:p w:rsidR="005E559A" w:rsidRPr="00FC393C" w:rsidRDefault="005E559A" w:rsidP="009047B3">
            <w:pPr>
              <w:spacing w:before="120" w:after="120"/>
              <w:jc w:val="center"/>
              <w:rPr>
                <w:color w:val="000000"/>
                <w:sz w:val="20"/>
                <w:szCs w:val="20"/>
              </w:rPr>
            </w:pPr>
          </w:p>
        </w:tc>
        <w:tc>
          <w:tcPr>
            <w:tcW w:w="1560" w:type="dxa"/>
            <w:vMerge/>
            <w:tcBorders>
              <w:top w:val="nil"/>
              <w:left w:val="single" w:sz="4" w:space="0" w:color="auto"/>
              <w:bottom w:val="single" w:sz="4" w:space="0" w:color="000000"/>
              <w:right w:val="single" w:sz="4" w:space="0" w:color="auto"/>
            </w:tcBorders>
            <w:vAlign w:val="center"/>
            <w:hideMark/>
          </w:tcPr>
          <w:p w:rsidR="005E559A" w:rsidRPr="00FC393C" w:rsidRDefault="005E559A" w:rsidP="009047B3">
            <w:pPr>
              <w:spacing w:before="120" w:after="120"/>
              <w:jc w:val="center"/>
              <w:rPr>
                <w:color w:val="000000"/>
                <w:sz w:val="20"/>
                <w:szCs w:val="20"/>
              </w:rPr>
            </w:pPr>
          </w:p>
        </w:tc>
        <w:tc>
          <w:tcPr>
            <w:tcW w:w="6945" w:type="dxa"/>
            <w:gridSpan w:val="3"/>
            <w:vMerge/>
            <w:tcBorders>
              <w:top w:val="single" w:sz="4" w:space="0" w:color="auto"/>
              <w:left w:val="single" w:sz="4" w:space="0" w:color="auto"/>
              <w:bottom w:val="single" w:sz="4" w:space="0" w:color="auto"/>
              <w:right w:val="single" w:sz="4" w:space="0" w:color="000000"/>
            </w:tcBorders>
            <w:vAlign w:val="center"/>
            <w:hideMark/>
          </w:tcPr>
          <w:p w:rsidR="005E559A" w:rsidRDefault="005E559A" w:rsidP="009047B3">
            <w:pPr>
              <w:spacing w:before="120" w:after="120"/>
              <w:rPr>
                <w:color w:val="000000"/>
              </w:rPr>
            </w:pPr>
          </w:p>
        </w:tc>
      </w:tr>
      <w:tr w:rsidR="005E559A" w:rsidTr="005B7834">
        <w:trPr>
          <w:trHeight w:val="375"/>
        </w:trPr>
        <w:tc>
          <w:tcPr>
            <w:tcW w:w="7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SF</w:t>
            </w:r>
            <w:r w:rsidRPr="00FC393C">
              <w:rPr>
                <w:color w:val="000000"/>
                <w:sz w:val="20"/>
                <w:szCs w:val="20"/>
                <w:vertAlign w:val="subscript"/>
              </w:rPr>
              <w:t>6</w:t>
            </w:r>
          </w:p>
        </w:tc>
        <w:tc>
          <w:tcPr>
            <w:tcW w:w="1541" w:type="dxa"/>
            <w:tcBorders>
              <w:top w:val="nil"/>
              <w:left w:val="nil"/>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23.900</w:t>
            </w:r>
          </w:p>
        </w:tc>
        <w:tc>
          <w:tcPr>
            <w:tcW w:w="1560" w:type="dxa"/>
            <w:tcBorders>
              <w:top w:val="nil"/>
              <w:left w:val="nil"/>
              <w:bottom w:val="single" w:sz="4" w:space="0" w:color="auto"/>
              <w:right w:val="single" w:sz="4" w:space="0" w:color="auto"/>
            </w:tcBorders>
            <w:noWrap/>
            <w:tcMar>
              <w:top w:w="13" w:type="dxa"/>
              <w:left w:w="13" w:type="dxa"/>
              <w:bottom w:w="0" w:type="dxa"/>
              <w:right w:w="13" w:type="dxa"/>
            </w:tcMar>
            <w:vAlign w:val="center"/>
            <w:hideMark/>
          </w:tcPr>
          <w:p w:rsidR="005E559A" w:rsidRPr="00FC393C" w:rsidRDefault="005E559A" w:rsidP="009047B3">
            <w:pPr>
              <w:spacing w:before="120" w:after="120"/>
              <w:jc w:val="center"/>
              <w:rPr>
                <w:color w:val="000000"/>
                <w:sz w:val="20"/>
                <w:szCs w:val="20"/>
              </w:rPr>
            </w:pPr>
            <w:r w:rsidRPr="00FC393C">
              <w:rPr>
                <w:color w:val="000000"/>
                <w:sz w:val="20"/>
                <w:szCs w:val="20"/>
              </w:rPr>
              <w:t>3.200</w:t>
            </w:r>
          </w:p>
        </w:tc>
        <w:tc>
          <w:tcPr>
            <w:tcW w:w="6945" w:type="dxa"/>
            <w:gridSpan w:val="3"/>
            <w:vMerge/>
            <w:tcBorders>
              <w:top w:val="nil"/>
              <w:left w:val="nil"/>
              <w:bottom w:val="single" w:sz="4" w:space="0" w:color="auto"/>
              <w:right w:val="single" w:sz="4" w:space="0" w:color="auto"/>
            </w:tcBorders>
            <w:vAlign w:val="center"/>
            <w:hideMark/>
          </w:tcPr>
          <w:p w:rsidR="005E559A" w:rsidRDefault="005E559A" w:rsidP="009047B3">
            <w:pPr>
              <w:spacing w:before="120" w:after="120"/>
              <w:rPr>
                <w:color w:val="000000"/>
              </w:rPr>
            </w:pPr>
          </w:p>
        </w:tc>
      </w:tr>
    </w:tbl>
    <w:p w:rsidR="005E559A" w:rsidRDefault="005E559A" w:rsidP="009047B3">
      <w:pPr>
        <w:autoSpaceDE w:val="0"/>
        <w:autoSpaceDN w:val="0"/>
        <w:adjustRightInd w:val="0"/>
        <w:spacing w:before="120" w:after="120"/>
        <w:rPr>
          <w:sz w:val="20"/>
          <w:szCs w:val="20"/>
        </w:rPr>
      </w:pPr>
      <w:r>
        <w:rPr>
          <w:b/>
          <w:sz w:val="20"/>
          <w:szCs w:val="20"/>
        </w:rPr>
        <w:t>Kaynak:</w:t>
      </w:r>
      <w:r>
        <w:rPr>
          <w:sz w:val="20"/>
          <w:szCs w:val="20"/>
        </w:rPr>
        <w:t xml:space="preserve"> Çılgın</w:t>
      </w:r>
      <w:r w:rsidR="00717055">
        <w:rPr>
          <w:sz w:val="20"/>
          <w:szCs w:val="20"/>
        </w:rPr>
        <w:t>,</w:t>
      </w:r>
      <w:r>
        <w:rPr>
          <w:sz w:val="20"/>
          <w:szCs w:val="20"/>
        </w:rPr>
        <w:t xml:space="preserve"> 2006:</w:t>
      </w:r>
      <w:r w:rsidR="00BD3141">
        <w:rPr>
          <w:sz w:val="20"/>
          <w:szCs w:val="20"/>
        </w:rPr>
        <w:t xml:space="preserve"> </w:t>
      </w:r>
      <w:r>
        <w:rPr>
          <w:sz w:val="20"/>
          <w:szCs w:val="20"/>
        </w:rPr>
        <w:t>7</w:t>
      </w:r>
    </w:p>
    <w:p w:rsidR="005E559A" w:rsidRDefault="005E559A" w:rsidP="0052615E">
      <w:pPr>
        <w:autoSpaceDE w:val="0"/>
        <w:autoSpaceDN w:val="0"/>
        <w:adjustRightInd w:val="0"/>
        <w:jc w:val="both"/>
        <w:rPr>
          <w:sz w:val="20"/>
          <w:szCs w:val="20"/>
        </w:rPr>
      </w:pPr>
      <w:r>
        <w:rPr>
          <w:sz w:val="20"/>
          <w:szCs w:val="20"/>
        </w:rPr>
        <w:t>* IPCC’nin tanımına göre, GWP, bir maddenin, verili zaman süresi içinde (Kyoto Protokolü’nde bu süre 100 yıldır) karbondioksitin etkisinin 1 birim olarak değerlendirildiğinde, atmosferde yol açtığı göreceli ısınma etkisinin değeridir. Örnek olarak, metan gazı için hesaplanan GWP değeri 21’dir.</w:t>
      </w:r>
    </w:p>
    <w:p w:rsidR="00A53F0B" w:rsidRPr="009903FC" w:rsidRDefault="002B19EB" w:rsidP="0052615E">
      <w:pPr>
        <w:autoSpaceDE w:val="0"/>
        <w:autoSpaceDN w:val="0"/>
        <w:adjustRightInd w:val="0"/>
        <w:jc w:val="both"/>
        <w:rPr>
          <w:sz w:val="20"/>
          <w:szCs w:val="20"/>
        </w:rPr>
      </w:pPr>
      <w:r>
        <w:rPr>
          <w:sz w:val="20"/>
          <w:szCs w:val="20"/>
        </w:rPr>
        <w:t>** Mevcut sera</w:t>
      </w:r>
      <w:r w:rsidR="009B4CCB">
        <w:rPr>
          <w:sz w:val="20"/>
          <w:szCs w:val="20"/>
        </w:rPr>
        <w:t xml:space="preserve"> </w:t>
      </w:r>
      <w:r w:rsidR="005E559A">
        <w:rPr>
          <w:sz w:val="20"/>
          <w:szCs w:val="20"/>
        </w:rPr>
        <w:t xml:space="preserve">gazlarının üretimine hemen bugün son verilse bile, bu gazların neden olduğu sera etkisi daha uzun yıllar devam edecektir. Çünkü her </w:t>
      </w:r>
      <w:r w:rsidR="003463A8">
        <w:rPr>
          <w:sz w:val="20"/>
          <w:szCs w:val="20"/>
        </w:rPr>
        <w:t>sera gazı</w:t>
      </w:r>
      <w:r w:rsidR="005E559A">
        <w:rPr>
          <w:sz w:val="20"/>
          <w:szCs w:val="20"/>
        </w:rPr>
        <w:t>nın belli bir atmosferik ömrü vardır.</w:t>
      </w:r>
    </w:p>
    <w:p w:rsidR="0044255F" w:rsidRDefault="0044255F" w:rsidP="0052615E">
      <w:pPr>
        <w:pStyle w:val="GvdeMetniGirintisi"/>
        <w:spacing w:before="240" w:after="240"/>
        <w:ind w:firstLine="0"/>
      </w:pPr>
      <w:bookmarkStart w:id="67" w:name="OLE_LINK67"/>
      <w:bookmarkStart w:id="68" w:name="OLE_LINK68"/>
      <w:bookmarkStart w:id="69" w:name="OLE_LINK63"/>
      <w:bookmarkStart w:id="70" w:name="OLE_LINK64"/>
      <w:r w:rsidRPr="00623120">
        <w:rPr>
          <w:b/>
          <w:bCs/>
        </w:rPr>
        <w:t>Perflorakarbon</w:t>
      </w:r>
      <w:bookmarkEnd w:id="67"/>
      <w:bookmarkEnd w:id="68"/>
      <w:r w:rsidRPr="00623120">
        <w:rPr>
          <w:b/>
          <w:bCs/>
        </w:rPr>
        <w:t xml:space="preserve"> (PFCs);</w:t>
      </w:r>
      <w:r w:rsidR="00C97B04">
        <w:rPr>
          <w:b/>
          <w:bCs/>
        </w:rPr>
        <w:t xml:space="preserve"> </w:t>
      </w:r>
      <w:r w:rsidR="0095750B" w:rsidRPr="00016A0D">
        <w:rPr>
          <w:bCs/>
        </w:rPr>
        <w:t>sera gazlarının içerisinde ağırlığı çok az olan ama uzun süre atmosferde kalan bir gazdır. F</w:t>
      </w:r>
      <w:r w:rsidR="0095750B" w:rsidRPr="00016A0D">
        <w:t>lorlu</w:t>
      </w:r>
      <w:r w:rsidR="0095750B" w:rsidRPr="008F2B74">
        <w:t xml:space="preserve"> gazlar olarak adlandırılan hidroflorokarbonlar (HFCs),</w:t>
      </w:r>
      <w:r w:rsidR="0095750B">
        <w:t xml:space="preserve"> </w:t>
      </w:r>
      <w:r w:rsidR="0095750B" w:rsidRPr="008F2B74">
        <w:t>perflorokarbonlar (PFCs), başka bir değişle halojenli karbon gazları Montreal Protokolü ile kullanımı sınırlandırıl</w:t>
      </w:r>
      <w:r w:rsidR="0095750B">
        <w:t xml:space="preserve">mıştır. Kyoto protokolü ile belirlenen altı </w:t>
      </w:r>
      <w:r w:rsidR="003463A8">
        <w:t>sera gazı</w:t>
      </w:r>
      <w:r w:rsidR="0095750B">
        <w:t xml:space="preserve">ndan biridir. </w:t>
      </w:r>
    </w:p>
    <w:p w:rsidR="002C0069" w:rsidRDefault="002C0069" w:rsidP="00645120">
      <w:pPr>
        <w:pStyle w:val="stil1"/>
      </w:pPr>
      <w:bookmarkStart w:id="71" w:name="_Toc382298145"/>
      <w:r>
        <w:lastRenderedPageBreak/>
        <w:t xml:space="preserve">Şekil </w:t>
      </w:r>
      <w:proofErr w:type="gramStart"/>
      <w:r>
        <w:t>1.6</w:t>
      </w:r>
      <w:proofErr w:type="gramEnd"/>
      <w:r>
        <w:t xml:space="preserve">: 1978’den beri </w:t>
      </w:r>
      <w:r w:rsidR="003463A8">
        <w:t>Sera Gazı</w:t>
      </w:r>
      <w:r>
        <w:t xml:space="preserve"> Konsantrasyonları</w:t>
      </w:r>
      <w:bookmarkEnd w:id="71"/>
    </w:p>
    <w:bookmarkEnd w:id="69"/>
    <w:bookmarkEnd w:id="70"/>
    <w:p w:rsidR="004276C0" w:rsidRDefault="00934D4F" w:rsidP="0052615E">
      <w:pPr>
        <w:pStyle w:val="GvdeMetniGirintisi"/>
        <w:spacing w:line="240" w:lineRule="auto"/>
        <w:ind w:firstLine="0"/>
        <w:jc w:val="left"/>
      </w:pPr>
      <w:r>
        <w:rPr>
          <w:noProof/>
          <w:lang w:eastAsia="tr-TR"/>
        </w:rPr>
        <w:drawing>
          <wp:inline distT="0" distB="0" distL="0" distR="0" wp14:anchorId="643E8288" wp14:editId="4D227552">
            <wp:extent cx="5128591" cy="3523796"/>
            <wp:effectExtent l="19050" t="19050" r="15240" b="1968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g.jpg"/>
                    <pic:cNvPicPr/>
                  </pic:nvPicPr>
                  <pic:blipFill>
                    <a:blip r:embed="rId19">
                      <a:extLst>
                        <a:ext uri="{28A0092B-C50C-407E-A947-70E740481C1C}">
                          <a14:useLocalDpi xmlns:a14="http://schemas.microsoft.com/office/drawing/2010/main" val="0"/>
                        </a:ext>
                      </a:extLst>
                    </a:blip>
                    <a:stretch>
                      <a:fillRect/>
                    </a:stretch>
                  </pic:blipFill>
                  <pic:spPr>
                    <a:xfrm>
                      <a:off x="0" y="0"/>
                      <a:ext cx="5124511" cy="3520993"/>
                    </a:xfrm>
                    <a:prstGeom prst="rect">
                      <a:avLst/>
                    </a:prstGeom>
                    <a:ln>
                      <a:solidFill>
                        <a:schemeClr val="tx1"/>
                      </a:solidFill>
                    </a:ln>
                  </pic:spPr>
                </pic:pic>
              </a:graphicData>
            </a:graphic>
          </wp:inline>
        </w:drawing>
      </w:r>
    </w:p>
    <w:p w:rsidR="004276C0" w:rsidRPr="00414C37" w:rsidRDefault="002C0069" w:rsidP="0052615E">
      <w:pPr>
        <w:pStyle w:val="GvdeMetniGirintisi"/>
        <w:spacing w:line="240" w:lineRule="auto"/>
        <w:ind w:firstLine="0"/>
        <w:jc w:val="left"/>
        <w:rPr>
          <w:sz w:val="20"/>
          <w:szCs w:val="20"/>
        </w:rPr>
      </w:pPr>
      <w:r w:rsidRPr="002C0069">
        <w:rPr>
          <w:b/>
          <w:sz w:val="20"/>
          <w:szCs w:val="20"/>
        </w:rPr>
        <w:t xml:space="preserve">Kaynak: </w:t>
      </w:r>
      <w:r w:rsidR="003037B5" w:rsidRPr="003037B5">
        <w:rPr>
          <w:sz w:val="20"/>
          <w:szCs w:val="20"/>
        </w:rPr>
        <w:t>http://www.atmo.arizona.edu</w:t>
      </w:r>
      <w:r w:rsidR="003037B5">
        <w:rPr>
          <w:sz w:val="20"/>
          <w:szCs w:val="20"/>
        </w:rPr>
        <w:t xml:space="preserve"> (4)</w:t>
      </w:r>
    </w:p>
    <w:p w:rsidR="00414C37" w:rsidRPr="002A526F" w:rsidRDefault="00414C37" w:rsidP="00746264">
      <w:pPr>
        <w:pStyle w:val="GvdeMetniGirintisi"/>
        <w:spacing w:line="240" w:lineRule="auto"/>
        <w:ind w:firstLine="0"/>
        <w:jc w:val="left"/>
        <w:rPr>
          <w:sz w:val="20"/>
          <w:szCs w:val="20"/>
        </w:rPr>
      </w:pPr>
      <w:r w:rsidRPr="00414C37">
        <w:rPr>
          <w:b/>
          <w:sz w:val="20"/>
          <w:szCs w:val="20"/>
        </w:rPr>
        <w:t>Not:</w:t>
      </w:r>
      <w:r>
        <w:rPr>
          <w:sz w:val="20"/>
          <w:szCs w:val="20"/>
        </w:rPr>
        <w:t xml:space="preserve"> Karbondioksit konsantrasyonu milyonda bir (ppt), Metan ve Diazotmonoksit milyarda bir (ppt) ve Kloroflora gazları konsantrasyonu trilyonda bir (ppt)</w:t>
      </w:r>
    </w:p>
    <w:p w:rsidR="004E5B89" w:rsidRPr="00E358AF" w:rsidRDefault="0044255F" w:rsidP="0052615E">
      <w:pPr>
        <w:pStyle w:val="GvdeMetniGirintisi"/>
        <w:spacing w:before="240" w:after="240"/>
        <w:ind w:firstLine="0"/>
      </w:pPr>
      <w:r w:rsidRPr="00623120">
        <w:rPr>
          <w:b/>
          <w:bCs/>
        </w:rPr>
        <w:t>Hidroflorakarbon (HFCs);</w:t>
      </w:r>
      <w:r w:rsidR="008F2B74">
        <w:rPr>
          <w:b/>
          <w:bCs/>
        </w:rPr>
        <w:t xml:space="preserve"> </w:t>
      </w:r>
      <w:r w:rsidR="0093002E">
        <w:rPr>
          <w:bCs/>
        </w:rPr>
        <w:t xml:space="preserve">Türkiye İstatistik Kurumu (TUİK) 2012 yılı </w:t>
      </w:r>
      <w:r w:rsidR="003463A8">
        <w:rPr>
          <w:bCs/>
        </w:rPr>
        <w:t>Sera Gazı</w:t>
      </w:r>
      <w:r w:rsidR="0093002E">
        <w:rPr>
          <w:bCs/>
        </w:rPr>
        <w:t xml:space="preserve"> Emisyon Envanteri’ne göre; </w:t>
      </w:r>
      <w:r w:rsidR="008C15A1" w:rsidRPr="008C15A1">
        <w:t xml:space="preserve">Ulusal </w:t>
      </w:r>
      <w:r w:rsidR="003463A8">
        <w:t>Sera Gazı E</w:t>
      </w:r>
      <w:r w:rsidR="008C15A1" w:rsidRPr="008C15A1">
        <w:t>misyonları, 1996 Hükümetlerarası İklim Değişikliği Paneli (IPCC) Rehberi kullanılarak hesaplanmaktadır. Emisyon envanteri, enerji, endüstriyel işlemler, solvent ve diğer ürün kullanım</w:t>
      </w:r>
      <w:r w:rsidR="009B4CCB">
        <w:t>ı, tarımsal faaliyetler ve atıkt</w:t>
      </w:r>
      <w:r w:rsidR="008C15A1" w:rsidRPr="008C15A1">
        <w:t>an kaynaklanan, d</w:t>
      </w:r>
      <w:r w:rsidR="000D04E7">
        <w:t>oğrudan sera</w:t>
      </w:r>
      <w:r w:rsidR="007A2188">
        <w:t xml:space="preserve"> </w:t>
      </w:r>
      <w:r w:rsidR="000D04E7">
        <w:t>gazları olan karbon</w:t>
      </w:r>
      <w:r w:rsidR="008C15A1" w:rsidRPr="008C15A1">
        <w:t>dioksit (CO</w:t>
      </w:r>
      <w:r w:rsidR="00072FD2">
        <w:rPr>
          <w:vertAlign w:val="subscript"/>
        </w:rPr>
        <w:t>2</w:t>
      </w:r>
      <w:r w:rsidR="008C15A1" w:rsidRPr="008C15A1">
        <w:t>), metan (CH4), diazotmonoksit (N2O) ve F-gazları ile dolaylı sera</w:t>
      </w:r>
      <w:r w:rsidR="009B4CCB">
        <w:t xml:space="preserve"> </w:t>
      </w:r>
      <w:r w:rsidR="008C15A1" w:rsidRPr="008C15A1">
        <w:t xml:space="preserve">gazları azot oksitler (NOx), metan dışı uçucu organik bileşikler (NMVOCs) ve karbon monoksit (CO) emisyonlarını kapsamaktadır. Arazi kullanımı ve arazi kullanım değişikliğinden kaynaklanan emisyonlar ve yutaklar hesaplamalara dahil edilmemiştir. </w:t>
      </w:r>
      <w:r w:rsidR="00E358AF">
        <w:t xml:space="preserve">Şekil </w:t>
      </w:r>
      <w:proofErr w:type="gramStart"/>
      <w:r w:rsidR="00E358AF">
        <w:t>1.6’da</w:t>
      </w:r>
      <w:proofErr w:type="gramEnd"/>
      <w:r w:rsidR="00E358AF">
        <w:t xml:space="preserve"> 1978’den bu yana HFC</w:t>
      </w:r>
      <w:r w:rsidR="00E358AF">
        <w:rPr>
          <w:vertAlign w:val="subscript"/>
        </w:rPr>
        <w:t>s</w:t>
      </w:r>
      <w:r w:rsidR="00E358AF">
        <w:t xml:space="preserve"> ve diğer sera gazı konsantrasyonları verilmiştir. </w:t>
      </w:r>
    </w:p>
    <w:p w:rsidR="007A77D5" w:rsidRDefault="007A77D5" w:rsidP="0052615E">
      <w:pPr>
        <w:pStyle w:val="GvdeMetniGirintisi"/>
        <w:spacing w:before="240" w:after="240"/>
        <w:ind w:firstLine="0"/>
      </w:pPr>
    </w:p>
    <w:p w:rsidR="00A65DEF" w:rsidRPr="001258D6" w:rsidRDefault="000B7996" w:rsidP="00645120">
      <w:pPr>
        <w:pStyle w:val="stil1"/>
      </w:pPr>
      <w:bookmarkStart w:id="72" w:name="_Toc382298146"/>
      <w:r>
        <w:lastRenderedPageBreak/>
        <w:t xml:space="preserve">Şekil </w:t>
      </w:r>
      <w:proofErr w:type="gramStart"/>
      <w:r>
        <w:t>1.7</w:t>
      </w:r>
      <w:proofErr w:type="gramEnd"/>
      <w:r w:rsidR="001258D6">
        <w:t xml:space="preserve">: Küresel </w:t>
      </w:r>
      <w:r w:rsidR="003463A8">
        <w:t>Sera Gazı</w:t>
      </w:r>
      <w:r w:rsidR="001258D6">
        <w:t xml:space="preserve"> Emisyonları</w:t>
      </w:r>
      <w:bookmarkEnd w:id="72"/>
    </w:p>
    <w:p w:rsidR="001258D6" w:rsidRDefault="001258D6" w:rsidP="0052615E">
      <w:pPr>
        <w:shd w:val="clear" w:color="auto" w:fill="FFFFFF"/>
        <w:rPr>
          <w:rFonts w:ascii="Lucida Sans Unicode" w:hAnsi="Lucida Sans Unicode" w:cs="Lucida Sans Unicode"/>
          <w:color w:val="151515"/>
          <w:sz w:val="19"/>
          <w:szCs w:val="19"/>
          <w:lang w:val="en"/>
        </w:rPr>
      </w:pPr>
      <w:r>
        <w:rPr>
          <w:rFonts w:ascii="Lucida Sans Unicode" w:hAnsi="Lucida Sans Unicode" w:cs="Lucida Sans Unicode"/>
          <w:noProof/>
          <w:color w:val="151515"/>
          <w:sz w:val="19"/>
          <w:szCs w:val="19"/>
          <w:lang w:eastAsia="tr-TR"/>
        </w:rPr>
        <w:drawing>
          <wp:inline distT="0" distB="0" distL="0" distR="0" wp14:anchorId="3DFBA36E" wp14:editId="79B9883A">
            <wp:extent cx="3124863" cy="3307547"/>
            <wp:effectExtent l="19050" t="19050" r="18415" b="2667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bondioksit oran.jpg"/>
                    <pic:cNvPicPr/>
                  </pic:nvPicPr>
                  <pic:blipFill>
                    <a:blip r:embed="rId20">
                      <a:extLst>
                        <a:ext uri="{28A0092B-C50C-407E-A947-70E740481C1C}">
                          <a14:useLocalDpi xmlns:a14="http://schemas.microsoft.com/office/drawing/2010/main" val="0"/>
                        </a:ext>
                      </a:extLst>
                    </a:blip>
                    <a:stretch>
                      <a:fillRect/>
                    </a:stretch>
                  </pic:blipFill>
                  <pic:spPr>
                    <a:xfrm>
                      <a:off x="0" y="0"/>
                      <a:ext cx="3123147" cy="3305731"/>
                    </a:xfrm>
                    <a:prstGeom prst="rect">
                      <a:avLst/>
                    </a:prstGeom>
                    <a:ln>
                      <a:solidFill>
                        <a:schemeClr val="tx1"/>
                      </a:solidFill>
                    </a:ln>
                  </pic:spPr>
                </pic:pic>
              </a:graphicData>
            </a:graphic>
          </wp:inline>
        </w:drawing>
      </w:r>
    </w:p>
    <w:p w:rsidR="001258D6" w:rsidRPr="001258D6" w:rsidRDefault="001258D6" w:rsidP="0052615E">
      <w:pPr>
        <w:pStyle w:val="GvdeMetniGirintisi"/>
        <w:spacing w:line="240" w:lineRule="auto"/>
        <w:ind w:firstLine="0"/>
        <w:jc w:val="left"/>
        <w:rPr>
          <w:sz w:val="20"/>
          <w:szCs w:val="20"/>
        </w:rPr>
      </w:pPr>
      <w:r w:rsidRPr="002C0069">
        <w:rPr>
          <w:b/>
          <w:sz w:val="20"/>
          <w:szCs w:val="20"/>
        </w:rPr>
        <w:t xml:space="preserve">Kaynak: </w:t>
      </w:r>
      <w:r w:rsidRPr="001258D6">
        <w:rPr>
          <w:sz w:val="20"/>
          <w:szCs w:val="20"/>
        </w:rPr>
        <w:t>IPCC (2007)</w:t>
      </w:r>
    </w:p>
    <w:p w:rsidR="000D04E7" w:rsidRDefault="00691D0C" w:rsidP="0052615E">
      <w:pPr>
        <w:pStyle w:val="GvdeMetniGirintisi"/>
        <w:spacing w:before="240" w:after="240"/>
        <w:ind w:firstLine="708"/>
      </w:pPr>
      <w:r>
        <w:t xml:space="preserve">Şekil </w:t>
      </w:r>
      <w:proofErr w:type="gramStart"/>
      <w:r>
        <w:t>1.7</w:t>
      </w:r>
      <w:r w:rsidR="000D04E7">
        <w:t>’da</w:t>
      </w:r>
      <w:proofErr w:type="gramEnd"/>
      <w:r w:rsidR="000D04E7">
        <w:t xml:space="preserve"> verilen küresel </w:t>
      </w:r>
      <w:r w:rsidR="003463A8">
        <w:t>sera gazı</w:t>
      </w:r>
      <w:r w:rsidR="000D04E7">
        <w:t xml:space="preserve"> emisyonlarında F gazları olarak bilinen </w:t>
      </w:r>
      <w:r w:rsidR="001258D6" w:rsidRPr="001258D6">
        <w:t>hidroflorokarbon (HFC), perflorokarbon (PFC) ve sülfür heksaflorid</w:t>
      </w:r>
      <w:r w:rsidR="000D04E7">
        <w:t>’in</w:t>
      </w:r>
      <w:r w:rsidR="001258D6" w:rsidRPr="001258D6">
        <w:t xml:space="preserve"> (SF6) </w:t>
      </w:r>
      <w:r w:rsidR="000D04E7">
        <w:t>payı % 1’dir.</w:t>
      </w:r>
      <w:r w:rsidR="00740294">
        <w:t xml:space="preserve"> Sera</w:t>
      </w:r>
      <w:r w:rsidR="003463A8">
        <w:t xml:space="preserve"> </w:t>
      </w:r>
      <w:r w:rsidR="00740294">
        <w:t>gazları içindeki payı en büyük olan karbondioksit</w:t>
      </w:r>
      <w:r>
        <w:t xml:space="preserve"> olduğu görülmektedir. </w:t>
      </w:r>
    </w:p>
    <w:p w:rsidR="00AB57A6" w:rsidRPr="007D0529" w:rsidRDefault="00AB57A6" w:rsidP="0052615E">
      <w:pPr>
        <w:pStyle w:val="GvdeMetniGirintisi"/>
        <w:spacing w:before="240" w:after="240"/>
        <w:ind w:firstLine="0"/>
        <w:rPr>
          <w:bCs/>
        </w:rPr>
      </w:pPr>
      <w:r>
        <w:rPr>
          <w:b/>
          <w:bCs/>
        </w:rPr>
        <w:t>Sülfürhekzaflorid</w:t>
      </w:r>
      <w:r w:rsidR="0044255F" w:rsidRPr="00623120">
        <w:rPr>
          <w:b/>
          <w:bCs/>
        </w:rPr>
        <w:t xml:space="preserve"> (SF</w:t>
      </w:r>
      <w:r w:rsidR="0044255F" w:rsidRPr="00623120">
        <w:rPr>
          <w:b/>
          <w:bCs/>
          <w:vertAlign w:val="subscript"/>
        </w:rPr>
        <w:t>6</w:t>
      </w:r>
      <w:r w:rsidR="0044255F" w:rsidRPr="00623120">
        <w:rPr>
          <w:b/>
          <w:bCs/>
        </w:rPr>
        <w:t>);</w:t>
      </w:r>
      <w:r w:rsidR="00BA7193">
        <w:rPr>
          <w:b/>
          <w:bCs/>
        </w:rPr>
        <w:t xml:space="preserve"> </w:t>
      </w:r>
      <w:r w:rsidR="00BA7193">
        <w:rPr>
          <w:bCs/>
        </w:rPr>
        <w:t xml:space="preserve">küresel ısınma potansiyeli en fazla olan </w:t>
      </w:r>
      <w:r w:rsidR="003463A8">
        <w:rPr>
          <w:bCs/>
        </w:rPr>
        <w:t>sera gazı</w:t>
      </w:r>
      <w:r w:rsidR="00BA7193">
        <w:rPr>
          <w:bCs/>
        </w:rPr>
        <w:t>dır. Sera gazları içindeki ağılığı düşük olmasına rağmen atmosferde kalma süresi en fazladır.</w:t>
      </w:r>
    </w:p>
    <w:p w:rsidR="0044255F" w:rsidRPr="00D8461D" w:rsidRDefault="009960F7" w:rsidP="009960F7">
      <w:pPr>
        <w:pStyle w:val="Balk2"/>
        <w:numPr>
          <w:ilvl w:val="0"/>
          <w:numId w:val="0"/>
        </w:numPr>
        <w:ind w:left="360" w:hanging="360"/>
      </w:pPr>
      <w:bookmarkStart w:id="73" w:name="_Toc384823975"/>
      <w:bookmarkStart w:id="74" w:name="OLE_LINK69"/>
      <w:bookmarkStart w:id="75" w:name="OLE_LINK70"/>
      <w:r>
        <w:t>1.2</w:t>
      </w:r>
      <w:r w:rsidR="00215D86">
        <w:t xml:space="preserve"> </w:t>
      </w:r>
      <w:r w:rsidR="00085BCC">
        <w:t>İNSAN KAYNAKLI İKLİM DEĞİŞİKLİĞİ</w:t>
      </w:r>
      <w:bookmarkEnd w:id="73"/>
    </w:p>
    <w:p w:rsidR="0025652E" w:rsidRDefault="0025652E" w:rsidP="00774F6E">
      <w:pPr>
        <w:spacing w:before="240" w:after="240" w:line="360" w:lineRule="auto"/>
        <w:ind w:firstLine="709"/>
        <w:jc w:val="both"/>
      </w:pPr>
      <w:r>
        <w:t xml:space="preserve">İnsanoğlu, tarih boyunca hayatını idame etmek için gereksinim duyduğu her türlü girdiyi temin etmek maksadıyla sınırsız bir kaynak niteliğinde gördüğü doğal kaynaklara başvurmuştur. Sınırsız olan ihtiyaçlarını </w:t>
      </w:r>
      <w:r w:rsidR="00AE6F00">
        <w:t>t</w:t>
      </w:r>
      <w:r w:rsidR="005A69D0">
        <w:t>emin etmek için üretim faktör</w:t>
      </w:r>
      <w:r w:rsidR="00AE6F00">
        <w:t xml:space="preserve">lerden biri olan doğal kaynakları yoğun bir şekilde kullanmıştır. Ölçüsüzce kullandığı bu doğal kaynakların atıklarını </w:t>
      </w:r>
      <w:r w:rsidR="00BD2AB7">
        <w:t xml:space="preserve">da doğrudan doğaya bırakmıştır. </w:t>
      </w:r>
      <w:r w:rsidR="00AE6F00">
        <w:t xml:space="preserve">Dünya nüfus yoğunluğunun artması ve küresel ısınmayla birlikte doğal çevre döngüsü sürdürülemez bir duruma gelmiştir. </w:t>
      </w:r>
    </w:p>
    <w:p w:rsidR="006A5C70" w:rsidRDefault="006A5C70" w:rsidP="00774F6E">
      <w:pPr>
        <w:spacing w:before="240" w:after="240" w:line="360" w:lineRule="auto"/>
        <w:ind w:firstLine="708"/>
        <w:jc w:val="both"/>
      </w:pPr>
      <w:r w:rsidRPr="006A5C70">
        <w:t>Dünya üzerindeki canlı yaşamı için büyük önem taşıyan konulardan biri olan iklim değişikliğinin (climate change) sürdürülebilir kalkınma çerçevesinde ele alınması mümkündür. İnsan kaynaklı sera</w:t>
      </w:r>
      <w:r w:rsidR="009B4CCB">
        <w:t xml:space="preserve"> </w:t>
      </w:r>
      <w:r w:rsidRPr="006A5C70">
        <w:t>gazlarının yol açtığı en büyük global sorun olarak karşımıza çıkan iklim değişikliğinde, söz</w:t>
      </w:r>
      <w:r w:rsidR="009B4CCB">
        <w:t xml:space="preserve"> </w:t>
      </w:r>
      <w:r w:rsidRPr="006A5C70">
        <w:t>konusu sera</w:t>
      </w:r>
      <w:r w:rsidR="009B4CCB">
        <w:t xml:space="preserve"> </w:t>
      </w:r>
      <w:r w:rsidRPr="006A5C70">
        <w:t xml:space="preserve">gazları emisyonlarının azaltımı, </w:t>
      </w:r>
      <w:r w:rsidRPr="006A5C70">
        <w:lastRenderedPageBreak/>
        <w:t>sürdürülebilir kalkınmanın gerçekleştiril</w:t>
      </w:r>
      <w:r w:rsidR="00251EE5">
        <w:t>mesinde büyük önem taşımaktadır</w:t>
      </w:r>
      <w:r w:rsidR="00251EE5" w:rsidRPr="00251EE5">
        <w:t xml:space="preserve"> </w:t>
      </w:r>
      <w:r w:rsidR="00251EE5">
        <w:t xml:space="preserve">(Karakaya </w:t>
      </w:r>
      <w:r w:rsidR="00251EE5" w:rsidRPr="003206FC">
        <w:t xml:space="preserve">ve </w:t>
      </w:r>
      <w:r w:rsidR="00251EE5">
        <w:t xml:space="preserve">Özçağ, </w:t>
      </w:r>
      <w:r w:rsidR="00251EE5" w:rsidRPr="003206FC">
        <w:t>2004)</w:t>
      </w:r>
      <w:r w:rsidR="00251EE5">
        <w:t>.</w:t>
      </w:r>
    </w:p>
    <w:p w:rsidR="00981675" w:rsidRDefault="003A1B76" w:rsidP="00774F6E">
      <w:pPr>
        <w:spacing w:before="240" w:after="240" w:line="360" w:lineRule="auto"/>
        <w:ind w:firstLine="709"/>
        <w:jc w:val="both"/>
      </w:pPr>
      <w:r>
        <w:t>Kutuplardaki buzulların erimesi, yağışların miktar ve dönemlerinde meydana gelen değişmeler, olağan üstü durumların meydana gelmesi ve bunların canlı yaşamlarını tehdit etmesi insan kaynaklı (antropojenik) iklim değişikliği ile doğrudan bağlantılı</w:t>
      </w:r>
      <w:r w:rsidR="00F3433E">
        <w:t xml:space="preserve"> konulardır.</w:t>
      </w:r>
      <w:r w:rsidR="00C57226">
        <w:t xml:space="preserve"> </w:t>
      </w:r>
      <w:r w:rsidR="00981675" w:rsidRPr="00981675">
        <w:t>Günümüzde; küresel ısınma ve buna bağlı olarak ortaya çıkan ik</w:t>
      </w:r>
      <w:bookmarkStart w:id="76" w:name="OLE_LINK71"/>
      <w:bookmarkStart w:id="77" w:name="OLE_LINK72"/>
      <w:r w:rsidR="00C57226">
        <w:t>lim değişikliği, insan kaynaklı</w:t>
      </w:r>
      <w:r w:rsidR="00981675" w:rsidRPr="00981675">
        <w:t xml:space="preserve"> </w:t>
      </w:r>
      <w:bookmarkEnd w:id="76"/>
      <w:bookmarkEnd w:id="77"/>
      <w:r w:rsidR="00981675" w:rsidRPr="00981675">
        <w:t>çevre sorunlarının en önemlisidir.</w:t>
      </w:r>
    </w:p>
    <w:p w:rsidR="00E35B2A" w:rsidRDefault="00F014D9" w:rsidP="00774F6E">
      <w:pPr>
        <w:pStyle w:val="GvdeMetniGirintisi"/>
        <w:spacing w:before="240" w:after="240"/>
      </w:pPr>
      <w:r>
        <w:t>Birleşmiş Milletler İklim Değişikliği Çerçeve Sözleşmesi’nde (</w:t>
      </w:r>
      <w:bookmarkStart w:id="78" w:name="OLE_LINK6"/>
      <w:bookmarkStart w:id="79" w:name="OLE_LINK5"/>
      <w:r>
        <w:t>UNFCCC</w:t>
      </w:r>
      <w:bookmarkEnd w:id="78"/>
      <w:bookmarkEnd w:id="79"/>
      <w:r>
        <w:t>) insan kaynaklı iklim değişikliği, “</w:t>
      </w:r>
      <w:bookmarkStart w:id="80" w:name="OLE_LINK4"/>
      <w:bookmarkStart w:id="81" w:name="OLE_LINK3"/>
      <w:r>
        <w:t>karşılaştırılabilir bir zaman diliminde gözlenen doğal iklim değişikliği ve doğrudan ya da dolaylı olarak küresel atmosferin bileşimini bozan insan etkileri sonucunda iklimde oluşan değişiklikler</w:t>
      </w:r>
      <w:bookmarkEnd w:id="80"/>
      <w:bookmarkEnd w:id="81"/>
      <w:r>
        <w:t>” olarak tanımlanmıştır(UNFCCC,1992). İklim değişikliğini IPCC (Hükümetlerarası İklim Değişikliği Paneli) ise; “belli bir dönemde iklimlerde, doğal değişimler</w:t>
      </w:r>
      <w:r w:rsidR="009B4CCB">
        <w:t xml:space="preserve"> ya da</w:t>
      </w:r>
      <w:r>
        <w:t xml:space="preserve"> insan faaliyetleri sonucunda oluşan değişiklikler” olarak ifad</w:t>
      </w:r>
      <w:r w:rsidR="0053124B">
        <w:t>e etmektedir (IPCC, 2007a:  2).</w:t>
      </w:r>
    </w:p>
    <w:p w:rsidR="000E58BF" w:rsidRPr="00187890" w:rsidRDefault="000B7996" w:rsidP="00645120">
      <w:pPr>
        <w:pStyle w:val="stil1"/>
      </w:pPr>
      <w:bookmarkStart w:id="82" w:name="OLE_LINK76"/>
      <w:bookmarkStart w:id="83" w:name="OLE_LINK77"/>
      <w:bookmarkStart w:id="84" w:name="_Toc382298147"/>
      <w:bookmarkStart w:id="85" w:name="OLE_LINK78"/>
      <w:bookmarkStart w:id="86" w:name="OLE_LINK79"/>
      <w:r>
        <w:t xml:space="preserve">Şekil </w:t>
      </w:r>
      <w:proofErr w:type="gramStart"/>
      <w:r>
        <w:t>1.8</w:t>
      </w:r>
      <w:proofErr w:type="gramEnd"/>
      <w:r w:rsidR="005A140C">
        <w:t xml:space="preserve">: </w:t>
      </w:r>
      <w:r w:rsidR="007719FD">
        <w:t>K</w:t>
      </w:r>
      <w:r w:rsidR="007719FD" w:rsidRPr="007719FD">
        <w:rPr>
          <w:rFonts w:hint="eastAsia"/>
        </w:rPr>
        <w:t>ü</w:t>
      </w:r>
      <w:r w:rsidR="007719FD" w:rsidRPr="007719FD">
        <w:t>resel</w:t>
      </w:r>
      <w:r w:rsidR="007719FD">
        <w:t xml:space="preserve"> Y</w:t>
      </w:r>
      <w:r w:rsidR="007719FD" w:rsidRPr="007719FD">
        <w:rPr>
          <w:rFonts w:hint="eastAsia"/>
        </w:rPr>
        <w:t>ı</w:t>
      </w:r>
      <w:r w:rsidR="007719FD" w:rsidRPr="007719FD">
        <w:t>ll</w:t>
      </w:r>
      <w:r w:rsidR="007719FD" w:rsidRPr="007719FD">
        <w:rPr>
          <w:rFonts w:hint="eastAsia"/>
        </w:rPr>
        <w:t>ı</w:t>
      </w:r>
      <w:r w:rsidR="007719FD">
        <w:t>k Ortalama Y</w:t>
      </w:r>
      <w:r w:rsidR="007719FD" w:rsidRPr="007719FD">
        <w:rPr>
          <w:rFonts w:hint="eastAsia"/>
        </w:rPr>
        <w:t>ü</w:t>
      </w:r>
      <w:r w:rsidR="007719FD">
        <w:t>zey S</w:t>
      </w:r>
      <w:r w:rsidR="007719FD" w:rsidRPr="007719FD">
        <w:rPr>
          <w:rFonts w:hint="eastAsia"/>
        </w:rPr>
        <w:t>ı</w:t>
      </w:r>
      <w:r w:rsidR="007719FD" w:rsidRPr="007719FD">
        <w:t>cakl</w:t>
      </w:r>
      <w:r w:rsidR="007719FD" w:rsidRPr="007719FD">
        <w:rPr>
          <w:rFonts w:hint="eastAsia"/>
        </w:rPr>
        <w:t>ığı</w:t>
      </w:r>
      <w:r w:rsidR="007719FD">
        <w:t xml:space="preserve"> A</w:t>
      </w:r>
      <w:r w:rsidR="007719FD" w:rsidRPr="007719FD">
        <w:t>nomalileri</w:t>
      </w:r>
      <w:r w:rsidR="007719FD">
        <w:t xml:space="preserve"> Değişimi</w:t>
      </w:r>
      <w:bookmarkEnd w:id="82"/>
      <w:bookmarkEnd w:id="83"/>
      <w:bookmarkEnd w:id="84"/>
    </w:p>
    <w:p w:rsidR="000E58BF" w:rsidRDefault="00F164DE" w:rsidP="00774F6E">
      <w:pPr>
        <w:autoSpaceDE w:val="0"/>
        <w:autoSpaceDN w:val="0"/>
        <w:adjustRightInd w:val="0"/>
        <w:rPr>
          <w:b/>
          <w:sz w:val="20"/>
          <w:szCs w:val="20"/>
        </w:rPr>
      </w:pPr>
      <w:r>
        <w:rPr>
          <w:b/>
          <w:noProof/>
          <w:sz w:val="20"/>
          <w:szCs w:val="20"/>
          <w:lang w:eastAsia="tr-TR"/>
        </w:rPr>
        <w:drawing>
          <wp:inline distT="0" distB="0" distL="0" distR="0" wp14:anchorId="5DAC0E08" wp14:editId="2CA33794">
            <wp:extent cx="4839834" cy="2202512"/>
            <wp:effectExtent l="19050" t="19050" r="18415" b="2667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21">
                      <a:extLst>
                        <a:ext uri="{28A0092B-C50C-407E-A947-70E740481C1C}">
                          <a14:useLocalDpi xmlns:a14="http://schemas.microsoft.com/office/drawing/2010/main" val="0"/>
                        </a:ext>
                      </a:extLst>
                    </a:blip>
                    <a:stretch>
                      <a:fillRect/>
                    </a:stretch>
                  </pic:blipFill>
                  <pic:spPr>
                    <a:xfrm>
                      <a:off x="0" y="0"/>
                      <a:ext cx="4840824" cy="2202962"/>
                    </a:xfrm>
                    <a:prstGeom prst="rect">
                      <a:avLst/>
                    </a:prstGeom>
                    <a:ln>
                      <a:solidFill>
                        <a:schemeClr val="tx1"/>
                      </a:solidFill>
                    </a:ln>
                  </pic:spPr>
                </pic:pic>
              </a:graphicData>
            </a:graphic>
          </wp:inline>
        </w:drawing>
      </w:r>
    </w:p>
    <w:p w:rsidR="00FA7348" w:rsidRPr="00FA7348" w:rsidRDefault="005A140C" w:rsidP="00774F6E">
      <w:pPr>
        <w:autoSpaceDE w:val="0"/>
        <w:autoSpaceDN w:val="0"/>
        <w:adjustRightInd w:val="0"/>
        <w:rPr>
          <w:sz w:val="20"/>
          <w:szCs w:val="20"/>
        </w:rPr>
      </w:pPr>
      <w:r w:rsidRPr="007719FD">
        <w:rPr>
          <w:b/>
          <w:sz w:val="20"/>
          <w:szCs w:val="20"/>
        </w:rPr>
        <w:t>Kaynak</w:t>
      </w:r>
      <w:r w:rsidRPr="001E1A50">
        <w:rPr>
          <w:b/>
          <w:sz w:val="20"/>
          <w:szCs w:val="20"/>
        </w:rPr>
        <w:t>:</w:t>
      </w:r>
      <w:r w:rsidRPr="001E1A50">
        <w:rPr>
          <w:sz w:val="20"/>
          <w:szCs w:val="20"/>
        </w:rPr>
        <w:t xml:space="preserve"> </w:t>
      </w:r>
      <w:bookmarkEnd w:id="85"/>
      <w:bookmarkEnd w:id="86"/>
      <w:r w:rsidR="008D3763" w:rsidRPr="001E1A50">
        <w:t xml:space="preserve"> </w:t>
      </w:r>
      <w:hyperlink r:id="rId22" w:history="1">
        <w:r w:rsidR="00E1159A" w:rsidRPr="001E1A50">
          <w:rPr>
            <w:rStyle w:val="Kpr"/>
            <w:color w:val="auto"/>
            <w:sz w:val="20"/>
            <w:szCs w:val="20"/>
            <w:u w:val="none"/>
          </w:rPr>
          <w:t>http://www.cevreonline.com</w:t>
        </w:r>
      </w:hyperlink>
      <w:r w:rsidR="00E1159A">
        <w:rPr>
          <w:sz w:val="20"/>
          <w:szCs w:val="20"/>
        </w:rPr>
        <w:t xml:space="preserve"> (3)</w:t>
      </w:r>
    </w:p>
    <w:p w:rsidR="00BD2AB7" w:rsidRDefault="0053124B" w:rsidP="00774F6E">
      <w:pPr>
        <w:autoSpaceDE w:val="0"/>
        <w:autoSpaceDN w:val="0"/>
        <w:adjustRightInd w:val="0"/>
        <w:spacing w:before="240" w:after="240" w:line="360" w:lineRule="auto"/>
        <w:ind w:firstLine="708"/>
        <w:jc w:val="both"/>
      </w:pPr>
      <w:r>
        <w:t xml:space="preserve">İnsan kaynaklı </w:t>
      </w:r>
      <w:r w:rsidR="009553B1">
        <w:t xml:space="preserve">etkinlikler sonucunda </w:t>
      </w:r>
      <w:r w:rsidR="005A140C" w:rsidRPr="005A140C">
        <w:t>atmosferin bile</w:t>
      </w:r>
      <w:r w:rsidR="005A140C" w:rsidRPr="005A140C">
        <w:rPr>
          <w:rFonts w:hint="eastAsia"/>
        </w:rPr>
        <w:t>ş</w:t>
      </w:r>
      <w:r w:rsidR="005A140C" w:rsidRPr="005A140C">
        <w:t xml:space="preserve">iminde ortaya </w:t>
      </w:r>
      <w:r w:rsidR="005A140C" w:rsidRPr="005A140C">
        <w:rPr>
          <w:rFonts w:hint="eastAsia"/>
        </w:rPr>
        <w:t>çı</w:t>
      </w:r>
      <w:r w:rsidR="005A140C" w:rsidRPr="005A140C">
        <w:t>kan</w:t>
      </w:r>
      <w:r w:rsidR="005A140C">
        <w:t xml:space="preserve"> </w:t>
      </w:r>
      <w:r w:rsidR="005A140C" w:rsidRPr="005A140C">
        <w:rPr>
          <w:rFonts w:hint="eastAsia"/>
        </w:rPr>
        <w:t>ö</w:t>
      </w:r>
      <w:r w:rsidR="005A140C" w:rsidRPr="005A140C">
        <w:t>nemli de</w:t>
      </w:r>
      <w:r w:rsidR="005A140C" w:rsidRPr="005A140C">
        <w:rPr>
          <w:rFonts w:hint="eastAsia"/>
        </w:rPr>
        <w:t>ğ</w:t>
      </w:r>
      <w:r w:rsidR="005A140C" w:rsidRPr="005A140C">
        <w:t>i</w:t>
      </w:r>
      <w:r w:rsidR="005A140C" w:rsidRPr="005A140C">
        <w:rPr>
          <w:rFonts w:hint="eastAsia"/>
        </w:rPr>
        <w:t>ş</w:t>
      </w:r>
      <w:r w:rsidR="005A140C" w:rsidRPr="005A140C">
        <w:t>iklikler sonucunda, y</w:t>
      </w:r>
      <w:r w:rsidR="005A140C" w:rsidRPr="005A140C">
        <w:rPr>
          <w:rFonts w:hint="eastAsia"/>
        </w:rPr>
        <w:t>ü</w:t>
      </w:r>
      <w:r w:rsidR="005A140C" w:rsidRPr="005A140C">
        <w:t>zey s</w:t>
      </w:r>
      <w:r w:rsidR="005A140C" w:rsidRPr="005A140C">
        <w:rPr>
          <w:rFonts w:hint="eastAsia"/>
        </w:rPr>
        <w:t>ı</w:t>
      </w:r>
      <w:r w:rsidR="005A140C" w:rsidRPr="005A140C">
        <w:t>cakl</w:t>
      </w:r>
      <w:r w:rsidR="005A140C" w:rsidRPr="005A140C">
        <w:rPr>
          <w:rFonts w:hint="eastAsia"/>
        </w:rPr>
        <w:t>ı</w:t>
      </w:r>
      <w:r w:rsidR="005A140C" w:rsidRPr="005A140C">
        <w:t>klar</w:t>
      </w:r>
      <w:r w:rsidR="005A140C" w:rsidRPr="005A140C">
        <w:rPr>
          <w:rFonts w:hint="eastAsia"/>
        </w:rPr>
        <w:t>ı</w:t>
      </w:r>
      <w:r w:rsidR="005A140C" w:rsidRPr="005A140C">
        <w:t>nda 19. y</w:t>
      </w:r>
      <w:r w:rsidR="005A140C" w:rsidRPr="005A140C">
        <w:rPr>
          <w:rFonts w:hint="eastAsia"/>
        </w:rPr>
        <w:t>ü</w:t>
      </w:r>
      <w:r w:rsidR="005A140C" w:rsidRPr="005A140C">
        <w:t>zy</w:t>
      </w:r>
      <w:r w:rsidR="005A140C" w:rsidRPr="005A140C">
        <w:rPr>
          <w:rFonts w:hint="eastAsia"/>
        </w:rPr>
        <w:t>ı</w:t>
      </w:r>
      <w:r w:rsidR="005A140C" w:rsidRPr="005A140C">
        <w:t>l</w:t>
      </w:r>
      <w:r w:rsidR="005A140C" w:rsidRPr="005A140C">
        <w:rPr>
          <w:rFonts w:hint="eastAsia"/>
        </w:rPr>
        <w:t>ı</w:t>
      </w:r>
      <w:r w:rsidR="005A140C" w:rsidRPr="005A140C">
        <w:t>n sonlar</w:t>
      </w:r>
      <w:r w:rsidR="005A140C" w:rsidRPr="005A140C">
        <w:rPr>
          <w:rFonts w:hint="eastAsia"/>
        </w:rPr>
        <w:t>ı</w:t>
      </w:r>
      <w:r w:rsidR="005A140C" w:rsidRPr="005A140C">
        <w:t>nda</w:t>
      </w:r>
      <w:r w:rsidR="005A140C">
        <w:t xml:space="preserve"> </w:t>
      </w:r>
      <w:r w:rsidR="005A140C" w:rsidRPr="005A140C">
        <w:t>ba</w:t>
      </w:r>
      <w:r w:rsidR="005A140C" w:rsidRPr="005A140C">
        <w:rPr>
          <w:rFonts w:hint="eastAsia"/>
        </w:rPr>
        <w:t>ş</w:t>
      </w:r>
      <w:r w:rsidR="005A140C" w:rsidRPr="005A140C">
        <w:t xml:space="preserve">layan </w:t>
      </w:r>
      <w:r w:rsidR="005A140C" w:rsidRPr="005A140C">
        <w:rPr>
          <w:rFonts w:hint="eastAsia"/>
        </w:rPr>
        <w:t>ı</w:t>
      </w:r>
      <w:r w:rsidR="005A140C" w:rsidRPr="005A140C">
        <w:t>s</w:t>
      </w:r>
      <w:r w:rsidR="005A140C" w:rsidRPr="005A140C">
        <w:rPr>
          <w:rFonts w:hint="eastAsia"/>
        </w:rPr>
        <w:t>ı</w:t>
      </w:r>
      <w:r w:rsidR="005A140C" w:rsidRPr="005A140C">
        <w:t>nma, 1980</w:t>
      </w:r>
      <w:r w:rsidR="005A140C" w:rsidRPr="005A140C">
        <w:rPr>
          <w:rFonts w:hint="eastAsia"/>
        </w:rPr>
        <w:t>’</w:t>
      </w:r>
      <w:r w:rsidR="005A140C" w:rsidRPr="005A140C">
        <w:t>li y</w:t>
      </w:r>
      <w:r w:rsidR="005A140C" w:rsidRPr="005A140C">
        <w:rPr>
          <w:rFonts w:hint="eastAsia"/>
        </w:rPr>
        <w:t>ı</w:t>
      </w:r>
      <w:r w:rsidR="005A140C" w:rsidRPr="005A140C">
        <w:t>llarla birlikte daha da belirginle</w:t>
      </w:r>
      <w:r w:rsidR="005A140C" w:rsidRPr="005A140C">
        <w:rPr>
          <w:rFonts w:hint="eastAsia"/>
        </w:rPr>
        <w:t>ş</w:t>
      </w:r>
      <w:r w:rsidR="005A140C" w:rsidRPr="005A140C">
        <w:t>erek, hemen her y</w:t>
      </w:r>
      <w:r w:rsidR="005A140C" w:rsidRPr="005A140C">
        <w:rPr>
          <w:rFonts w:hint="eastAsia"/>
        </w:rPr>
        <w:t>ı</w:t>
      </w:r>
      <w:r w:rsidR="005A140C" w:rsidRPr="005A140C">
        <w:t>l bir</w:t>
      </w:r>
      <w:r w:rsidR="005A140C">
        <w:t xml:space="preserve"> </w:t>
      </w:r>
      <w:r w:rsidR="005A140C" w:rsidRPr="005A140C">
        <w:rPr>
          <w:rFonts w:hint="eastAsia"/>
        </w:rPr>
        <w:t>ö</w:t>
      </w:r>
      <w:r w:rsidR="005A140C" w:rsidRPr="005A140C">
        <w:t>nceki y</w:t>
      </w:r>
      <w:r w:rsidR="005A140C" w:rsidRPr="005A140C">
        <w:rPr>
          <w:rFonts w:hint="eastAsia"/>
        </w:rPr>
        <w:t>ı</w:t>
      </w:r>
      <w:r w:rsidR="005A140C" w:rsidRPr="005A140C">
        <w:t>la g</w:t>
      </w:r>
      <w:r w:rsidR="005A140C" w:rsidRPr="005A140C">
        <w:rPr>
          <w:rFonts w:hint="eastAsia"/>
        </w:rPr>
        <w:t>ö</w:t>
      </w:r>
      <w:r w:rsidR="005A140C" w:rsidRPr="005A140C">
        <w:t>re daha s</w:t>
      </w:r>
      <w:r w:rsidR="005A140C" w:rsidRPr="005A140C">
        <w:rPr>
          <w:rFonts w:hint="eastAsia"/>
        </w:rPr>
        <w:t>ı</w:t>
      </w:r>
      <w:r w:rsidR="005A140C" w:rsidRPr="005A140C">
        <w:t xml:space="preserve">cak olmak </w:t>
      </w:r>
      <w:r w:rsidR="005A140C" w:rsidRPr="005A140C">
        <w:rPr>
          <w:rFonts w:hint="eastAsia"/>
        </w:rPr>
        <w:t>ü</w:t>
      </w:r>
      <w:r w:rsidR="005A140C" w:rsidRPr="005A140C">
        <w:t>zere, k</w:t>
      </w:r>
      <w:r w:rsidR="005A140C" w:rsidRPr="005A140C">
        <w:rPr>
          <w:rFonts w:hint="eastAsia"/>
        </w:rPr>
        <w:t>ü</w:t>
      </w:r>
      <w:r w:rsidR="005A140C" w:rsidRPr="005A140C">
        <w:t>resel s</w:t>
      </w:r>
      <w:r w:rsidR="005A140C" w:rsidRPr="005A140C">
        <w:rPr>
          <w:rFonts w:hint="eastAsia"/>
        </w:rPr>
        <w:t>ı</w:t>
      </w:r>
      <w:r w:rsidR="005A140C" w:rsidRPr="005A140C">
        <w:t>cakl</w:t>
      </w:r>
      <w:r w:rsidR="005A140C" w:rsidRPr="005A140C">
        <w:rPr>
          <w:rFonts w:hint="eastAsia"/>
        </w:rPr>
        <w:t>ı</w:t>
      </w:r>
      <w:r w:rsidR="005A140C" w:rsidRPr="005A140C">
        <w:t>k rekorlar</w:t>
      </w:r>
      <w:r w:rsidR="005A140C" w:rsidRPr="005A140C">
        <w:rPr>
          <w:rFonts w:hint="eastAsia"/>
        </w:rPr>
        <w:t>ı</w:t>
      </w:r>
      <w:r w:rsidR="005A140C" w:rsidRPr="005A140C">
        <w:t xml:space="preserve"> k</w:t>
      </w:r>
      <w:r w:rsidR="005A140C" w:rsidRPr="005A140C">
        <w:rPr>
          <w:rFonts w:hint="eastAsia"/>
        </w:rPr>
        <w:t>ı</w:t>
      </w:r>
      <w:r w:rsidR="005A140C" w:rsidRPr="005A140C">
        <w:t>rd</w:t>
      </w:r>
      <w:r w:rsidR="005A140C" w:rsidRPr="005A140C">
        <w:rPr>
          <w:rFonts w:hint="eastAsia"/>
        </w:rPr>
        <w:t>ı</w:t>
      </w:r>
      <w:r w:rsidR="005A140C" w:rsidRPr="005A140C">
        <w:t xml:space="preserve"> (IPCC,</w:t>
      </w:r>
      <w:r w:rsidR="009553B1">
        <w:t xml:space="preserve"> </w:t>
      </w:r>
      <w:r w:rsidR="005A140C" w:rsidRPr="005A140C">
        <w:t>2001, 2007; T</w:t>
      </w:r>
      <w:r w:rsidR="005A140C" w:rsidRPr="005A140C">
        <w:rPr>
          <w:rFonts w:hint="eastAsia"/>
        </w:rPr>
        <w:t>ü</w:t>
      </w:r>
      <w:r w:rsidR="005A140C" w:rsidRPr="005A140C">
        <w:t>rke</w:t>
      </w:r>
      <w:r w:rsidR="005A140C" w:rsidRPr="005A140C">
        <w:rPr>
          <w:rFonts w:hint="eastAsia"/>
        </w:rPr>
        <w:t>ş</w:t>
      </w:r>
      <w:r w:rsidR="00853027">
        <w:t>, 2007, 2008</w:t>
      </w:r>
      <w:r w:rsidR="005A140C" w:rsidRPr="005A140C">
        <w:t>; WMO, 1999) ve k</w:t>
      </w:r>
      <w:r w:rsidR="005A140C" w:rsidRPr="005A140C">
        <w:rPr>
          <w:rFonts w:hint="eastAsia"/>
        </w:rPr>
        <w:t>ü</w:t>
      </w:r>
      <w:r w:rsidR="005A140C" w:rsidRPr="005A140C">
        <w:t>resel ortalama</w:t>
      </w:r>
      <w:r w:rsidR="005A140C">
        <w:t xml:space="preserve"> </w:t>
      </w:r>
      <w:r w:rsidR="005A140C" w:rsidRPr="005A140C">
        <w:t>y</w:t>
      </w:r>
      <w:r w:rsidR="005A140C" w:rsidRPr="005A140C">
        <w:rPr>
          <w:rFonts w:hint="eastAsia"/>
        </w:rPr>
        <w:t>ü</w:t>
      </w:r>
      <w:r w:rsidR="005A140C" w:rsidRPr="005A140C">
        <w:t>zey s</w:t>
      </w:r>
      <w:r w:rsidR="005A140C" w:rsidRPr="005A140C">
        <w:rPr>
          <w:rFonts w:hint="eastAsia"/>
        </w:rPr>
        <w:t>ı</w:t>
      </w:r>
      <w:r w:rsidR="005A140C" w:rsidRPr="005A140C">
        <w:t>cakl</w:t>
      </w:r>
      <w:r w:rsidR="005A140C" w:rsidRPr="005A140C">
        <w:rPr>
          <w:rFonts w:hint="eastAsia"/>
        </w:rPr>
        <w:t>ığı</w:t>
      </w:r>
      <w:r w:rsidR="005A140C" w:rsidRPr="005A140C">
        <w:t>, 20. y</w:t>
      </w:r>
      <w:r w:rsidR="005A140C" w:rsidRPr="005A140C">
        <w:rPr>
          <w:rFonts w:hint="eastAsia"/>
        </w:rPr>
        <w:t>ü</w:t>
      </w:r>
      <w:r w:rsidR="005A140C" w:rsidRPr="005A140C">
        <w:t>zy</w:t>
      </w:r>
      <w:r w:rsidR="005A140C" w:rsidRPr="005A140C">
        <w:rPr>
          <w:rFonts w:hint="eastAsia"/>
        </w:rPr>
        <w:t>ı</w:t>
      </w:r>
      <w:r w:rsidR="005A140C" w:rsidRPr="005A140C">
        <w:t>l</w:t>
      </w:r>
      <w:r w:rsidR="005A140C" w:rsidRPr="005A140C">
        <w:rPr>
          <w:rFonts w:hint="eastAsia"/>
        </w:rPr>
        <w:t>ı</w:t>
      </w:r>
      <w:r w:rsidR="005A140C" w:rsidRPr="005A140C">
        <w:t>n ba</w:t>
      </w:r>
      <w:r w:rsidR="005A140C" w:rsidRPr="005A140C">
        <w:rPr>
          <w:rFonts w:hint="eastAsia"/>
        </w:rPr>
        <w:t>şı</w:t>
      </w:r>
      <w:r w:rsidR="005A140C" w:rsidRPr="005A140C">
        <w:t>ndan g</w:t>
      </w:r>
      <w:r w:rsidR="005A140C" w:rsidRPr="005A140C">
        <w:rPr>
          <w:rFonts w:hint="eastAsia"/>
        </w:rPr>
        <w:t>ü</w:t>
      </w:r>
      <w:r w:rsidR="005A140C" w:rsidRPr="005A140C">
        <w:t>n</w:t>
      </w:r>
      <w:r w:rsidR="005A140C" w:rsidRPr="005A140C">
        <w:rPr>
          <w:rFonts w:hint="eastAsia"/>
        </w:rPr>
        <w:t>ü</w:t>
      </w:r>
      <w:r w:rsidR="005A140C" w:rsidRPr="005A140C">
        <w:t>m</w:t>
      </w:r>
      <w:r w:rsidR="005A140C" w:rsidRPr="005A140C">
        <w:rPr>
          <w:rFonts w:hint="eastAsia"/>
        </w:rPr>
        <w:t>ü</w:t>
      </w:r>
      <w:r w:rsidR="005A140C" w:rsidRPr="005A140C">
        <w:t>ze de</w:t>
      </w:r>
      <w:r w:rsidR="005A140C" w:rsidRPr="005A140C">
        <w:rPr>
          <w:rFonts w:hint="eastAsia"/>
        </w:rPr>
        <w:t>ğ</w:t>
      </w:r>
      <w:r w:rsidR="005A140C" w:rsidRPr="005A140C">
        <w:t>in yakla</w:t>
      </w:r>
      <w:r w:rsidR="005A140C" w:rsidRPr="005A140C">
        <w:rPr>
          <w:rFonts w:hint="eastAsia"/>
        </w:rPr>
        <w:t>şı</w:t>
      </w:r>
      <w:r w:rsidR="005A140C" w:rsidRPr="005A140C">
        <w:t xml:space="preserve">k olarak </w:t>
      </w:r>
      <w:proofErr w:type="gramStart"/>
      <w:r w:rsidR="005A140C" w:rsidRPr="005A140C">
        <w:t>0.7</w:t>
      </w:r>
      <w:proofErr w:type="gramEnd"/>
      <w:r w:rsidR="005A140C" w:rsidRPr="005A140C">
        <w:t xml:space="preserve"> </w:t>
      </w:r>
      <w:r w:rsidR="005A140C" w:rsidRPr="005A140C">
        <w:rPr>
          <w:rFonts w:hint="eastAsia"/>
        </w:rPr>
        <w:t>°</w:t>
      </w:r>
      <w:r w:rsidR="005A140C" w:rsidRPr="005A140C">
        <w:t>C</w:t>
      </w:r>
      <w:r w:rsidR="005A140C">
        <w:t xml:space="preserve"> </w:t>
      </w:r>
      <w:r w:rsidR="009E1900">
        <w:t>artmıştır</w:t>
      </w:r>
      <w:r w:rsidR="00853027">
        <w:t xml:space="preserve"> </w:t>
      </w:r>
      <w:r w:rsidR="005A140C" w:rsidRPr="005A140C">
        <w:t>(</w:t>
      </w:r>
      <w:r w:rsidR="005A140C" w:rsidRPr="005A140C">
        <w:rPr>
          <w:rFonts w:hint="eastAsia"/>
        </w:rPr>
        <w:t>Ş</w:t>
      </w:r>
      <w:r w:rsidR="00304412">
        <w:t>ekil 1.</w:t>
      </w:r>
      <w:r w:rsidR="00282A05">
        <w:t>8</w:t>
      </w:r>
      <w:r w:rsidR="005A140C" w:rsidRPr="005A140C">
        <w:t>).</w:t>
      </w:r>
    </w:p>
    <w:bookmarkEnd w:id="74"/>
    <w:bookmarkEnd w:id="75"/>
    <w:p w:rsidR="00BD2AB7" w:rsidRDefault="0044255F" w:rsidP="00774F6E">
      <w:pPr>
        <w:pStyle w:val="GvdeMetniGirintisi"/>
        <w:spacing w:before="240" w:after="240"/>
      </w:pPr>
      <w:r>
        <w:lastRenderedPageBreak/>
        <w:t>Utah Üniversitesi</w:t>
      </w:r>
      <w:r w:rsidR="0002004D">
        <w:t>’</w:t>
      </w:r>
      <w:r>
        <w:t xml:space="preserve">nden </w:t>
      </w:r>
      <w:r w:rsidRPr="00564321">
        <w:t>Jeffrey Dukes</w:t>
      </w:r>
      <w:r>
        <w:t xml:space="preserve"> adında bir bilim adamının yaptığı bir hesaplamaya göre</w:t>
      </w:r>
      <w:r w:rsidR="0002004D">
        <w:t>;</w:t>
      </w:r>
      <w:r>
        <w:t xml:space="preserve"> ortalama 1 galon, yani yaklaşık 4 litre benzin eski çağlarda yaklaşık 90 ton bitkinin fosilleşmesiyle oluşmuştur. Bu da 50 litre benzinin bin tondan fazla plankton ve alg meydana geldiğini gösterir. Her yıl tükettiğimiz fosil enerji 1 milyon yılda oluşmuştur (Madra, 2007:</w:t>
      </w:r>
      <w:r w:rsidR="00BD3141">
        <w:t xml:space="preserve"> </w:t>
      </w:r>
      <w:r>
        <w:t>200-201).</w:t>
      </w:r>
      <w:r w:rsidR="00D57130">
        <w:t xml:space="preserve"> </w:t>
      </w:r>
    </w:p>
    <w:p w:rsidR="00082235" w:rsidRPr="00BB7657" w:rsidRDefault="00BD2AB7" w:rsidP="00774F6E">
      <w:pPr>
        <w:pStyle w:val="GvdeMetniGirintisi"/>
        <w:spacing w:before="240" w:after="240"/>
      </w:pPr>
      <w:r>
        <w:t>İklim değişikliği, daha çok enerji tüketimi, arazi kullanım değişikliği, ormansızlaştırma, endüs</w:t>
      </w:r>
      <w:r w:rsidR="009B4CCB">
        <w:t>t</w:t>
      </w:r>
      <w:r>
        <w:t xml:space="preserve">riyel işlemler ve tarımsal faaliyetler gibi insan faaliyetleri sonucu atmosfere bırakılan sera gazlarından kaynaklandığı birçok araştırma raporu ile kanıtlanmaktadır. Örnek olarak </w:t>
      </w:r>
      <w:r w:rsidRPr="00BB7657">
        <w:t>IPCC tarafından yayınlanan 20</w:t>
      </w:r>
      <w:r w:rsidR="009B4CCB" w:rsidRPr="00BB7657">
        <w:t xml:space="preserve">01 yılındaki </w:t>
      </w:r>
      <w:r w:rsidR="00BB7657" w:rsidRPr="00BB7657">
        <w:t xml:space="preserve">üçüncü </w:t>
      </w:r>
      <w:r w:rsidR="009B4CCB" w:rsidRPr="00BB7657">
        <w:t>İklim Değişikliği R</w:t>
      </w:r>
      <w:r w:rsidRPr="00BB7657">
        <w:t xml:space="preserve">aporu’nda </w:t>
      </w:r>
      <w:r w:rsidR="00743DF2" w:rsidRPr="00BB7657">
        <w:t xml:space="preserve">(TAR) </w:t>
      </w:r>
      <w:r w:rsidR="009B4CCB" w:rsidRPr="00BB7657">
        <w:t>insan fak</w:t>
      </w:r>
      <w:r w:rsidRPr="00BB7657">
        <w:t xml:space="preserve">törünün etkisi % 60 </w:t>
      </w:r>
      <w:r w:rsidR="009B4CCB" w:rsidRPr="00BB7657">
        <w:t xml:space="preserve">iken, 2007 yılındaki </w:t>
      </w:r>
      <w:r w:rsidR="00BB7657" w:rsidRPr="00BB7657">
        <w:t>dördüncü İklim Değişikliği Ra</w:t>
      </w:r>
      <w:r w:rsidR="009B4CCB" w:rsidRPr="00BB7657">
        <w:t>por</w:t>
      </w:r>
      <w:r w:rsidR="00BB7657" w:rsidRPr="00BB7657">
        <w:t>’</w:t>
      </w:r>
      <w:r w:rsidR="009B4CCB" w:rsidRPr="00BB7657">
        <w:t>a</w:t>
      </w:r>
      <w:r w:rsidR="00743DF2" w:rsidRPr="00BB7657">
        <w:t xml:space="preserve"> (AR4)</w:t>
      </w:r>
      <w:r w:rsidRPr="00BB7657">
        <w:t xml:space="preserve"> göre % 90’dır.</w:t>
      </w:r>
      <w:r w:rsidR="00D57130" w:rsidRPr="00BB7657">
        <w:t xml:space="preserve"> </w:t>
      </w:r>
    </w:p>
    <w:p w:rsidR="0044255F" w:rsidRPr="00215D86" w:rsidRDefault="009960F7" w:rsidP="009960F7">
      <w:pPr>
        <w:pStyle w:val="Balk2"/>
        <w:numPr>
          <w:ilvl w:val="0"/>
          <w:numId w:val="0"/>
        </w:numPr>
        <w:ind w:left="360" w:hanging="360"/>
        <w:rPr>
          <w:color w:val="00B050"/>
        </w:rPr>
      </w:pPr>
      <w:bookmarkStart w:id="87" w:name="_Toc384823976"/>
      <w:r>
        <w:t>1.3</w:t>
      </w:r>
      <w:r w:rsidR="00904CE8" w:rsidRPr="00215D86">
        <w:t xml:space="preserve"> </w:t>
      </w:r>
      <w:r w:rsidR="00120838">
        <w:t>İ</w:t>
      </w:r>
      <w:r w:rsidR="00C01828">
        <w:t>KLİM DEĞİŞİKLİĞİNE NEDEN OLAN SERA GAZLARINDAKİ ARTIŞ EĞİLİMLERİ VE NEDENLERİ</w:t>
      </w:r>
      <w:bookmarkEnd w:id="87"/>
    </w:p>
    <w:p w:rsidR="00DD7367" w:rsidRPr="00F4519B" w:rsidRDefault="00884A3A" w:rsidP="00DD7367">
      <w:pPr>
        <w:pStyle w:val="GvdeMetniGirintisi"/>
        <w:spacing w:before="240" w:after="240"/>
        <w:ind w:firstLine="708"/>
      </w:pPr>
      <w:r>
        <w:t>Kutuplardaki buzullar erimekte</w:t>
      </w:r>
      <w:r w:rsidR="00D13271">
        <w:t>, deniz suyu seviyesi yüksel</w:t>
      </w:r>
      <w:r>
        <w:t>mekte</w:t>
      </w:r>
      <w:r w:rsidR="00D13271">
        <w:t xml:space="preserve"> ve kıyı kesimlerde toprak kayıpları art</w:t>
      </w:r>
      <w:r>
        <w:t>maktadır</w:t>
      </w:r>
      <w:r w:rsidR="00D13271">
        <w:t xml:space="preserve">. </w:t>
      </w:r>
      <w:r w:rsidR="00CA2C89">
        <w:t xml:space="preserve">Şekil </w:t>
      </w:r>
      <w:proofErr w:type="gramStart"/>
      <w:r w:rsidR="00CA2C89">
        <w:t>1.1’deki</w:t>
      </w:r>
      <w:proofErr w:type="gramEnd"/>
      <w:r w:rsidR="00CA2C89">
        <w:t xml:space="preserve"> gibi karaların miktarında önemli bir artışın olduğu gözlemlen</w:t>
      </w:r>
      <w:r w:rsidR="00DD7367">
        <w:t>miştir</w:t>
      </w:r>
      <w:r w:rsidR="00CA2C89">
        <w:t xml:space="preserve">. </w:t>
      </w:r>
      <w:r w:rsidR="00DD7367">
        <w:t xml:space="preserve">Küresel anlamda 1990 ve 2000’li yıllar </w:t>
      </w:r>
      <w:r w:rsidR="008B0D8D">
        <w:t>gözlemlenen</w:t>
      </w:r>
      <w:r w:rsidR="00DD7367">
        <w:t xml:space="preserve"> en sıcak yıllar olmuş, 1998 yılı en sıcak yıl, 2005 yılı ise en sıcak ikinci yıl olarak kayıtlara geçmiştir. (IPCC,2007a:  </w:t>
      </w:r>
      <w:r w:rsidR="005632BA">
        <w:t xml:space="preserve">5). </w:t>
      </w:r>
      <w:r w:rsidR="00DD7367">
        <w:t>20. yüzyılda, orta enlem kutupsal kar örtüsü, kutupsal kara ve deniz buzları ile orta enlemlerin dağ buzulları eriyerek alansal ve hacimsel olarak azalırken, gel-git ve deniz seviyesi ölçüm kayıtlarına göre küresel ortalama deniz seviyesi yaklaşık 0,17 metre arasında yükselmiş, okyanusların sahip oldukları ısı içerikleri artmıştır. (Türkeş, 2007:  48; Özçağ, 2011: 10).</w:t>
      </w:r>
    </w:p>
    <w:p w:rsidR="00371B55" w:rsidRDefault="00371B55" w:rsidP="00774F6E">
      <w:pPr>
        <w:pStyle w:val="GvdeMetniGirintisi"/>
        <w:spacing w:before="240" w:after="240"/>
        <w:ind w:firstLine="708"/>
      </w:pPr>
      <w:r w:rsidRPr="00371B55">
        <w:t xml:space="preserve">Dünya iklim sisteminde değişikliklere neden olan küresel ısınmanın </w:t>
      </w:r>
      <w:r>
        <w:t>doğal ve yapay nedenlerden kaynaklan</w:t>
      </w:r>
      <w:r w:rsidR="009B4CCB">
        <w:t>d</w:t>
      </w:r>
      <w:r>
        <w:t xml:space="preserve">ığı bilimsel yollarla ortaya konmuştur. </w:t>
      </w:r>
      <w:r w:rsidR="00AB5A2E">
        <w:t>Doğal nedenler olarak, Güneş’in etkisi, Presizyon etkisi ve El Nino etkisini sayabiliriz. Yapay nedenler ise fosil yakıtlar, sera gazları, ısı adası etkisi ve smong</w:t>
      </w:r>
      <w:r w:rsidR="00502B1B">
        <w:rPr>
          <w:rStyle w:val="DipnotBavurusu"/>
        </w:rPr>
        <w:footnoteReference w:id="5"/>
      </w:r>
      <w:r w:rsidR="00AB5A2E">
        <w:t xml:space="preserve"> olarak sıralayabiliriz.</w:t>
      </w:r>
    </w:p>
    <w:p w:rsidR="00D152B0" w:rsidRDefault="00D66164" w:rsidP="00774F6E">
      <w:pPr>
        <w:pStyle w:val="GvdeMetniGirintisi"/>
        <w:spacing w:before="240" w:after="240"/>
        <w:ind w:firstLine="0"/>
        <w:rPr>
          <w:noProof/>
        </w:rPr>
      </w:pPr>
      <w:r>
        <w:lastRenderedPageBreak/>
        <w:tab/>
        <w:t>Kuzey Kutbu’ndaki buzulların erimeye başlaması, daha aşağıdaki buzullara doğru akarak erime sürecinin hızlanmasına neden olur (Hansen, 2004: 268-277).</w:t>
      </w:r>
      <w:r w:rsidR="00532EF7">
        <w:t xml:space="preserve"> İklim değişikliği sonucu ortaya çıkan sıcak hava Amazonlardaki yağmur ormanların zarar görmesine sebep olur. Karbon yutaklarının azalması sonucu da küresel ısınma kaçınılmaz ol</w:t>
      </w:r>
      <w:r w:rsidR="002F54FC">
        <w:t>maktadır</w:t>
      </w:r>
      <w:r w:rsidR="00532EF7">
        <w:t>.</w:t>
      </w:r>
      <w:r w:rsidR="00D152B0" w:rsidRPr="00D152B0">
        <w:rPr>
          <w:noProof/>
        </w:rPr>
        <w:t xml:space="preserve"> </w:t>
      </w:r>
    </w:p>
    <w:p w:rsidR="00D152B0" w:rsidRDefault="00D152B0" w:rsidP="00774F6E">
      <w:pPr>
        <w:pStyle w:val="GvdeMetniGirintisi"/>
        <w:spacing w:before="240" w:after="240"/>
        <w:ind w:firstLine="0"/>
        <w:rPr>
          <w:noProof/>
        </w:rPr>
      </w:pPr>
      <w:r>
        <w:rPr>
          <w:noProof/>
        </w:rPr>
        <w:tab/>
        <w:t>Küresel ısınma günümüzde, biyolojik, kimyasal ve nükleer silahların kullanımı, ormanların deformasyonu, tehlikeli atıklar, düzensiz kentleşme, erozyon, çölleşme gibi insan kaynaklı faaliyetler ekolojik denge üzerinde yaptığı baskılar tehlikeli boyutlara ulaşmıştır</w:t>
      </w:r>
      <w:r w:rsidR="00C31B9F">
        <w:rPr>
          <w:noProof/>
        </w:rPr>
        <w:t xml:space="preserve"> (</w:t>
      </w:r>
      <w:r w:rsidR="004E4AF8">
        <w:rPr>
          <w:noProof/>
        </w:rPr>
        <w:t>Keleş ve Hamamcı, 2002</w:t>
      </w:r>
      <w:r w:rsidR="00C31B9F">
        <w:rPr>
          <w:noProof/>
        </w:rPr>
        <w:t>: 21)</w:t>
      </w:r>
      <w:r>
        <w:rPr>
          <w:noProof/>
        </w:rPr>
        <w:t>.</w:t>
      </w:r>
    </w:p>
    <w:p w:rsidR="001457AE" w:rsidRDefault="001457AE" w:rsidP="00774F6E">
      <w:pPr>
        <w:pStyle w:val="GvdeMetniGirintisi"/>
        <w:spacing w:before="240" w:after="240"/>
        <w:ind w:firstLine="708"/>
      </w:pPr>
      <w:r>
        <w:t>İklim değişikliğine sebep olan sektörlerden bir tanesi de tarım sektörüdür. Sıcaklık değişimleri sonucu, kuraklık,</w:t>
      </w:r>
      <w:r w:rsidRPr="001457AE">
        <w:t xml:space="preserve"> </w:t>
      </w:r>
      <w:r>
        <w:t>sel, fırtınalar gibi doğal afetler tarım alanlarını tahrip e</w:t>
      </w:r>
      <w:r w:rsidR="002F54FC">
        <w:t>tmektedir</w:t>
      </w:r>
      <w:r>
        <w:t xml:space="preserve">. Örnek olarak 2003 yılında Avrupa’nın birçok ülkesinde tarımsal rekolte aniden düşüş göstermiştir (EEA, </w:t>
      </w:r>
      <w:proofErr w:type="gramStart"/>
      <w:r>
        <w:t>2004:67</w:t>
      </w:r>
      <w:proofErr w:type="gramEnd"/>
      <w:r>
        <w:t>).</w:t>
      </w:r>
      <w:r w:rsidR="000063D5">
        <w:t xml:space="preserve"> İklim değişikliği </w:t>
      </w:r>
      <w:r w:rsidR="009B4CCB">
        <w:t>erozyon</w:t>
      </w:r>
      <w:r w:rsidR="000063D5">
        <w:t xml:space="preserve"> ve çölleşme ile toprak verimini düşürerek gübre kullanımına teşvik eder. Azotlu gübrelerin kullanımı sonucu ise atmosferdeki </w:t>
      </w:r>
      <w:r w:rsidR="003463A8">
        <w:t>sera gazı</w:t>
      </w:r>
      <w:r w:rsidR="000063D5">
        <w:t xml:space="preserve"> yoğunluğu</w:t>
      </w:r>
      <w:r w:rsidR="002F54FC">
        <w:t>nun arttığı gözlemlenmitir</w:t>
      </w:r>
      <w:r w:rsidR="000063D5">
        <w:t>.</w:t>
      </w:r>
    </w:p>
    <w:p w:rsidR="00AC0ACD" w:rsidRDefault="00AC0ACD" w:rsidP="00774F6E">
      <w:pPr>
        <w:pStyle w:val="GvdeMetniGirintisi"/>
        <w:spacing w:before="240" w:after="240"/>
        <w:ind w:firstLine="0"/>
      </w:pPr>
      <w:r>
        <w:tab/>
        <w:t>Demografik faktörlerden olan nüfusun 2050 yıllında Unctad’ın</w:t>
      </w:r>
      <w:r w:rsidR="00B74883">
        <w:rPr>
          <w:rStyle w:val="DipnotBavurusu"/>
        </w:rPr>
        <w:footnoteReference w:id="6"/>
      </w:r>
      <w:r>
        <w:t xml:space="preserve"> projeksiyonlarına göre 9 milyarı aşacağı</w:t>
      </w:r>
      <w:r w:rsidR="00B74883">
        <w:t xml:space="preserve"> tahmin edilmektedir.</w:t>
      </w:r>
      <w:r w:rsidR="00E75736">
        <w:t xml:space="preserve"> Dünyadaki bu nüfus artışı enerji kaynaklarına olan talebi arttıracaktır. Özellikle kullanılan fosil kaynaklı enerji kaynakları iklim değişikliğine sebep olacaktır.</w:t>
      </w:r>
    </w:p>
    <w:p w:rsidR="00F3306A" w:rsidRDefault="00F3306A" w:rsidP="00774F6E">
      <w:pPr>
        <w:pStyle w:val="GvdeMetniGirintisi"/>
        <w:spacing w:before="240" w:after="240"/>
      </w:pPr>
      <w:r>
        <w:t>İklim değişikliğine neden olan en önemli faktörün insan kaynaklı sera gazları olduğu gerçeği göz önüne alınırsa, atmosferdeki sera gazları payının özellikle sanayi devriminden başlayarak artması ve bu artışın ekolojik denge üzerinden baskı oluşturması iklim değişikliğinin daha çok insan kaynaklı olduğunun bir kanıtıdır.</w:t>
      </w:r>
    </w:p>
    <w:p w:rsidR="00015450" w:rsidRDefault="00015450" w:rsidP="00774F6E">
      <w:pPr>
        <w:autoSpaceDE w:val="0"/>
        <w:autoSpaceDN w:val="0"/>
        <w:adjustRightInd w:val="0"/>
        <w:rPr>
          <w:b/>
          <w:bCs/>
        </w:rPr>
      </w:pPr>
    </w:p>
    <w:p w:rsidR="00015450" w:rsidRDefault="00015450" w:rsidP="00774F6E">
      <w:pPr>
        <w:autoSpaceDE w:val="0"/>
        <w:autoSpaceDN w:val="0"/>
        <w:adjustRightInd w:val="0"/>
        <w:rPr>
          <w:b/>
          <w:bCs/>
        </w:rPr>
      </w:pPr>
    </w:p>
    <w:p w:rsidR="00947739" w:rsidRPr="00947739" w:rsidRDefault="000B7996" w:rsidP="00645120">
      <w:pPr>
        <w:pStyle w:val="stil1"/>
      </w:pPr>
      <w:bookmarkStart w:id="88" w:name="_Toc382298148"/>
      <w:r>
        <w:lastRenderedPageBreak/>
        <w:t xml:space="preserve">Şekil </w:t>
      </w:r>
      <w:proofErr w:type="gramStart"/>
      <w:r>
        <w:t>1.9</w:t>
      </w:r>
      <w:proofErr w:type="gramEnd"/>
      <w:r w:rsidR="00947739">
        <w:t>: Kyoto’da Ölçülen ve Öngörülen Sera Gazlarının Yoğunluğu</w:t>
      </w:r>
      <w:bookmarkEnd w:id="88"/>
    </w:p>
    <w:p w:rsidR="00947739" w:rsidRDefault="00947739" w:rsidP="00774F6E">
      <w:pPr>
        <w:pStyle w:val="GvdeMetniGirintisi"/>
        <w:spacing w:line="240" w:lineRule="auto"/>
        <w:ind w:firstLine="0"/>
        <w:jc w:val="left"/>
      </w:pPr>
      <w:r>
        <w:rPr>
          <w:noProof/>
          <w:lang w:eastAsia="tr-TR"/>
        </w:rPr>
        <w:drawing>
          <wp:inline distT="0" distB="0" distL="0" distR="0" wp14:anchorId="0C97E71C" wp14:editId="3A89D572">
            <wp:extent cx="4047214" cy="2989723"/>
            <wp:effectExtent l="19050" t="19050" r="10795" b="203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23">
                      <a:extLst>
                        <a:ext uri="{28A0092B-C50C-407E-A947-70E740481C1C}">
                          <a14:useLocalDpi xmlns:a14="http://schemas.microsoft.com/office/drawing/2010/main" val="0"/>
                        </a:ext>
                      </a:extLst>
                    </a:blip>
                    <a:stretch>
                      <a:fillRect/>
                    </a:stretch>
                  </pic:blipFill>
                  <pic:spPr>
                    <a:xfrm>
                      <a:off x="0" y="0"/>
                      <a:ext cx="4042088" cy="2985937"/>
                    </a:xfrm>
                    <a:prstGeom prst="rect">
                      <a:avLst/>
                    </a:prstGeom>
                    <a:ln>
                      <a:solidFill>
                        <a:schemeClr val="tx1"/>
                      </a:solidFill>
                    </a:ln>
                  </pic:spPr>
                </pic:pic>
              </a:graphicData>
            </a:graphic>
          </wp:inline>
        </w:drawing>
      </w:r>
    </w:p>
    <w:p w:rsidR="00947739" w:rsidRDefault="00947739" w:rsidP="00774F6E">
      <w:pPr>
        <w:pStyle w:val="GvdeMetniGirintisi"/>
        <w:spacing w:line="240" w:lineRule="auto"/>
        <w:ind w:firstLine="0"/>
        <w:jc w:val="left"/>
        <w:rPr>
          <w:sz w:val="20"/>
          <w:szCs w:val="20"/>
        </w:rPr>
      </w:pPr>
      <w:r w:rsidRPr="00305EC1">
        <w:rPr>
          <w:b/>
          <w:sz w:val="20"/>
          <w:szCs w:val="20"/>
        </w:rPr>
        <w:t>Kaynak:</w:t>
      </w:r>
      <w:r>
        <w:t xml:space="preserve"> </w:t>
      </w:r>
      <w:r w:rsidR="003037B5" w:rsidRPr="003037B5">
        <w:rPr>
          <w:sz w:val="20"/>
          <w:szCs w:val="20"/>
        </w:rPr>
        <w:t>http://www.eea.europa.eu</w:t>
      </w:r>
      <w:r w:rsidR="003037B5">
        <w:rPr>
          <w:sz w:val="20"/>
          <w:szCs w:val="20"/>
        </w:rPr>
        <w:t xml:space="preserve"> (5)</w:t>
      </w:r>
    </w:p>
    <w:p w:rsidR="00947739" w:rsidRDefault="00015450" w:rsidP="00774F6E">
      <w:pPr>
        <w:pStyle w:val="GvdeMetniGirintisi"/>
        <w:spacing w:before="240" w:after="240"/>
        <w:ind w:firstLine="708"/>
      </w:pPr>
      <w:r w:rsidRPr="00015450">
        <w:t xml:space="preserve">Küresel ısınma, özellikle sanayi devrimiyle başlayan sanayileşme, fosil yakıt kullanımı, enerji üretimi, ormansızlaştırma, nüfus artışı ve ekonomik büyüme gibi nedenlerle canlı yaşamını tehdit eder hale gelmiştir. Şekil </w:t>
      </w:r>
      <w:proofErr w:type="gramStart"/>
      <w:r w:rsidRPr="00015450">
        <w:t>1.9’da</w:t>
      </w:r>
      <w:proofErr w:type="gramEnd"/>
      <w:r w:rsidRPr="00015450">
        <w:t xml:space="preserve"> Avrupa Çevre Ajansının projeksiyonlarına göre 2000-2100 yılları arasında CO</w:t>
      </w:r>
      <w:r w:rsidRPr="00072FD2">
        <w:rPr>
          <w:vertAlign w:val="subscript"/>
        </w:rPr>
        <w:t>2</w:t>
      </w:r>
      <w:r w:rsidRPr="00015450">
        <w:t xml:space="preserve"> yoğunluğunun üst eşik sınır olan 55</w:t>
      </w:r>
      <w:r>
        <w:t>0 ppm değerin</w:t>
      </w:r>
      <w:r w:rsidR="00277B8C">
        <w:t>i geçeceği tahmin edilmektedir</w:t>
      </w:r>
      <w:r>
        <w:t xml:space="preserve">. </w:t>
      </w:r>
    </w:p>
    <w:p w:rsidR="0044255F" w:rsidRPr="00215D86" w:rsidRDefault="009960F7" w:rsidP="009960F7">
      <w:pPr>
        <w:pStyle w:val="Balk2"/>
        <w:numPr>
          <w:ilvl w:val="0"/>
          <w:numId w:val="0"/>
        </w:numPr>
        <w:ind w:left="360" w:hanging="360"/>
      </w:pPr>
      <w:bookmarkStart w:id="89" w:name="_Toc384823977"/>
      <w:r>
        <w:t>1.4</w:t>
      </w:r>
      <w:r w:rsidR="00215D86">
        <w:t xml:space="preserve"> </w:t>
      </w:r>
      <w:r w:rsidR="00C01828">
        <w:t>SERA GAZI EMİSYONLARININ EKONOMİK BELİRLEYİCİLERİ</w:t>
      </w:r>
      <w:bookmarkEnd w:id="89"/>
    </w:p>
    <w:p w:rsidR="0044255F" w:rsidRDefault="00B06F05" w:rsidP="00774F6E">
      <w:pPr>
        <w:pStyle w:val="GvdeMetniGirintisi"/>
        <w:spacing w:before="240" w:after="240"/>
        <w:ind w:firstLine="708"/>
      </w:pPr>
      <w:r>
        <w:t>Atmosferde</w:t>
      </w:r>
      <w:r w:rsidR="009C2966" w:rsidRPr="009C2966">
        <w:t xml:space="preserve"> sera gazlarının artması, sera etkisi teorisine göre doğal bir sera etkisi oluşturarak iklimleri değiştirmekte ve yer yüzeyinin ısınmasına yol açmaktadır. </w:t>
      </w:r>
      <w:r w:rsidR="003463A8">
        <w:t>Sera gazı</w:t>
      </w:r>
      <w:r w:rsidR="009C2966">
        <w:t xml:space="preserve"> emisyonunu etkileyen faktörlerin başında fosil yakıtlar gelmektedir. İnsanoğlunun enerji ihtiyacını karşılamak için kullanılan fosil yakıtla</w:t>
      </w:r>
      <w:r w:rsidR="00A53DCA">
        <w:t>rı, hidrolik, rüzgar, güneş, bi</w:t>
      </w:r>
      <w:r w:rsidR="009C2966">
        <w:t xml:space="preserve">okütle ve nükleer </w:t>
      </w:r>
      <w:r w:rsidR="003463A8">
        <w:t>sera gazı</w:t>
      </w:r>
      <w:r w:rsidR="009C2966">
        <w:t xml:space="preserve"> emisyonları arttıran en önemli </w:t>
      </w:r>
      <w:r w:rsidR="009C6084">
        <w:t>faktörlerdir (Çizelge</w:t>
      </w:r>
      <w:r w:rsidR="004C738A">
        <w:t xml:space="preserve"> </w:t>
      </w:r>
      <w:proofErr w:type="gramStart"/>
      <w:r w:rsidR="004C738A">
        <w:t>1.3</w:t>
      </w:r>
      <w:proofErr w:type="gramEnd"/>
      <w:r w:rsidR="004C738A">
        <w:t>).</w:t>
      </w:r>
    </w:p>
    <w:p w:rsidR="004C738A" w:rsidRDefault="004C738A" w:rsidP="00774F6E">
      <w:pPr>
        <w:pStyle w:val="GvdeMetniGirintisi"/>
        <w:spacing w:before="240" w:after="240"/>
        <w:ind w:firstLine="708"/>
      </w:pPr>
    </w:p>
    <w:p w:rsidR="004C738A" w:rsidRDefault="004C738A" w:rsidP="00774F6E">
      <w:pPr>
        <w:pStyle w:val="GvdeMetniGirintisi"/>
        <w:spacing w:before="240" w:after="240"/>
        <w:ind w:firstLine="0"/>
      </w:pPr>
    </w:p>
    <w:p w:rsidR="00161478" w:rsidRPr="00DF6EDC" w:rsidRDefault="009C2966" w:rsidP="000D38D2">
      <w:pPr>
        <w:pStyle w:val="it6"/>
      </w:pPr>
      <w:bookmarkStart w:id="90" w:name="_Toc384716092"/>
      <w:r w:rsidRPr="00DF6EDC">
        <w:rPr>
          <w:noProof/>
          <w:lang w:eastAsia="tr-TR"/>
        </w:rPr>
        <w:lastRenderedPageBreak/>
        <w:drawing>
          <wp:anchor distT="0" distB="0" distL="114300" distR="114300" simplePos="0" relativeHeight="251667968" behindDoc="1" locked="0" layoutInCell="1" allowOverlap="1" wp14:anchorId="54CE39B3" wp14:editId="06886637">
            <wp:simplePos x="0" y="0"/>
            <wp:positionH relativeFrom="column">
              <wp:posOffset>27940</wp:posOffset>
            </wp:positionH>
            <wp:positionV relativeFrom="paragraph">
              <wp:posOffset>257810</wp:posOffset>
            </wp:positionV>
            <wp:extent cx="4359910" cy="4547870"/>
            <wp:effectExtent l="19050" t="19050" r="21590" b="24130"/>
            <wp:wrapTight wrapText="bothSides">
              <wp:wrapPolygon edited="0">
                <wp:start x="-94" y="-90"/>
                <wp:lineTo x="-94" y="21624"/>
                <wp:lineTo x="21613" y="21624"/>
                <wp:lineTo x="21613" y="-90"/>
                <wp:lineTo x="-94" y="-9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ji belirleyici.jpg"/>
                    <pic:cNvPicPr/>
                  </pic:nvPicPr>
                  <pic:blipFill>
                    <a:blip r:embed="rId24">
                      <a:extLst>
                        <a:ext uri="{28A0092B-C50C-407E-A947-70E740481C1C}">
                          <a14:useLocalDpi xmlns:a14="http://schemas.microsoft.com/office/drawing/2010/main" val="0"/>
                        </a:ext>
                      </a:extLst>
                    </a:blip>
                    <a:stretch>
                      <a:fillRect/>
                    </a:stretch>
                  </pic:blipFill>
                  <pic:spPr>
                    <a:xfrm>
                      <a:off x="0" y="0"/>
                      <a:ext cx="4359910" cy="45478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B0E0B">
        <w:rPr>
          <w:noProof/>
        </w:rPr>
        <w:t>Çizelge</w:t>
      </w:r>
      <w:r w:rsidR="00DF6EDC" w:rsidRPr="00DF6EDC">
        <w:rPr>
          <w:noProof/>
        </w:rPr>
        <w:t xml:space="preserve"> 1.3: </w:t>
      </w:r>
      <w:r w:rsidR="003463A8">
        <w:t>Sera Gazı</w:t>
      </w:r>
      <w:r w:rsidR="00161478" w:rsidRPr="00DF6EDC">
        <w:t xml:space="preserve"> Emisyonunu Etkileyen Faktörler</w:t>
      </w:r>
      <w:bookmarkEnd w:id="90"/>
    </w:p>
    <w:p w:rsidR="006675A3" w:rsidRDefault="006675A3" w:rsidP="00774F6E">
      <w:pPr>
        <w:rPr>
          <w:bCs/>
        </w:rPr>
      </w:pPr>
    </w:p>
    <w:p w:rsidR="00161478" w:rsidRDefault="00161478" w:rsidP="00774F6E">
      <w:pPr>
        <w:rPr>
          <w:bCs/>
        </w:rPr>
      </w:pPr>
    </w:p>
    <w:p w:rsidR="00161478" w:rsidRDefault="00161478" w:rsidP="00774F6E">
      <w:pPr>
        <w:rPr>
          <w:bCs/>
        </w:rPr>
      </w:pPr>
    </w:p>
    <w:p w:rsidR="00161478" w:rsidRDefault="00161478" w:rsidP="00774F6E">
      <w:pPr>
        <w:rPr>
          <w:bCs/>
        </w:rPr>
      </w:pPr>
    </w:p>
    <w:p w:rsidR="00161478" w:rsidRDefault="00161478" w:rsidP="00774F6E">
      <w:pPr>
        <w:rPr>
          <w:bCs/>
        </w:rPr>
      </w:pPr>
    </w:p>
    <w:p w:rsidR="00161478" w:rsidRDefault="00161478" w:rsidP="00774F6E">
      <w:pPr>
        <w:rPr>
          <w:bCs/>
        </w:rPr>
      </w:pPr>
    </w:p>
    <w:p w:rsidR="00161478" w:rsidRDefault="00161478" w:rsidP="00774F6E">
      <w:pPr>
        <w:rPr>
          <w:bCs/>
        </w:rPr>
      </w:pPr>
    </w:p>
    <w:p w:rsidR="00161478" w:rsidRDefault="00161478" w:rsidP="00774F6E">
      <w:pPr>
        <w:rPr>
          <w:bCs/>
        </w:rPr>
      </w:pPr>
    </w:p>
    <w:p w:rsidR="00161478" w:rsidRDefault="00161478" w:rsidP="00774F6E">
      <w:pPr>
        <w:rPr>
          <w:bCs/>
        </w:rPr>
      </w:pPr>
    </w:p>
    <w:p w:rsidR="00161478" w:rsidRDefault="00161478"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161478" w:rsidRDefault="00161478" w:rsidP="00774F6E">
      <w:pPr>
        <w:rPr>
          <w:bCs/>
        </w:rPr>
      </w:pPr>
    </w:p>
    <w:p w:rsidR="009C2966" w:rsidRDefault="009C2966" w:rsidP="00774F6E">
      <w:pPr>
        <w:rPr>
          <w:bCs/>
        </w:rPr>
      </w:pPr>
    </w:p>
    <w:p w:rsidR="009C2966" w:rsidRDefault="009C2966" w:rsidP="00774F6E">
      <w:pPr>
        <w:rPr>
          <w:bCs/>
        </w:rPr>
      </w:pPr>
    </w:p>
    <w:p w:rsidR="009C2966" w:rsidRDefault="009C2966" w:rsidP="00774F6E">
      <w:pPr>
        <w:rPr>
          <w:bCs/>
        </w:rPr>
      </w:pPr>
    </w:p>
    <w:p w:rsidR="00161478" w:rsidRPr="00DF6EDC" w:rsidRDefault="00DF6EDC" w:rsidP="00774F6E">
      <w:pPr>
        <w:rPr>
          <w:bCs/>
          <w:sz w:val="20"/>
          <w:szCs w:val="20"/>
        </w:rPr>
      </w:pPr>
      <w:r>
        <w:rPr>
          <w:b/>
          <w:bCs/>
          <w:sz w:val="20"/>
          <w:szCs w:val="20"/>
        </w:rPr>
        <w:t>Kaynak</w:t>
      </w:r>
      <w:r w:rsidR="00161478" w:rsidRPr="00DF6EDC">
        <w:rPr>
          <w:b/>
          <w:bCs/>
          <w:sz w:val="20"/>
          <w:szCs w:val="20"/>
        </w:rPr>
        <w:t>:</w:t>
      </w:r>
      <w:r w:rsidR="00161478" w:rsidRPr="00DF6EDC">
        <w:rPr>
          <w:bCs/>
          <w:sz w:val="20"/>
          <w:szCs w:val="20"/>
        </w:rPr>
        <w:t xml:space="preserve"> Yaylalı, 2008: 44</w:t>
      </w:r>
    </w:p>
    <w:p w:rsidR="0076273A" w:rsidRDefault="0076273A" w:rsidP="00774F6E">
      <w:pPr>
        <w:pStyle w:val="GvdeMetniGirintisi"/>
        <w:spacing w:line="240" w:lineRule="auto"/>
        <w:ind w:firstLine="0"/>
        <w:rPr>
          <w:b/>
          <w:bCs/>
        </w:rPr>
      </w:pPr>
    </w:p>
    <w:p w:rsidR="00B06F05" w:rsidRPr="00B06F05" w:rsidRDefault="00B06F05" w:rsidP="00774F6E">
      <w:pPr>
        <w:pStyle w:val="GvdeMetniGirintisi"/>
        <w:spacing w:before="240" w:after="240"/>
        <w:ind w:firstLine="0"/>
        <w:rPr>
          <w:bCs/>
        </w:rPr>
      </w:pPr>
      <w:r w:rsidRPr="00B06F05">
        <w:rPr>
          <w:bCs/>
        </w:rPr>
        <w:tab/>
      </w:r>
      <w:r w:rsidR="003463A8">
        <w:rPr>
          <w:bCs/>
        </w:rPr>
        <w:t>Sera gazı</w:t>
      </w:r>
      <w:r w:rsidRPr="00B06F05">
        <w:rPr>
          <w:bCs/>
        </w:rPr>
        <w:t xml:space="preserve"> emisyonunu etkileyen faktörlerin</w:t>
      </w:r>
      <w:r>
        <w:rPr>
          <w:bCs/>
        </w:rPr>
        <w:t xml:space="preserve"> başında fosil yakıtl</w:t>
      </w:r>
      <w:r w:rsidR="00A53DCA">
        <w:rPr>
          <w:bCs/>
        </w:rPr>
        <w:t>ar, hidrolik, rüzgar, güneş, bi</w:t>
      </w:r>
      <w:r>
        <w:rPr>
          <w:bCs/>
        </w:rPr>
        <w:t>oküt</w:t>
      </w:r>
      <w:r w:rsidR="009C6084">
        <w:rPr>
          <w:bCs/>
        </w:rPr>
        <w:t>le ve nükleer gelmektedir (Çizelge</w:t>
      </w:r>
      <w:r>
        <w:rPr>
          <w:bCs/>
        </w:rPr>
        <w:t xml:space="preserve"> </w:t>
      </w:r>
      <w:proofErr w:type="gramStart"/>
      <w:r>
        <w:rPr>
          <w:bCs/>
        </w:rPr>
        <w:t>1.3</w:t>
      </w:r>
      <w:proofErr w:type="gramEnd"/>
      <w:r>
        <w:rPr>
          <w:bCs/>
        </w:rPr>
        <w:t xml:space="preserve">). Bu etkenler doğal halleriyle </w:t>
      </w:r>
      <w:r w:rsidR="003463A8">
        <w:rPr>
          <w:bCs/>
        </w:rPr>
        <w:t>sera gazı</w:t>
      </w:r>
      <w:r>
        <w:rPr>
          <w:bCs/>
        </w:rPr>
        <w:t xml:space="preserve"> </w:t>
      </w:r>
      <w:r w:rsidR="003463A8">
        <w:rPr>
          <w:bCs/>
        </w:rPr>
        <w:t>emisyonlarını</w:t>
      </w:r>
      <w:r>
        <w:rPr>
          <w:bCs/>
        </w:rPr>
        <w:t xml:space="preserve"> etkilerken son zamanlarda küresel ısınmaya katalizör etkisi yapan insanoğlunun müdahalesiyle </w:t>
      </w:r>
      <w:r w:rsidR="00CE2D98">
        <w:rPr>
          <w:bCs/>
        </w:rPr>
        <w:t>daha çok etkilenmektedir.</w:t>
      </w:r>
    </w:p>
    <w:p w:rsidR="00CE2D98" w:rsidRDefault="00CE2D98" w:rsidP="00774F6E">
      <w:pPr>
        <w:pStyle w:val="GvdeMetniGirintisi"/>
        <w:spacing w:line="240" w:lineRule="auto"/>
        <w:ind w:firstLine="0"/>
        <w:jc w:val="left"/>
        <w:rPr>
          <w:b/>
          <w:bCs/>
        </w:rPr>
      </w:pPr>
    </w:p>
    <w:p w:rsidR="00CE2D98" w:rsidRDefault="00CE2D98" w:rsidP="00774F6E">
      <w:pPr>
        <w:pStyle w:val="GvdeMetniGirintisi"/>
        <w:spacing w:line="240" w:lineRule="auto"/>
        <w:ind w:firstLine="0"/>
        <w:jc w:val="left"/>
        <w:rPr>
          <w:b/>
          <w:bCs/>
        </w:rPr>
      </w:pPr>
    </w:p>
    <w:p w:rsidR="00CE2D98" w:rsidRDefault="00CE2D98" w:rsidP="00774F6E">
      <w:pPr>
        <w:pStyle w:val="GvdeMetniGirintisi"/>
        <w:spacing w:line="240" w:lineRule="auto"/>
        <w:ind w:firstLine="0"/>
        <w:jc w:val="left"/>
        <w:rPr>
          <w:b/>
          <w:bCs/>
        </w:rPr>
      </w:pPr>
    </w:p>
    <w:p w:rsidR="00CE2D98" w:rsidRDefault="00CE2D98" w:rsidP="00774F6E">
      <w:pPr>
        <w:pStyle w:val="GvdeMetniGirintisi"/>
        <w:spacing w:line="240" w:lineRule="auto"/>
        <w:ind w:firstLine="0"/>
        <w:jc w:val="left"/>
        <w:rPr>
          <w:b/>
          <w:bCs/>
        </w:rPr>
      </w:pPr>
    </w:p>
    <w:p w:rsidR="00CE2D98" w:rsidRDefault="00CE2D98" w:rsidP="00774F6E">
      <w:pPr>
        <w:pStyle w:val="GvdeMetniGirintisi"/>
        <w:spacing w:line="240" w:lineRule="auto"/>
        <w:ind w:firstLine="0"/>
        <w:jc w:val="left"/>
        <w:rPr>
          <w:b/>
          <w:bCs/>
        </w:rPr>
      </w:pPr>
    </w:p>
    <w:p w:rsidR="00CE2D98" w:rsidRDefault="00CE2D98" w:rsidP="00774F6E">
      <w:pPr>
        <w:pStyle w:val="GvdeMetniGirintisi"/>
        <w:spacing w:line="240" w:lineRule="auto"/>
        <w:ind w:firstLine="0"/>
        <w:jc w:val="left"/>
        <w:rPr>
          <w:b/>
          <w:bCs/>
        </w:rPr>
      </w:pPr>
    </w:p>
    <w:p w:rsidR="00CE2D98" w:rsidRDefault="00CE2D98" w:rsidP="00774F6E">
      <w:pPr>
        <w:pStyle w:val="GvdeMetniGirintisi"/>
        <w:spacing w:line="240" w:lineRule="auto"/>
        <w:ind w:firstLine="0"/>
        <w:jc w:val="left"/>
        <w:rPr>
          <w:b/>
          <w:bCs/>
        </w:rPr>
      </w:pPr>
    </w:p>
    <w:p w:rsidR="00CE2D98" w:rsidRDefault="00CE2D98" w:rsidP="00774F6E">
      <w:pPr>
        <w:pStyle w:val="GvdeMetniGirintisi"/>
        <w:spacing w:line="240" w:lineRule="auto"/>
        <w:ind w:firstLine="0"/>
        <w:jc w:val="left"/>
        <w:rPr>
          <w:b/>
          <w:bCs/>
        </w:rPr>
      </w:pPr>
    </w:p>
    <w:p w:rsidR="00CE2D98" w:rsidRDefault="00CE2D98" w:rsidP="00774F6E">
      <w:pPr>
        <w:pStyle w:val="GvdeMetniGirintisi"/>
        <w:spacing w:line="240" w:lineRule="auto"/>
        <w:ind w:firstLine="0"/>
        <w:jc w:val="left"/>
        <w:rPr>
          <w:b/>
          <w:bCs/>
        </w:rPr>
      </w:pPr>
    </w:p>
    <w:p w:rsidR="00CE2D98" w:rsidRDefault="00CE2D98" w:rsidP="00774F6E">
      <w:pPr>
        <w:pStyle w:val="GvdeMetniGirintisi"/>
        <w:spacing w:line="240" w:lineRule="auto"/>
        <w:ind w:firstLine="0"/>
        <w:jc w:val="left"/>
        <w:rPr>
          <w:b/>
          <w:bCs/>
        </w:rPr>
      </w:pPr>
    </w:p>
    <w:p w:rsidR="00CE2D98" w:rsidRDefault="00CE2D98" w:rsidP="00774F6E">
      <w:pPr>
        <w:pStyle w:val="GvdeMetniGirintisi"/>
        <w:spacing w:line="240" w:lineRule="auto"/>
        <w:ind w:firstLine="0"/>
        <w:jc w:val="left"/>
        <w:rPr>
          <w:b/>
          <w:bCs/>
        </w:rPr>
      </w:pPr>
    </w:p>
    <w:p w:rsidR="00CE2D98" w:rsidRDefault="00CE2D98" w:rsidP="00774F6E">
      <w:pPr>
        <w:pStyle w:val="GvdeMetniGirintisi"/>
        <w:spacing w:line="240" w:lineRule="auto"/>
        <w:ind w:firstLine="0"/>
        <w:jc w:val="left"/>
        <w:rPr>
          <w:b/>
          <w:bCs/>
        </w:rPr>
      </w:pPr>
    </w:p>
    <w:p w:rsidR="00CE2D98" w:rsidRDefault="00CE2D98" w:rsidP="00774F6E">
      <w:pPr>
        <w:pStyle w:val="GvdeMetniGirintisi"/>
        <w:spacing w:line="240" w:lineRule="auto"/>
        <w:ind w:firstLine="0"/>
        <w:jc w:val="left"/>
        <w:rPr>
          <w:b/>
          <w:bCs/>
        </w:rPr>
      </w:pPr>
    </w:p>
    <w:p w:rsidR="00B36DD6" w:rsidRPr="00B36DD6" w:rsidRDefault="000B7996" w:rsidP="00645120">
      <w:pPr>
        <w:pStyle w:val="stil1"/>
      </w:pPr>
      <w:bookmarkStart w:id="91" w:name="_Toc382298149"/>
      <w:r>
        <w:t>Şekil 1.10</w:t>
      </w:r>
      <w:r w:rsidR="00B36DD6">
        <w:t xml:space="preserve">: Sektörlere Göre Küresel </w:t>
      </w:r>
      <w:r w:rsidR="003463A8">
        <w:t>Sera Gazı</w:t>
      </w:r>
      <w:r w:rsidR="00B36DD6">
        <w:t xml:space="preserve"> Emisyonları</w:t>
      </w:r>
      <w:bookmarkEnd w:id="91"/>
    </w:p>
    <w:p w:rsidR="00B36DD6" w:rsidRPr="00324773" w:rsidRDefault="00B36DD6" w:rsidP="00324773">
      <w:r w:rsidRPr="00324773">
        <w:rPr>
          <w:noProof/>
          <w:lang w:eastAsia="tr-TR"/>
        </w:rPr>
        <w:drawing>
          <wp:inline distT="0" distB="0" distL="0" distR="0" wp14:anchorId="4E1DA750" wp14:editId="62A89442">
            <wp:extent cx="2710716" cy="3116911"/>
            <wp:effectExtent l="19050" t="19050" r="13970" b="2667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bondioksit sektör.jpg"/>
                    <pic:cNvPicPr/>
                  </pic:nvPicPr>
                  <pic:blipFill>
                    <a:blip r:embed="rId25">
                      <a:extLst>
                        <a:ext uri="{28A0092B-C50C-407E-A947-70E740481C1C}">
                          <a14:useLocalDpi xmlns:a14="http://schemas.microsoft.com/office/drawing/2010/main" val="0"/>
                        </a:ext>
                      </a:extLst>
                    </a:blip>
                    <a:stretch>
                      <a:fillRect/>
                    </a:stretch>
                  </pic:blipFill>
                  <pic:spPr>
                    <a:xfrm>
                      <a:off x="0" y="0"/>
                      <a:ext cx="2710717" cy="3116912"/>
                    </a:xfrm>
                    <a:prstGeom prst="rect">
                      <a:avLst/>
                    </a:prstGeom>
                    <a:ln>
                      <a:solidFill>
                        <a:schemeClr val="tx1"/>
                      </a:solidFill>
                    </a:ln>
                  </pic:spPr>
                </pic:pic>
              </a:graphicData>
            </a:graphic>
          </wp:inline>
        </w:drawing>
      </w:r>
    </w:p>
    <w:p w:rsidR="00B36DD6" w:rsidRPr="00A13CE9" w:rsidRDefault="00B36DD6" w:rsidP="00324773">
      <w:pPr>
        <w:rPr>
          <w:sz w:val="20"/>
          <w:szCs w:val="20"/>
        </w:rPr>
      </w:pPr>
      <w:r w:rsidRPr="00A13CE9">
        <w:rPr>
          <w:b/>
          <w:sz w:val="20"/>
          <w:szCs w:val="20"/>
        </w:rPr>
        <w:t>Kaynak:</w:t>
      </w:r>
      <w:r w:rsidRPr="00A13CE9">
        <w:rPr>
          <w:sz w:val="20"/>
          <w:szCs w:val="20"/>
        </w:rPr>
        <w:t xml:space="preserve"> </w:t>
      </w:r>
      <w:r w:rsidR="00CE2D98" w:rsidRPr="00A13CE9">
        <w:rPr>
          <w:sz w:val="20"/>
          <w:szCs w:val="20"/>
        </w:rPr>
        <w:t>IPCC (2007)</w:t>
      </w:r>
    </w:p>
    <w:p w:rsidR="00E41EB8" w:rsidRPr="000403CB" w:rsidRDefault="004A52E5" w:rsidP="00774F6E">
      <w:pPr>
        <w:pStyle w:val="GvdeMetniGirintisi"/>
        <w:spacing w:before="240" w:after="240"/>
        <w:ind w:firstLine="0"/>
        <w:rPr>
          <w:bCs/>
        </w:rPr>
      </w:pPr>
      <w:r>
        <w:rPr>
          <w:bCs/>
        </w:rPr>
        <w:tab/>
        <w:t xml:space="preserve">IPCC’nin 2007 yılındaki </w:t>
      </w:r>
      <w:r w:rsidR="00E676CC">
        <w:rPr>
          <w:bCs/>
        </w:rPr>
        <w:t xml:space="preserve">AR4 </w:t>
      </w:r>
      <w:r>
        <w:rPr>
          <w:bCs/>
        </w:rPr>
        <w:t xml:space="preserve">raporuna göre </w:t>
      </w:r>
      <w:r w:rsidR="003463A8">
        <w:rPr>
          <w:bCs/>
        </w:rPr>
        <w:t>sera gazı</w:t>
      </w:r>
      <w:r w:rsidR="000111C8">
        <w:rPr>
          <w:bCs/>
        </w:rPr>
        <w:t xml:space="preserve"> </w:t>
      </w:r>
      <w:r w:rsidR="003463A8">
        <w:rPr>
          <w:bCs/>
        </w:rPr>
        <w:t>emisyonlarının</w:t>
      </w:r>
      <w:r w:rsidR="000111C8">
        <w:rPr>
          <w:bCs/>
        </w:rPr>
        <w:t xml:space="preserve"> ekonomik belirleyicileri arasında birinci sırayı enerji kullanımı (% 26), ikinci sırayı </w:t>
      </w:r>
      <w:r w:rsidR="003463A8">
        <w:rPr>
          <w:bCs/>
        </w:rPr>
        <w:t>sanayi (% 19) ve üçüncü sırayı</w:t>
      </w:r>
      <w:r w:rsidR="000111C8">
        <w:rPr>
          <w:bCs/>
        </w:rPr>
        <w:t xml:space="preserve"> orman almaktadır</w:t>
      </w:r>
      <w:r w:rsidR="00CE2D98">
        <w:rPr>
          <w:bCs/>
        </w:rPr>
        <w:t xml:space="preserve"> (Şekil 1.10)</w:t>
      </w:r>
      <w:r w:rsidR="000111C8">
        <w:rPr>
          <w:bCs/>
        </w:rPr>
        <w:t>.</w:t>
      </w:r>
      <w:r w:rsidR="00CE2D98">
        <w:rPr>
          <w:bCs/>
        </w:rPr>
        <w:t xml:space="preserve"> Literatürde genellikle yapılan çalışmalarda </w:t>
      </w:r>
      <w:r w:rsidR="00CE2D98" w:rsidRPr="00CE2D98">
        <w:rPr>
          <w:bCs/>
        </w:rPr>
        <w:t>CO</w:t>
      </w:r>
      <w:r w:rsidR="00CE2D98" w:rsidRPr="00072FD2">
        <w:rPr>
          <w:bCs/>
          <w:vertAlign w:val="subscript"/>
        </w:rPr>
        <w:t>2</w:t>
      </w:r>
      <w:r w:rsidR="00CE2D98" w:rsidRPr="00CE2D98">
        <w:rPr>
          <w:bCs/>
        </w:rPr>
        <w:t xml:space="preserve"> emisyonunun temel belirleyicileri, beş ana gruba ayrılmaktadır. </w:t>
      </w:r>
      <w:r w:rsidR="007A7D61">
        <w:rPr>
          <w:bCs/>
        </w:rPr>
        <w:t>Bu gruplar nüfus büyüklüğü, kişi başına GSYİH, enerji yoğunluğu, karbon yoğunluğu ve ormansızlaşma olarak tanımlanmaktadır. İklim değişikliği bağlamında bu beş faktörden birinin, birkaçının ya da hepsinin birden azaltılması gerekmektedir</w:t>
      </w:r>
      <w:r w:rsidR="00E41EB8">
        <w:rPr>
          <w:bCs/>
        </w:rPr>
        <w:t xml:space="preserve"> (Karakaya ve Özçağ, 2003: 12)</w:t>
      </w:r>
      <w:r w:rsidR="00CE2D98" w:rsidRPr="00CE2D98">
        <w:rPr>
          <w:bCs/>
        </w:rPr>
        <w:t>.</w:t>
      </w:r>
    </w:p>
    <w:p w:rsidR="0044255F" w:rsidRPr="00073D79" w:rsidRDefault="00E56F2D" w:rsidP="009960F7">
      <w:pPr>
        <w:pStyle w:val="Balk3"/>
        <w:numPr>
          <w:ilvl w:val="2"/>
          <w:numId w:val="33"/>
        </w:numPr>
      </w:pPr>
      <w:bookmarkStart w:id="92" w:name="_Toc384823978"/>
      <w:bookmarkStart w:id="93" w:name="_Toc80041060"/>
      <w:r>
        <w:t xml:space="preserve"> </w:t>
      </w:r>
      <w:r w:rsidR="0044255F" w:rsidRPr="00073D79">
        <w:t>Enerji Kullanımı</w:t>
      </w:r>
      <w:bookmarkEnd w:id="92"/>
    </w:p>
    <w:p w:rsidR="003E5C3D" w:rsidRDefault="003E5C3D" w:rsidP="00774F6E">
      <w:pPr>
        <w:tabs>
          <w:tab w:val="left" w:pos="567"/>
        </w:tabs>
        <w:spacing w:before="240" w:after="240" w:line="360" w:lineRule="auto"/>
        <w:jc w:val="both"/>
        <w:rPr>
          <w:bCs/>
        </w:rPr>
      </w:pPr>
      <w:r>
        <w:rPr>
          <w:bCs/>
        </w:rPr>
        <w:tab/>
        <w:t xml:space="preserve">Son yıllarda küresel ekonomideki daralma yaşanmasına rağmen, artış trendinde olan enerji fiyatları, küresel ısınma ve iklim değişikliği konusunda artan duyarlılık, dünya enerji talebindeki artışa karşın tükenme eğilimine girmiş olan fosil yakıtlara bağımlılığın devam edecek olması ülkelerin enerji güvenliği konusundaki kaygıları </w:t>
      </w:r>
      <w:r w:rsidR="000E0AF9">
        <w:rPr>
          <w:bCs/>
        </w:rPr>
        <w:t>h</w:t>
      </w:r>
      <w:r>
        <w:rPr>
          <w:bCs/>
        </w:rPr>
        <w:t>er geçen gün arttırmaktadır.</w:t>
      </w:r>
    </w:p>
    <w:p w:rsidR="00B36DD6" w:rsidRDefault="008C5589" w:rsidP="00774F6E">
      <w:pPr>
        <w:tabs>
          <w:tab w:val="left" w:pos="567"/>
        </w:tabs>
        <w:spacing w:before="240" w:after="240" w:line="360" w:lineRule="auto"/>
        <w:jc w:val="both"/>
        <w:rPr>
          <w:bCs/>
        </w:rPr>
      </w:pPr>
      <w:r>
        <w:rPr>
          <w:bCs/>
        </w:rPr>
        <w:tab/>
      </w:r>
      <w:r w:rsidR="002018F3">
        <w:rPr>
          <w:bCs/>
        </w:rPr>
        <w:tab/>
      </w:r>
      <w:r w:rsidR="00BF5D4B" w:rsidRPr="000D73EB">
        <w:rPr>
          <w:bCs/>
        </w:rPr>
        <w:t xml:space="preserve">Fosil yakıtlar olarak bilinen </w:t>
      </w:r>
      <w:r w:rsidR="00C84742" w:rsidRPr="000D73EB">
        <w:rPr>
          <w:bCs/>
        </w:rPr>
        <w:t>petrol, kömür ve doğal gaz, dünya enerji tüketiminde büyük paya sahiptir. U</w:t>
      </w:r>
      <w:r w:rsidR="000D73EB">
        <w:rPr>
          <w:bCs/>
        </w:rPr>
        <w:t>luslar</w:t>
      </w:r>
      <w:r w:rsidR="00C84742" w:rsidRPr="000D73EB">
        <w:rPr>
          <w:bCs/>
        </w:rPr>
        <w:t xml:space="preserve">arası Enerji Ajansı’nın </w:t>
      </w:r>
      <w:r w:rsidR="002018F3">
        <w:rPr>
          <w:bCs/>
        </w:rPr>
        <w:t>(</w:t>
      </w:r>
      <w:r w:rsidR="00F71FCE">
        <w:rPr>
          <w:bCs/>
        </w:rPr>
        <w:t>I</w:t>
      </w:r>
      <w:r w:rsidR="002018F3">
        <w:rPr>
          <w:bCs/>
        </w:rPr>
        <w:t xml:space="preserve">EA) </w:t>
      </w:r>
      <w:r w:rsidR="000D73EB" w:rsidRPr="000D73EB">
        <w:rPr>
          <w:bCs/>
        </w:rPr>
        <w:t xml:space="preserve">yayınlamış olduğu verilerine göre, 2006 yılında 11.730 mtep (milyon ton eşdeğeri petrol) olan </w:t>
      </w:r>
      <w:r w:rsidR="000D73EB" w:rsidRPr="000D73EB">
        <w:rPr>
          <w:bCs/>
        </w:rPr>
        <w:lastRenderedPageBreak/>
        <w:t>Düya birincil enerji tüketimi, kurumun kendi Referans Senaryonu göre 2006-2030 yıll</w:t>
      </w:r>
      <w:r w:rsidR="00DA05C6">
        <w:rPr>
          <w:bCs/>
        </w:rPr>
        <w:t>arı arasında yıllık %</w:t>
      </w:r>
      <w:proofErr w:type="gramStart"/>
      <w:r w:rsidR="00DA05C6">
        <w:rPr>
          <w:bCs/>
        </w:rPr>
        <w:t>1.</w:t>
      </w:r>
      <w:r w:rsidR="000D73EB" w:rsidRPr="000D73EB">
        <w:rPr>
          <w:bCs/>
        </w:rPr>
        <w:t>6</w:t>
      </w:r>
      <w:proofErr w:type="gramEnd"/>
      <w:r w:rsidR="000D73EB" w:rsidRPr="000D73EB">
        <w:rPr>
          <w:bCs/>
        </w:rPr>
        <w:t xml:space="preserve"> oranında artarak, 17.014 mtep’e ulaşması beklenmektedir. Bu artış oranı % 45 oranında yükselmesi anlamına gelmektedir.</w:t>
      </w:r>
    </w:p>
    <w:p w:rsidR="00F86C60" w:rsidRPr="000D73EB" w:rsidRDefault="00F86C60" w:rsidP="00774F6E">
      <w:pPr>
        <w:tabs>
          <w:tab w:val="left" w:pos="567"/>
        </w:tabs>
        <w:spacing w:before="240" w:after="240" w:line="360" w:lineRule="auto"/>
        <w:jc w:val="both"/>
        <w:rPr>
          <w:bCs/>
        </w:rPr>
      </w:pPr>
      <w:r>
        <w:rPr>
          <w:bCs/>
        </w:rPr>
        <w:tab/>
        <w:t>CO</w:t>
      </w:r>
      <w:r w:rsidR="001C0CA7">
        <w:rPr>
          <w:bCs/>
          <w:vertAlign w:val="subscript"/>
        </w:rPr>
        <w:t>2</w:t>
      </w:r>
      <w:r w:rsidR="001C0CA7">
        <w:rPr>
          <w:bCs/>
        </w:rPr>
        <w:t xml:space="preserve"> yoğunluğu, </w:t>
      </w:r>
      <w:r w:rsidRPr="00F86C60">
        <w:rPr>
          <w:bCs/>
        </w:rPr>
        <w:t xml:space="preserve">yenilenebilir enerji kaynakları, nükleer veya hidro-elektrik santralleri kullanan ülkelerde daha düşük oranda gerçekleşmektedir. </w:t>
      </w:r>
      <w:r w:rsidR="001C0CA7">
        <w:rPr>
          <w:bCs/>
        </w:rPr>
        <w:t xml:space="preserve">Küresel ısınmaya en büyük katkıyı yapan </w:t>
      </w:r>
      <w:r w:rsidRPr="00F86C60">
        <w:rPr>
          <w:bCs/>
        </w:rPr>
        <w:t>fosil yakıtların türü de önemlidir. 1 birim enerji üretimi için kömürü</w:t>
      </w:r>
      <w:r w:rsidR="003463A8">
        <w:rPr>
          <w:bCs/>
        </w:rPr>
        <w:t>n yakılması sonucu karbon emisyonu</w:t>
      </w:r>
      <w:r w:rsidRPr="00F86C60">
        <w:rPr>
          <w:bCs/>
        </w:rPr>
        <w:t>, doğalgaza göre yaklaşık iki kat daha fazladır (Zhang, 2000).</w:t>
      </w:r>
    </w:p>
    <w:p w:rsidR="001F767A" w:rsidRDefault="00E41EB8" w:rsidP="00774F6E">
      <w:pPr>
        <w:tabs>
          <w:tab w:val="left" w:pos="567"/>
        </w:tabs>
        <w:spacing w:before="240" w:after="240" w:line="360" w:lineRule="auto"/>
        <w:jc w:val="both"/>
        <w:rPr>
          <w:bCs/>
        </w:rPr>
      </w:pPr>
      <w:r>
        <w:rPr>
          <w:bCs/>
        </w:rPr>
        <w:tab/>
        <w:t xml:space="preserve">Dünya nüfusundaki </w:t>
      </w:r>
      <w:r w:rsidR="009B4CCB">
        <w:rPr>
          <w:bCs/>
        </w:rPr>
        <w:t>artışı</w:t>
      </w:r>
      <w:r>
        <w:rPr>
          <w:bCs/>
        </w:rPr>
        <w:t xml:space="preserve">, sanayileşme ve kentleşme olguları, küreselleşme sonucu artan ticari imkânlar, doğal kaynaklara ve enerjiye olan talebi giderek arttırmaktadır. </w:t>
      </w:r>
      <w:r w:rsidR="002018F3">
        <w:rPr>
          <w:bCs/>
        </w:rPr>
        <w:t xml:space="preserve">Fosil yakıtların enerji arzındaki ağırlığı, küresel ısınma ve iklim değişikliği olgularının önemini arttırmaktadır. Gelişmekte olan Hindistan ve Çin gibi nüfusu yoğun ülkelerin enerji arzlarının her geçen gün artması, </w:t>
      </w:r>
      <w:r w:rsidR="00FD35A0">
        <w:rPr>
          <w:bCs/>
        </w:rPr>
        <w:t>küresel ısınma olgusunu pekiştirmektedir.</w:t>
      </w:r>
    </w:p>
    <w:p w:rsidR="001F767A" w:rsidRPr="00B36DD6" w:rsidRDefault="000B7996" w:rsidP="00645120">
      <w:pPr>
        <w:pStyle w:val="stil1"/>
      </w:pPr>
      <w:bookmarkStart w:id="94" w:name="_Toc382298150"/>
      <w:r>
        <w:t>Şekil 1.11</w:t>
      </w:r>
      <w:r w:rsidR="001F767A">
        <w:t xml:space="preserve">: Avrupa Birliği </w:t>
      </w:r>
      <w:r w:rsidR="003463A8">
        <w:t>Sera Gazı</w:t>
      </w:r>
      <w:r w:rsidR="001F767A">
        <w:t xml:space="preserve"> Emisyonlarının Sektörel Trendleri ve Projeksiyonları</w:t>
      </w:r>
      <w:bookmarkEnd w:id="94"/>
    </w:p>
    <w:p w:rsidR="008657B3" w:rsidRDefault="008657B3" w:rsidP="00774F6E">
      <w:pPr>
        <w:rPr>
          <w:bCs/>
        </w:rPr>
      </w:pPr>
      <w:r>
        <w:rPr>
          <w:bCs/>
          <w:noProof/>
          <w:lang w:eastAsia="tr-TR"/>
        </w:rPr>
        <w:drawing>
          <wp:anchor distT="0" distB="0" distL="114300" distR="114300" simplePos="0" relativeHeight="251668992" behindDoc="1" locked="0" layoutInCell="1" allowOverlap="1" wp14:anchorId="784C8CE7" wp14:editId="2BC66D75">
            <wp:simplePos x="0" y="0"/>
            <wp:positionH relativeFrom="column">
              <wp:posOffset>6350</wp:posOffset>
            </wp:positionH>
            <wp:positionV relativeFrom="paragraph">
              <wp:posOffset>37465</wp:posOffset>
            </wp:positionV>
            <wp:extent cx="4622165" cy="3076575"/>
            <wp:effectExtent l="19050" t="19050" r="26035" b="28575"/>
            <wp:wrapTight wrapText="bothSides">
              <wp:wrapPolygon edited="0">
                <wp:start x="-89" y="-134"/>
                <wp:lineTo x="-89" y="21667"/>
                <wp:lineTo x="21633" y="21667"/>
                <wp:lineTo x="21633" y="-134"/>
                <wp:lineTo x="-89" y="-134"/>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ji ulaşım.jpg"/>
                    <pic:cNvPicPr/>
                  </pic:nvPicPr>
                  <pic:blipFill>
                    <a:blip r:embed="rId26">
                      <a:extLst>
                        <a:ext uri="{28A0092B-C50C-407E-A947-70E740481C1C}">
                          <a14:useLocalDpi xmlns:a14="http://schemas.microsoft.com/office/drawing/2010/main" val="0"/>
                        </a:ext>
                      </a:extLst>
                    </a:blip>
                    <a:stretch>
                      <a:fillRect/>
                    </a:stretch>
                  </pic:blipFill>
                  <pic:spPr>
                    <a:xfrm>
                      <a:off x="0" y="0"/>
                      <a:ext cx="4622165" cy="3076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B93C39" w:rsidRDefault="00B93C39"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8657B3" w:rsidRDefault="008657B3" w:rsidP="00774F6E">
      <w:pPr>
        <w:rPr>
          <w:bCs/>
        </w:rPr>
      </w:pPr>
    </w:p>
    <w:p w:rsidR="00B93C39" w:rsidRDefault="00B93C39" w:rsidP="00774F6E">
      <w:pPr>
        <w:rPr>
          <w:bCs/>
        </w:rPr>
      </w:pPr>
    </w:p>
    <w:p w:rsidR="00AB42BB" w:rsidRPr="00AB42BB" w:rsidRDefault="00AB42BB" w:rsidP="00774F6E">
      <w:pPr>
        <w:rPr>
          <w:bCs/>
          <w:sz w:val="20"/>
          <w:szCs w:val="20"/>
        </w:rPr>
      </w:pPr>
      <w:r w:rsidRPr="00AB42BB">
        <w:rPr>
          <w:b/>
          <w:bCs/>
          <w:sz w:val="20"/>
          <w:szCs w:val="20"/>
        </w:rPr>
        <w:t>Kaynak:</w:t>
      </w:r>
      <w:r w:rsidR="0025482C">
        <w:rPr>
          <w:bCs/>
          <w:sz w:val="20"/>
          <w:szCs w:val="20"/>
        </w:rPr>
        <w:t xml:space="preserve"> </w:t>
      </w:r>
      <w:r w:rsidR="00737FED" w:rsidRPr="00737FED">
        <w:rPr>
          <w:bCs/>
          <w:sz w:val="20"/>
          <w:szCs w:val="20"/>
        </w:rPr>
        <w:t>http://www.eea.europa.eu</w:t>
      </w:r>
      <w:r w:rsidR="00737FED">
        <w:rPr>
          <w:bCs/>
          <w:sz w:val="20"/>
          <w:szCs w:val="20"/>
        </w:rPr>
        <w:t xml:space="preserve"> (7)</w:t>
      </w:r>
    </w:p>
    <w:p w:rsidR="00AB42BB" w:rsidRPr="00AB42BB" w:rsidRDefault="00AB42BB" w:rsidP="00774F6E">
      <w:pPr>
        <w:rPr>
          <w:vanish/>
        </w:rPr>
      </w:pPr>
      <w:r w:rsidRPr="00AB42BB">
        <w:rPr>
          <w:vanish/>
        </w:rPr>
        <w:t>Info</w:t>
      </w:r>
    </w:p>
    <w:p w:rsidR="00AB42BB" w:rsidRPr="00AB42BB" w:rsidRDefault="00AB42BB" w:rsidP="00774F6E">
      <w:r w:rsidRPr="00AB42BB">
        <w:t xml:space="preserve"> </w:t>
      </w:r>
    </w:p>
    <w:p w:rsidR="00BC68CE" w:rsidRPr="007828F3" w:rsidRDefault="00B67335" w:rsidP="000E0AF9">
      <w:pPr>
        <w:spacing w:before="240" w:after="240" w:line="360" w:lineRule="auto"/>
        <w:ind w:firstLine="706"/>
        <w:jc w:val="both"/>
        <w:rPr>
          <w:bCs/>
        </w:rPr>
      </w:pPr>
      <w:r>
        <w:rPr>
          <w:bCs/>
        </w:rPr>
        <w:t>Şekil 1.11</w:t>
      </w:r>
      <w:r w:rsidR="008627A5">
        <w:rPr>
          <w:bCs/>
        </w:rPr>
        <w:t xml:space="preserve">’de </w:t>
      </w:r>
      <w:r w:rsidR="00D01381">
        <w:rPr>
          <w:bCs/>
        </w:rPr>
        <w:t xml:space="preserve">Avrupa Çevre Ajansı’nın sektörlere göre </w:t>
      </w:r>
      <w:r w:rsidR="003463A8">
        <w:rPr>
          <w:bCs/>
        </w:rPr>
        <w:t>sera gazı</w:t>
      </w:r>
      <w:r w:rsidR="00D01381">
        <w:rPr>
          <w:bCs/>
        </w:rPr>
        <w:t xml:space="preserve"> </w:t>
      </w:r>
      <w:r w:rsidR="008627A5">
        <w:rPr>
          <w:bCs/>
        </w:rPr>
        <w:t xml:space="preserve">emisyon </w:t>
      </w:r>
      <w:r w:rsidR="00D01381">
        <w:rPr>
          <w:bCs/>
        </w:rPr>
        <w:t xml:space="preserve">trendleri </w:t>
      </w:r>
      <w:r w:rsidR="008627A5">
        <w:rPr>
          <w:bCs/>
        </w:rPr>
        <w:t>verilmektedir. 1990-2011 yılları a</w:t>
      </w:r>
      <w:r w:rsidR="00A47CD5">
        <w:rPr>
          <w:bCs/>
        </w:rPr>
        <w:t xml:space="preserve">rasında gerçekleşen emisyonlar, </w:t>
      </w:r>
      <w:r w:rsidR="008627A5">
        <w:rPr>
          <w:bCs/>
        </w:rPr>
        <w:t>2011-2020 yılları arasında ise öngörülen projeksiyonlar (kesik</w:t>
      </w:r>
      <w:r w:rsidR="009B4CCB">
        <w:rPr>
          <w:bCs/>
        </w:rPr>
        <w:t>li çizgiler) verilmektedir. Avru</w:t>
      </w:r>
      <w:r w:rsidR="008627A5">
        <w:rPr>
          <w:bCs/>
        </w:rPr>
        <w:t xml:space="preserve">pa </w:t>
      </w:r>
      <w:r w:rsidR="008627A5">
        <w:rPr>
          <w:bCs/>
        </w:rPr>
        <w:lastRenderedPageBreak/>
        <w:t xml:space="preserve">Birliği Kyoto </w:t>
      </w:r>
      <w:r w:rsidR="000E0AF9">
        <w:rPr>
          <w:bCs/>
        </w:rPr>
        <w:t>P</w:t>
      </w:r>
      <w:r w:rsidR="008627A5">
        <w:rPr>
          <w:bCs/>
        </w:rPr>
        <w:t>rotokolü</w:t>
      </w:r>
      <w:r w:rsidR="000E0AF9">
        <w:rPr>
          <w:bCs/>
        </w:rPr>
        <w:t>’</w:t>
      </w:r>
      <w:r w:rsidR="008627A5">
        <w:rPr>
          <w:bCs/>
        </w:rPr>
        <w:t>ne göre, 1990 yılını baz alarak hede</w:t>
      </w:r>
      <w:r w:rsidR="00B07D1D">
        <w:rPr>
          <w:bCs/>
        </w:rPr>
        <w:t xml:space="preserve">flediği emisyon azaltım miktarını tutturamasa da emisyonlar azalma eğilimindedir. </w:t>
      </w:r>
    </w:p>
    <w:p w:rsidR="0044255F" w:rsidRDefault="00E56F2D" w:rsidP="009960F7">
      <w:pPr>
        <w:pStyle w:val="Balk3"/>
        <w:numPr>
          <w:ilvl w:val="2"/>
          <w:numId w:val="33"/>
        </w:numPr>
      </w:pPr>
      <w:bookmarkStart w:id="95" w:name="_Toc384823979"/>
      <w:r>
        <w:t xml:space="preserve"> </w:t>
      </w:r>
      <w:r w:rsidR="0044255F">
        <w:t>Sanayi Faaliyetleri</w:t>
      </w:r>
      <w:bookmarkEnd w:id="95"/>
    </w:p>
    <w:p w:rsidR="00A84F36" w:rsidRDefault="00A84F36" w:rsidP="00774F6E">
      <w:pPr>
        <w:autoSpaceDE w:val="0"/>
        <w:autoSpaceDN w:val="0"/>
        <w:adjustRightInd w:val="0"/>
        <w:spacing w:before="240" w:after="240" w:line="360" w:lineRule="auto"/>
        <w:ind w:firstLine="708"/>
        <w:jc w:val="both"/>
        <w:rPr>
          <w:bCs/>
        </w:rPr>
      </w:pPr>
      <w:r w:rsidRPr="00A84F36">
        <w:rPr>
          <w:bCs/>
        </w:rPr>
        <w:t xml:space="preserve">Sanayi sektörü, ülkenin kalkınmasındaki katkısı, gelişimi ve </w:t>
      </w:r>
      <w:r>
        <w:rPr>
          <w:bCs/>
        </w:rPr>
        <w:t xml:space="preserve">rekabetçiliği ekseninde, kaynak </w:t>
      </w:r>
      <w:r w:rsidRPr="00A84F36">
        <w:rPr>
          <w:bCs/>
        </w:rPr>
        <w:t xml:space="preserve">tüketimi ve </w:t>
      </w:r>
      <w:r w:rsidR="003463A8">
        <w:rPr>
          <w:bCs/>
        </w:rPr>
        <w:t>sera gazı</w:t>
      </w:r>
      <w:r w:rsidRPr="00A84F36">
        <w:rPr>
          <w:bCs/>
        </w:rPr>
        <w:t xml:space="preserve"> emisyonu ile iklim değişikliği üzerinde önemli etkiye sahiptir.</w:t>
      </w:r>
      <w:r>
        <w:rPr>
          <w:bCs/>
        </w:rPr>
        <w:t xml:space="preserve"> S</w:t>
      </w:r>
      <w:r w:rsidRPr="00A84F36">
        <w:rPr>
          <w:bCs/>
        </w:rPr>
        <w:t xml:space="preserve">anayi sektörünün yapısı, </w:t>
      </w:r>
      <w:r>
        <w:rPr>
          <w:bCs/>
        </w:rPr>
        <w:t>d</w:t>
      </w:r>
      <w:r w:rsidRPr="00A84F36">
        <w:rPr>
          <w:bCs/>
        </w:rPr>
        <w:t>emir</w:t>
      </w:r>
      <w:r>
        <w:rPr>
          <w:bCs/>
        </w:rPr>
        <w:t xml:space="preserve">-çelik, </w:t>
      </w:r>
      <w:r w:rsidRPr="00A84F36">
        <w:rPr>
          <w:bCs/>
        </w:rPr>
        <w:t xml:space="preserve">çimento gibi </w:t>
      </w:r>
      <w:r w:rsidR="003463A8">
        <w:rPr>
          <w:bCs/>
        </w:rPr>
        <w:t>sera gazı</w:t>
      </w:r>
      <w:r w:rsidRPr="00A84F36">
        <w:rPr>
          <w:bCs/>
        </w:rPr>
        <w:t xml:space="preserve"> emisyonları açısından yoğ</w:t>
      </w:r>
      <w:r>
        <w:rPr>
          <w:bCs/>
        </w:rPr>
        <w:t xml:space="preserve">un etkiye sahip alt sektörlerin </w:t>
      </w:r>
      <w:r w:rsidR="003463A8">
        <w:rPr>
          <w:bCs/>
        </w:rPr>
        <w:t>sera gazı</w:t>
      </w:r>
      <w:r w:rsidRPr="00A84F36">
        <w:rPr>
          <w:bCs/>
        </w:rPr>
        <w:t xml:space="preserve"> emisyonları ve performansları da </w:t>
      </w:r>
      <w:r>
        <w:rPr>
          <w:bCs/>
        </w:rPr>
        <w:t>çok önemlidir.</w:t>
      </w:r>
    </w:p>
    <w:p w:rsidR="0044255F" w:rsidRDefault="007D3D9D" w:rsidP="00774F6E">
      <w:pPr>
        <w:spacing w:before="240" w:after="240" w:line="360" w:lineRule="auto"/>
        <w:ind w:firstLine="708"/>
        <w:jc w:val="both"/>
        <w:rPr>
          <w:bCs/>
        </w:rPr>
      </w:pPr>
      <w:r>
        <w:rPr>
          <w:bCs/>
        </w:rPr>
        <w:t xml:space="preserve">İklim bilimcilerin araştırmalarına göre </w:t>
      </w:r>
      <w:r w:rsidR="00CF32AA" w:rsidRPr="00CF32AA">
        <w:rPr>
          <w:bCs/>
        </w:rPr>
        <w:t xml:space="preserve">1980-1990 döneminde atmosfer içindeki karbondioksit yoğunluğu, 21. yüzyılın başlarında karbondioksit </w:t>
      </w:r>
      <w:r>
        <w:rPr>
          <w:bCs/>
        </w:rPr>
        <w:t xml:space="preserve">yoğunluğunun ikiye katlanacağı ve </w:t>
      </w:r>
      <w:r w:rsidR="00A13256">
        <w:rPr>
          <w:bCs/>
        </w:rPr>
        <w:t xml:space="preserve">dünyanın yüzey ısısının </w:t>
      </w:r>
      <w:proofErr w:type="gramStart"/>
      <w:r w:rsidR="00A13256">
        <w:rPr>
          <w:bCs/>
        </w:rPr>
        <w:t>1</w:t>
      </w:r>
      <w:r w:rsidR="008A6B7F">
        <w:rPr>
          <w:bCs/>
        </w:rPr>
        <w:t>.</w:t>
      </w:r>
      <w:r w:rsidR="00A13256">
        <w:rPr>
          <w:bCs/>
        </w:rPr>
        <w:t>5</w:t>
      </w:r>
      <w:proofErr w:type="gramEnd"/>
      <w:r w:rsidR="00A13256">
        <w:rPr>
          <w:bCs/>
        </w:rPr>
        <w:t xml:space="preserve"> °C</w:t>
      </w:r>
      <w:r>
        <w:rPr>
          <w:bCs/>
        </w:rPr>
        <w:t xml:space="preserve"> </w:t>
      </w:r>
      <w:r w:rsidR="008A6B7F">
        <w:rPr>
          <w:bCs/>
        </w:rPr>
        <w:t>–</w:t>
      </w:r>
      <w:r>
        <w:rPr>
          <w:bCs/>
        </w:rPr>
        <w:t xml:space="preserve"> </w:t>
      </w:r>
      <w:r w:rsidR="00A13256">
        <w:rPr>
          <w:bCs/>
        </w:rPr>
        <w:t>4</w:t>
      </w:r>
      <w:r w:rsidR="008A6B7F">
        <w:rPr>
          <w:bCs/>
        </w:rPr>
        <w:t>.</w:t>
      </w:r>
      <w:r w:rsidR="00A13256">
        <w:rPr>
          <w:bCs/>
        </w:rPr>
        <w:t xml:space="preserve">5 </w:t>
      </w:r>
      <w:r w:rsidR="00A13256" w:rsidRPr="00A13256">
        <w:rPr>
          <w:bCs/>
        </w:rPr>
        <w:t>°C</w:t>
      </w:r>
      <w:r>
        <w:rPr>
          <w:bCs/>
        </w:rPr>
        <w:t xml:space="preserve"> artacağı</w:t>
      </w:r>
      <w:r w:rsidR="00CF32AA" w:rsidRPr="00CF32AA">
        <w:rPr>
          <w:bCs/>
        </w:rPr>
        <w:t xml:space="preserve"> </w:t>
      </w:r>
      <w:r>
        <w:rPr>
          <w:bCs/>
        </w:rPr>
        <w:t xml:space="preserve">tahmin edilmektedir </w:t>
      </w:r>
      <w:r w:rsidR="00CF32AA" w:rsidRPr="00CF32AA">
        <w:rPr>
          <w:bCs/>
        </w:rPr>
        <w:t>(Keleş ve Hamamcı, 2002: 88).</w:t>
      </w:r>
    </w:p>
    <w:p w:rsidR="00301045" w:rsidRPr="00301045" w:rsidRDefault="00FB0E0B" w:rsidP="000D38D2">
      <w:pPr>
        <w:pStyle w:val="it6"/>
      </w:pPr>
      <w:bookmarkStart w:id="96" w:name="_Toc384716093"/>
      <w:r>
        <w:t>Çizelge</w:t>
      </w:r>
      <w:r w:rsidR="004E40ED">
        <w:t xml:space="preserve"> </w:t>
      </w:r>
      <w:proofErr w:type="gramStart"/>
      <w:r w:rsidR="004E40ED">
        <w:t>1.4</w:t>
      </w:r>
      <w:proofErr w:type="gramEnd"/>
      <w:r w:rsidR="00301045" w:rsidRPr="00301045">
        <w:t>: Farklı ülkelerde üretilen katma değerde sanayinin oranı</w:t>
      </w:r>
      <w:bookmarkEnd w:id="96"/>
    </w:p>
    <w:tbl>
      <w:tblPr>
        <w:tblW w:w="8460" w:type="dxa"/>
        <w:tblInd w:w="55" w:type="dxa"/>
        <w:tblCellMar>
          <w:left w:w="70" w:type="dxa"/>
          <w:right w:w="70" w:type="dxa"/>
        </w:tblCellMar>
        <w:tblLook w:val="04A0" w:firstRow="1" w:lastRow="0" w:firstColumn="1" w:lastColumn="0" w:noHBand="0" w:noVBand="1"/>
      </w:tblPr>
      <w:tblGrid>
        <w:gridCol w:w="1805"/>
        <w:gridCol w:w="555"/>
        <w:gridCol w:w="3018"/>
        <w:gridCol w:w="340"/>
        <w:gridCol w:w="2436"/>
        <w:gridCol w:w="340"/>
      </w:tblGrid>
      <w:tr w:rsidR="00301045" w:rsidTr="00301045">
        <w:trPr>
          <w:trHeight w:val="645"/>
        </w:trPr>
        <w:tc>
          <w:tcPr>
            <w:tcW w:w="2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01045" w:rsidRPr="00650056" w:rsidRDefault="00301045" w:rsidP="00774F6E">
            <w:pPr>
              <w:jc w:val="center"/>
              <w:rPr>
                <w:b/>
                <w:color w:val="000000"/>
                <w:sz w:val="20"/>
                <w:szCs w:val="20"/>
              </w:rPr>
            </w:pPr>
            <w:r w:rsidRPr="00650056">
              <w:rPr>
                <w:b/>
                <w:color w:val="000000"/>
                <w:sz w:val="20"/>
                <w:szCs w:val="20"/>
              </w:rPr>
              <w:t>Avrupa</w:t>
            </w:r>
          </w:p>
        </w:tc>
        <w:tc>
          <w:tcPr>
            <w:tcW w:w="3340" w:type="dxa"/>
            <w:gridSpan w:val="2"/>
            <w:tcBorders>
              <w:top w:val="single" w:sz="4" w:space="0" w:color="auto"/>
              <w:left w:val="nil"/>
              <w:bottom w:val="single" w:sz="4" w:space="0" w:color="auto"/>
              <w:right w:val="single" w:sz="4" w:space="0" w:color="auto"/>
            </w:tcBorders>
            <w:shd w:val="clear" w:color="auto" w:fill="auto"/>
            <w:vAlign w:val="center"/>
            <w:hideMark/>
          </w:tcPr>
          <w:p w:rsidR="00301045" w:rsidRPr="00650056" w:rsidRDefault="00301045" w:rsidP="00774F6E">
            <w:pPr>
              <w:jc w:val="center"/>
              <w:rPr>
                <w:b/>
                <w:color w:val="000000"/>
                <w:sz w:val="20"/>
                <w:szCs w:val="20"/>
              </w:rPr>
            </w:pPr>
            <w:r w:rsidRPr="00650056">
              <w:rPr>
                <w:b/>
                <w:color w:val="000000"/>
                <w:sz w:val="20"/>
                <w:szCs w:val="20"/>
              </w:rPr>
              <w:t>Diğer Gelişmiş veya Geçiş Ekonomisine Sahip Ülkeler</w:t>
            </w:r>
          </w:p>
        </w:tc>
        <w:tc>
          <w:tcPr>
            <w:tcW w:w="2760" w:type="dxa"/>
            <w:gridSpan w:val="2"/>
            <w:tcBorders>
              <w:top w:val="single" w:sz="4" w:space="0" w:color="auto"/>
              <w:left w:val="nil"/>
              <w:bottom w:val="single" w:sz="4" w:space="0" w:color="auto"/>
              <w:right w:val="single" w:sz="4" w:space="0" w:color="auto"/>
            </w:tcBorders>
            <w:shd w:val="clear" w:color="auto" w:fill="auto"/>
            <w:vAlign w:val="center"/>
            <w:hideMark/>
          </w:tcPr>
          <w:p w:rsidR="00301045" w:rsidRPr="00650056" w:rsidRDefault="00301045" w:rsidP="00774F6E">
            <w:pPr>
              <w:jc w:val="center"/>
              <w:rPr>
                <w:b/>
                <w:color w:val="000000"/>
                <w:sz w:val="20"/>
                <w:szCs w:val="20"/>
              </w:rPr>
            </w:pPr>
            <w:r w:rsidRPr="00650056">
              <w:rPr>
                <w:b/>
                <w:color w:val="000000"/>
                <w:sz w:val="20"/>
                <w:szCs w:val="20"/>
              </w:rPr>
              <w:t>Gelişmekte Olan Ülkeler</w:t>
            </w:r>
          </w:p>
        </w:tc>
      </w:tr>
      <w:tr w:rsidR="00301045" w:rsidTr="00301045">
        <w:trPr>
          <w:trHeight w:val="300"/>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301045" w:rsidRPr="00650056" w:rsidRDefault="00301045" w:rsidP="00774F6E">
            <w:pPr>
              <w:rPr>
                <w:b/>
                <w:color w:val="000000"/>
                <w:sz w:val="20"/>
                <w:szCs w:val="20"/>
              </w:rPr>
            </w:pPr>
            <w:r w:rsidRPr="00650056">
              <w:rPr>
                <w:b/>
                <w:color w:val="000000"/>
                <w:sz w:val="20"/>
                <w:szCs w:val="20"/>
              </w:rPr>
              <w:t>Ülke</w:t>
            </w:r>
          </w:p>
        </w:tc>
        <w:tc>
          <w:tcPr>
            <w:tcW w:w="555" w:type="dxa"/>
            <w:tcBorders>
              <w:top w:val="nil"/>
              <w:left w:val="nil"/>
              <w:bottom w:val="single" w:sz="4" w:space="0" w:color="auto"/>
              <w:right w:val="single" w:sz="4" w:space="0" w:color="auto"/>
            </w:tcBorders>
            <w:shd w:val="clear" w:color="auto" w:fill="auto"/>
            <w:noWrap/>
            <w:vAlign w:val="bottom"/>
            <w:hideMark/>
          </w:tcPr>
          <w:p w:rsidR="00301045" w:rsidRPr="00650056" w:rsidRDefault="00301045" w:rsidP="00774F6E">
            <w:pPr>
              <w:jc w:val="center"/>
              <w:rPr>
                <w:b/>
                <w:color w:val="000000"/>
                <w:sz w:val="20"/>
                <w:szCs w:val="20"/>
              </w:rPr>
            </w:pPr>
            <w:r w:rsidRPr="00650056">
              <w:rPr>
                <w:b/>
                <w:color w:val="000000"/>
                <w:sz w:val="20"/>
                <w:szCs w:val="20"/>
              </w:rPr>
              <w:t>%</w:t>
            </w:r>
          </w:p>
        </w:tc>
        <w:tc>
          <w:tcPr>
            <w:tcW w:w="3018" w:type="dxa"/>
            <w:tcBorders>
              <w:top w:val="nil"/>
              <w:left w:val="nil"/>
              <w:bottom w:val="single" w:sz="4" w:space="0" w:color="auto"/>
              <w:right w:val="single" w:sz="4" w:space="0" w:color="auto"/>
            </w:tcBorders>
            <w:shd w:val="clear" w:color="auto" w:fill="auto"/>
            <w:noWrap/>
            <w:vAlign w:val="bottom"/>
            <w:hideMark/>
          </w:tcPr>
          <w:p w:rsidR="00301045" w:rsidRPr="00650056" w:rsidRDefault="00301045" w:rsidP="00774F6E">
            <w:pPr>
              <w:rPr>
                <w:b/>
                <w:color w:val="000000"/>
                <w:sz w:val="20"/>
                <w:szCs w:val="20"/>
              </w:rPr>
            </w:pPr>
            <w:r w:rsidRPr="00650056">
              <w:rPr>
                <w:b/>
                <w:color w:val="000000"/>
                <w:sz w:val="20"/>
                <w:szCs w:val="20"/>
              </w:rPr>
              <w:t>Ülke</w:t>
            </w:r>
          </w:p>
        </w:tc>
        <w:tc>
          <w:tcPr>
            <w:tcW w:w="322" w:type="dxa"/>
            <w:tcBorders>
              <w:top w:val="nil"/>
              <w:left w:val="nil"/>
              <w:bottom w:val="single" w:sz="4" w:space="0" w:color="auto"/>
              <w:right w:val="single" w:sz="4" w:space="0" w:color="auto"/>
            </w:tcBorders>
            <w:shd w:val="clear" w:color="auto" w:fill="auto"/>
            <w:noWrap/>
            <w:vAlign w:val="bottom"/>
            <w:hideMark/>
          </w:tcPr>
          <w:p w:rsidR="00301045" w:rsidRPr="00650056" w:rsidRDefault="00301045" w:rsidP="00774F6E">
            <w:pPr>
              <w:jc w:val="center"/>
              <w:rPr>
                <w:b/>
                <w:color w:val="000000"/>
                <w:sz w:val="20"/>
                <w:szCs w:val="20"/>
              </w:rPr>
            </w:pPr>
            <w:r w:rsidRPr="00650056">
              <w:rPr>
                <w:b/>
                <w:color w:val="000000"/>
                <w:sz w:val="20"/>
                <w:szCs w:val="20"/>
              </w:rPr>
              <w:t>%</w:t>
            </w:r>
          </w:p>
        </w:tc>
        <w:tc>
          <w:tcPr>
            <w:tcW w:w="2436" w:type="dxa"/>
            <w:tcBorders>
              <w:top w:val="nil"/>
              <w:left w:val="nil"/>
              <w:bottom w:val="single" w:sz="4" w:space="0" w:color="auto"/>
              <w:right w:val="single" w:sz="4" w:space="0" w:color="auto"/>
            </w:tcBorders>
            <w:shd w:val="clear" w:color="auto" w:fill="auto"/>
            <w:noWrap/>
            <w:vAlign w:val="bottom"/>
            <w:hideMark/>
          </w:tcPr>
          <w:p w:rsidR="00301045" w:rsidRPr="00650056" w:rsidRDefault="00301045" w:rsidP="00774F6E">
            <w:pPr>
              <w:rPr>
                <w:b/>
                <w:color w:val="000000"/>
                <w:sz w:val="20"/>
                <w:szCs w:val="20"/>
              </w:rPr>
            </w:pPr>
            <w:r w:rsidRPr="00650056">
              <w:rPr>
                <w:b/>
                <w:color w:val="000000"/>
                <w:sz w:val="20"/>
                <w:szCs w:val="20"/>
              </w:rPr>
              <w:t>Ülke</w:t>
            </w:r>
          </w:p>
        </w:tc>
        <w:tc>
          <w:tcPr>
            <w:tcW w:w="324" w:type="dxa"/>
            <w:tcBorders>
              <w:top w:val="nil"/>
              <w:left w:val="nil"/>
              <w:bottom w:val="single" w:sz="4" w:space="0" w:color="auto"/>
              <w:right w:val="single" w:sz="4" w:space="0" w:color="auto"/>
            </w:tcBorders>
            <w:shd w:val="clear" w:color="auto" w:fill="auto"/>
            <w:noWrap/>
            <w:vAlign w:val="bottom"/>
            <w:hideMark/>
          </w:tcPr>
          <w:p w:rsidR="00301045" w:rsidRPr="00650056" w:rsidRDefault="00301045" w:rsidP="00774F6E">
            <w:pPr>
              <w:jc w:val="center"/>
              <w:rPr>
                <w:b/>
                <w:color w:val="000000"/>
                <w:sz w:val="20"/>
                <w:szCs w:val="20"/>
              </w:rPr>
            </w:pPr>
            <w:r w:rsidRPr="00650056">
              <w:rPr>
                <w:b/>
                <w:color w:val="000000"/>
                <w:sz w:val="20"/>
                <w:szCs w:val="20"/>
              </w:rPr>
              <w:t>%</w:t>
            </w:r>
          </w:p>
        </w:tc>
      </w:tr>
      <w:tr w:rsidR="00301045" w:rsidTr="00650056">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Almanya</w:t>
            </w:r>
          </w:p>
        </w:tc>
        <w:tc>
          <w:tcPr>
            <w:tcW w:w="555"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23</w:t>
            </w:r>
          </w:p>
        </w:tc>
        <w:tc>
          <w:tcPr>
            <w:tcW w:w="3018"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Amerika Birleşik Devletleri</w:t>
            </w:r>
          </w:p>
        </w:tc>
        <w:tc>
          <w:tcPr>
            <w:tcW w:w="322"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13</w:t>
            </w:r>
          </w:p>
        </w:tc>
        <w:tc>
          <w:tcPr>
            <w:tcW w:w="2436"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Çin Halk Cumhuriyeti</w:t>
            </w:r>
          </w:p>
        </w:tc>
        <w:tc>
          <w:tcPr>
            <w:tcW w:w="324"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34</w:t>
            </w:r>
          </w:p>
        </w:tc>
      </w:tr>
      <w:tr w:rsidR="00301045" w:rsidTr="00650056">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Fransa</w:t>
            </w:r>
          </w:p>
        </w:tc>
        <w:tc>
          <w:tcPr>
            <w:tcW w:w="555"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13</w:t>
            </w:r>
          </w:p>
        </w:tc>
        <w:tc>
          <w:tcPr>
            <w:tcW w:w="3018"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Japonya</w:t>
            </w:r>
          </w:p>
        </w:tc>
        <w:tc>
          <w:tcPr>
            <w:tcW w:w="322"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20</w:t>
            </w:r>
          </w:p>
        </w:tc>
        <w:tc>
          <w:tcPr>
            <w:tcW w:w="2436"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Brezilya</w:t>
            </w:r>
          </w:p>
        </w:tc>
        <w:tc>
          <w:tcPr>
            <w:tcW w:w="324"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18</w:t>
            </w:r>
          </w:p>
        </w:tc>
      </w:tr>
      <w:tr w:rsidR="00301045" w:rsidTr="00650056">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İtalya</w:t>
            </w:r>
          </w:p>
        </w:tc>
        <w:tc>
          <w:tcPr>
            <w:tcW w:w="555"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18</w:t>
            </w:r>
          </w:p>
        </w:tc>
        <w:tc>
          <w:tcPr>
            <w:tcW w:w="3018"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Kanada</w:t>
            </w:r>
          </w:p>
        </w:tc>
        <w:tc>
          <w:tcPr>
            <w:tcW w:w="322"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16</w:t>
            </w:r>
          </w:p>
        </w:tc>
        <w:tc>
          <w:tcPr>
            <w:tcW w:w="2436"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Hindistan</w:t>
            </w:r>
          </w:p>
        </w:tc>
        <w:tc>
          <w:tcPr>
            <w:tcW w:w="324"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16</w:t>
            </w:r>
          </w:p>
        </w:tc>
      </w:tr>
      <w:tr w:rsidR="00301045" w:rsidTr="00650056">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İspanya</w:t>
            </w:r>
          </w:p>
        </w:tc>
        <w:tc>
          <w:tcPr>
            <w:tcW w:w="555"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16</w:t>
            </w:r>
          </w:p>
        </w:tc>
        <w:tc>
          <w:tcPr>
            <w:tcW w:w="3018"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Rusya Federasyonu</w:t>
            </w:r>
          </w:p>
        </w:tc>
        <w:tc>
          <w:tcPr>
            <w:tcW w:w="322"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32</w:t>
            </w:r>
          </w:p>
        </w:tc>
        <w:tc>
          <w:tcPr>
            <w:tcW w:w="2436"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Kore Cumhuriyeti</w:t>
            </w:r>
          </w:p>
        </w:tc>
        <w:tc>
          <w:tcPr>
            <w:tcW w:w="324"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28</w:t>
            </w:r>
          </w:p>
        </w:tc>
      </w:tr>
      <w:tr w:rsidR="00301045" w:rsidTr="00650056">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Hollanda</w:t>
            </w:r>
          </w:p>
        </w:tc>
        <w:tc>
          <w:tcPr>
            <w:tcW w:w="555"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14</w:t>
            </w:r>
          </w:p>
        </w:tc>
        <w:tc>
          <w:tcPr>
            <w:tcW w:w="3018"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Türkiye</w:t>
            </w:r>
          </w:p>
        </w:tc>
        <w:tc>
          <w:tcPr>
            <w:tcW w:w="322"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21</w:t>
            </w:r>
          </w:p>
        </w:tc>
        <w:tc>
          <w:tcPr>
            <w:tcW w:w="2436"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Meksika</w:t>
            </w:r>
          </w:p>
        </w:tc>
        <w:tc>
          <w:tcPr>
            <w:tcW w:w="324"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18</w:t>
            </w:r>
          </w:p>
        </w:tc>
      </w:tr>
      <w:tr w:rsidR="00301045" w:rsidTr="00650056">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Belçika</w:t>
            </w:r>
          </w:p>
        </w:tc>
        <w:tc>
          <w:tcPr>
            <w:tcW w:w="555"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17</w:t>
            </w:r>
          </w:p>
        </w:tc>
        <w:tc>
          <w:tcPr>
            <w:tcW w:w="3018"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Singapur</w:t>
            </w:r>
          </w:p>
        </w:tc>
        <w:tc>
          <w:tcPr>
            <w:tcW w:w="322"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25</w:t>
            </w:r>
          </w:p>
        </w:tc>
        <w:tc>
          <w:tcPr>
            <w:tcW w:w="2436"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Enonezya</w:t>
            </w:r>
          </w:p>
        </w:tc>
        <w:tc>
          <w:tcPr>
            <w:tcW w:w="324"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28</w:t>
            </w:r>
          </w:p>
        </w:tc>
      </w:tr>
      <w:tr w:rsidR="00301045" w:rsidTr="00650056">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İsviçre</w:t>
            </w:r>
          </w:p>
        </w:tc>
        <w:tc>
          <w:tcPr>
            <w:tcW w:w="555"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19</w:t>
            </w:r>
          </w:p>
        </w:tc>
        <w:tc>
          <w:tcPr>
            <w:tcW w:w="3018"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Ukrayna</w:t>
            </w:r>
          </w:p>
        </w:tc>
        <w:tc>
          <w:tcPr>
            <w:tcW w:w="322"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23</w:t>
            </w:r>
          </w:p>
        </w:tc>
        <w:tc>
          <w:tcPr>
            <w:tcW w:w="2436"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rPr>
                <w:color w:val="000000"/>
                <w:sz w:val="20"/>
                <w:szCs w:val="20"/>
              </w:rPr>
            </w:pPr>
            <w:r w:rsidRPr="00650056">
              <w:rPr>
                <w:color w:val="000000"/>
                <w:sz w:val="20"/>
                <w:szCs w:val="20"/>
              </w:rPr>
              <w:t>Güney Afrika</w:t>
            </w:r>
          </w:p>
        </w:tc>
        <w:tc>
          <w:tcPr>
            <w:tcW w:w="324" w:type="dxa"/>
            <w:tcBorders>
              <w:top w:val="nil"/>
              <w:left w:val="nil"/>
              <w:bottom w:val="single" w:sz="4" w:space="0" w:color="auto"/>
              <w:right w:val="single" w:sz="4" w:space="0" w:color="auto"/>
            </w:tcBorders>
            <w:shd w:val="clear" w:color="auto" w:fill="auto"/>
            <w:noWrap/>
            <w:vAlign w:val="center"/>
            <w:hideMark/>
          </w:tcPr>
          <w:p w:rsidR="00301045" w:rsidRPr="00650056" w:rsidRDefault="00301045" w:rsidP="00650056">
            <w:pPr>
              <w:jc w:val="center"/>
              <w:rPr>
                <w:color w:val="000000"/>
                <w:sz w:val="20"/>
                <w:szCs w:val="20"/>
              </w:rPr>
            </w:pPr>
            <w:r w:rsidRPr="00650056">
              <w:rPr>
                <w:color w:val="000000"/>
                <w:sz w:val="20"/>
                <w:szCs w:val="20"/>
              </w:rPr>
              <w:t>18</w:t>
            </w:r>
          </w:p>
        </w:tc>
      </w:tr>
    </w:tbl>
    <w:p w:rsidR="00301045" w:rsidRPr="00301045" w:rsidRDefault="00301045" w:rsidP="00774F6E">
      <w:pPr>
        <w:autoSpaceDE w:val="0"/>
        <w:autoSpaceDN w:val="0"/>
        <w:adjustRightInd w:val="0"/>
        <w:rPr>
          <w:sz w:val="20"/>
          <w:szCs w:val="20"/>
        </w:rPr>
      </w:pPr>
      <w:r w:rsidRPr="00301045">
        <w:rPr>
          <w:b/>
          <w:sz w:val="20"/>
          <w:szCs w:val="20"/>
        </w:rPr>
        <w:t>Kaynak:</w:t>
      </w:r>
      <w:r w:rsidRPr="00301045">
        <w:rPr>
          <w:sz w:val="20"/>
          <w:szCs w:val="20"/>
        </w:rPr>
        <w:t xml:space="preserve"> TNO raporu “Greenhouse Gas Efficiency of Industrial Activities in EU and Non</w:t>
      </w:r>
      <w:r w:rsidRPr="00301045">
        <w:rPr>
          <w:rFonts w:ascii="Cambria Math" w:hAnsi="Cambria Math" w:cs="Cambria Math"/>
          <w:sz w:val="20"/>
          <w:szCs w:val="20"/>
        </w:rPr>
        <w:t>‐</w:t>
      </w:r>
      <w:r w:rsidRPr="00301045">
        <w:rPr>
          <w:sz w:val="20"/>
          <w:szCs w:val="20"/>
        </w:rPr>
        <w:t>EU”,</w:t>
      </w:r>
    </w:p>
    <w:p w:rsidR="00D20820" w:rsidRDefault="00301045" w:rsidP="00774F6E">
      <w:pPr>
        <w:jc w:val="both"/>
        <w:rPr>
          <w:sz w:val="20"/>
          <w:szCs w:val="20"/>
        </w:rPr>
      </w:pPr>
      <w:r w:rsidRPr="00301045">
        <w:rPr>
          <w:sz w:val="20"/>
          <w:szCs w:val="20"/>
        </w:rPr>
        <w:t>The Netherlands, 2009</w:t>
      </w:r>
    </w:p>
    <w:p w:rsidR="004E40ED" w:rsidRPr="00301045" w:rsidRDefault="004E40ED" w:rsidP="00774F6E">
      <w:pPr>
        <w:jc w:val="both"/>
        <w:rPr>
          <w:bCs/>
          <w:sz w:val="20"/>
          <w:szCs w:val="20"/>
        </w:rPr>
      </w:pPr>
    </w:p>
    <w:p w:rsidR="0044255F" w:rsidRDefault="004E40ED" w:rsidP="00774F6E">
      <w:pPr>
        <w:autoSpaceDE w:val="0"/>
        <w:autoSpaceDN w:val="0"/>
        <w:adjustRightInd w:val="0"/>
        <w:spacing w:before="240" w:after="240" w:line="360" w:lineRule="auto"/>
        <w:ind w:firstLine="708"/>
        <w:jc w:val="both"/>
        <w:rPr>
          <w:bCs/>
        </w:rPr>
      </w:pPr>
      <w:r w:rsidRPr="00477430">
        <w:rPr>
          <w:bCs/>
        </w:rPr>
        <w:t xml:space="preserve">OECD üyesi </w:t>
      </w:r>
      <w:r w:rsidR="00F52B6F">
        <w:rPr>
          <w:bCs/>
        </w:rPr>
        <w:t xml:space="preserve">olan Türkiye, </w:t>
      </w:r>
      <w:r w:rsidRPr="00477430">
        <w:rPr>
          <w:bCs/>
        </w:rPr>
        <w:t>geçiş ekonomisi</w:t>
      </w:r>
      <w:r w:rsidR="00F52B6F">
        <w:rPr>
          <w:bCs/>
        </w:rPr>
        <w:t>nin</w:t>
      </w:r>
      <w:r w:rsidRPr="00477430">
        <w:rPr>
          <w:bCs/>
        </w:rPr>
        <w:t xml:space="preserve"> yanı</w:t>
      </w:r>
      <w:r w:rsidR="00477430">
        <w:rPr>
          <w:bCs/>
        </w:rPr>
        <w:t xml:space="preserve">nda, genç nüfusu, artan üretim </w:t>
      </w:r>
      <w:r w:rsidRPr="00477430">
        <w:rPr>
          <w:bCs/>
        </w:rPr>
        <w:t>ve teknoloji altyapısı ile farklı dinamikleri olan bir ülkedir. Bu dinamikler çerçevesinde baş</w:t>
      </w:r>
      <w:r w:rsidR="00477430">
        <w:rPr>
          <w:bCs/>
        </w:rPr>
        <w:t xml:space="preserve">ta </w:t>
      </w:r>
      <w:r w:rsidRPr="00477430">
        <w:rPr>
          <w:bCs/>
        </w:rPr>
        <w:t>istihdam, rekabet gücü, kamu hizmetlerinin iyileştirilmesi ve benzer alanlarda kullanı</w:t>
      </w:r>
      <w:r w:rsidR="00477430">
        <w:rPr>
          <w:bCs/>
        </w:rPr>
        <w:t xml:space="preserve">lmak </w:t>
      </w:r>
      <w:r w:rsidRPr="00477430">
        <w:rPr>
          <w:bCs/>
        </w:rPr>
        <w:t>üzere farklı kaynaklara ihtiyaç duymaktadır. Türk Sanayisi, GSYİ</w:t>
      </w:r>
      <w:r w:rsidR="00477430">
        <w:rPr>
          <w:bCs/>
        </w:rPr>
        <w:t xml:space="preserve">H içerisindeki % 20 - 25 </w:t>
      </w:r>
      <w:r w:rsidRPr="00477430">
        <w:rPr>
          <w:bCs/>
        </w:rPr>
        <w:t>arasındaki payı ve büyüme oranlarına büyük oranda etkisi nedeni ile sürdürülebilir kalkı</w:t>
      </w:r>
      <w:r w:rsidR="00477430">
        <w:rPr>
          <w:bCs/>
        </w:rPr>
        <w:t xml:space="preserve">nma </w:t>
      </w:r>
      <w:r w:rsidRPr="00477430">
        <w:rPr>
          <w:bCs/>
        </w:rPr>
        <w:t>açısından v</w:t>
      </w:r>
      <w:r w:rsidR="009C6084">
        <w:rPr>
          <w:bCs/>
        </w:rPr>
        <w:t>azgeçilemez bir kaynaktır. Çizelge</w:t>
      </w:r>
      <w:r w:rsidRPr="00477430">
        <w:rPr>
          <w:bCs/>
        </w:rPr>
        <w:t xml:space="preserve"> </w:t>
      </w:r>
      <w:proofErr w:type="gramStart"/>
      <w:r w:rsidRPr="00477430">
        <w:rPr>
          <w:bCs/>
        </w:rPr>
        <w:t>1</w:t>
      </w:r>
      <w:r w:rsidR="00477430">
        <w:rPr>
          <w:bCs/>
        </w:rPr>
        <w:t>.4</w:t>
      </w:r>
      <w:r w:rsidRPr="00477430">
        <w:rPr>
          <w:bCs/>
        </w:rPr>
        <w:t>’</w:t>
      </w:r>
      <w:r w:rsidR="00477430">
        <w:rPr>
          <w:bCs/>
        </w:rPr>
        <w:t>t</w:t>
      </w:r>
      <w:r w:rsidRPr="00477430">
        <w:rPr>
          <w:bCs/>
        </w:rPr>
        <w:t>e</w:t>
      </w:r>
      <w:proofErr w:type="gramEnd"/>
      <w:r w:rsidRPr="00477430">
        <w:rPr>
          <w:bCs/>
        </w:rPr>
        <w:t xml:space="preserve"> farklı ülkelerde üretilen katma değ</w:t>
      </w:r>
      <w:r w:rsidR="004A2C35" w:rsidRPr="00477430">
        <w:rPr>
          <w:bCs/>
        </w:rPr>
        <w:t xml:space="preserve">er </w:t>
      </w:r>
      <w:r w:rsidRPr="00477430">
        <w:rPr>
          <w:bCs/>
        </w:rPr>
        <w:t>içerisinde sanayinin payı görülmektedir</w:t>
      </w:r>
      <w:r w:rsidR="00400FE7">
        <w:rPr>
          <w:bCs/>
        </w:rPr>
        <w:t xml:space="preserve"> (UEP, 2010)</w:t>
      </w:r>
      <w:r w:rsidRPr="00477430">
        <w:rPr>
          <w:bCs/>
        </w:rPr>
        <w:t>.</w:t>
      </w:r>
    </w:p>
    <w:p w:rsidR="00527E70" w:rsidRPr="0017765A" w:rsidRDefault="00762F44" w:rsidP="005A4360">
      <w:pPr>
        <w:autoSpaceDE w:val="0"/>
        <w:autoSpaceDN w:val="0"/>
        <w:adjustRightInd w:val="0"/>
        <w:spacing w:before="240" w:after="240" w:line="360" w:lineRule="auto"/>
        <w:ind w:firstLine="709"/>
        <w:jc w:val="both"/>
        <w:rPr>
          <w:bCs/>
        </w:rPr>
      </w:pPr>
      <w:r>
        <w:rPr>
          <w:bCs/>
        </w:rPr>
        <w:lastRenderedPageBreak/>
        <w:t>Demir, çelik</w:t>
      </w:r>
      <w:r w:rsidRPr="00762F44">
        <w:rPr>
          <w:bCs/>
        </w:rPr>
        <w:t xml:space="preserve"> ve alümi</w:t>
      </w:r>
      <w:r>
        <w:rPr>
          <w:bCs/>
        </w:rPr>
        <w:t>nyum üretimini içeren enerji yoğ</w:t>
      </w:r>
      <w:r w:rsidRPr="00762F44">
        <w:rPr>
          <w:bCs/>
        </w:rPr>
        <w:t xml:space="preserve">un </w:t>
      </w:r>
      <w:r>
        <w:rPr>
          <w:bCs/>
        </w:rPr>
        <w:t>sanayiler, rafineriler, kâğ</w:t>
      </w:r>
      <w:r w:rsidRPr="00762F44">
        <w:rPr>
          <w:bCs/>
        </w:rPr>
        <w:t>ıt</w:t>
      </w:r>
      <w:r>
        <w:rPr>
          <w:bCs/>
        </w:rPr>
        <w:t>,</w:t>
      </w:r>
      <w:r w:rsidRPr="00762F44">
        <w:rPr>
          <w:bCs/>
        </w:rPr>
        <w:t xml:space="preserve"> temel kimyasallar (azotlu gübreler, petrokimyasallar</w:t>
      </w:r>
      <w:r>
        <w:rPr>
          <w:bCs/>
        </w:rPr>
        <w:t xml:space="preserve"> vb.) ve başta çimento olmak imalat sanay</w:t>
      </w:r>
      <w:r w:rsidRPr="00762F44">
        <w:rPr>
          <w:bCs/>
        </w:rPr>
        <w:t xml:space="preserve">inde </w:t>
      </w:r>
      <w:r w:rsidR="003463A8">
        <w:rPr>
          <w:bCs/>
        </w:rPr>
        <w:t>sera gazı</w:t>
      </w:r>
      <w:r>
        <w:rPr>
          <w:bCs/>
        </w:rPr>
        <w:t xml:space="preserve"> </w:t>
      </w:r>
      <w:r w:rsidR="003463A8">
        <w:rPr>
          <w:bCs/>
        </w:rPr>
        <w:t>emisyonları</w:t>
      </w:r>
      <w:r w:rsidRPr="00762F44">
        <w:rPr>
          <w:bCs/>
        </w:rPr>
        <w:t xml:space="preserve">nın azaltılması önlemleri ve seçenekleri açısından </w:t>
      </w:r>
      <w:r w:rsidR="00883310">
        <w:rPr>
          <w:bCs/>
        </w:rPr>
        <w:t>öne çıkmaktadır. Hafif sanayi</w:t>
      </w:r>
      <w:r w:rsidRPr="00762F44">
        <w:rPr>
          <w:bCs/>
        </w:rPr>
        <w:t xml:space="preserve"> olarak</w:t>
      </w:r>
      <w:r>
        <w:rPr>
          <w:bCs/>
        </w:rPr>
        <w:t xml:space="preserve"> </w:t>
      </w:r>
      <w:r w:rsidR="00883310">
        <w:rPr>
          <w:bCs/>
        </w:rPr>
        <w:t>da adlandırılan düşük enerji yoğ</w:t>
      </w:r>
      <w:r w:rsidRPr="00762F44">
        <w:rPr>
          <w:bCs/>
        </w:rPr>
        <w:t>un sektörler, gıda, içecek ve tütün üretimini, tekstil üretimini,</w:t>
      </w:r>
      <w:r>
        <w:rPr>
          <w:bCs/>
        </w:rPr>
        <w:t xml:space="preserve"> </w:t>
      </w:r>
      <w:r w:rsidRPr="00762F44">
        <w:rPr>
          <w:bCs/>
        </w:rPr>
        <w:t xml:space="preserve">odun ve odun </w:t>
      </w:r>
      <w:r w:rsidR="00883310" w:rsidRPr="00762F44">
        <w:rPr>
          <w:bCs/>
        </w:rPr>
        <w:t>üretimini</w:t>
      </w:r>
      <w:r w:rsidRPr="00762F44">
        <w:rPr>
          <w:bCs/>
        </w:rPr>
        <w:t xml:space="preserve"> </w:t>
      </w:r>
      <w:r w:rsidR="00883310">
        <w:rPr>
          <w:bCs/>
        </w:rPr>
        <w:t>ve metal işleme sanayi</w:t>
      </w:r>
      <w:r w:rsidRPr="00762F44">
        <w:rPr>
          <w:bCs/>
        </w:rPr>
        <w:t>ni</w:t>
      </w:r>
      <w:r>
        <w:rPr>
          <w:bCs/>
        </w:rPr>
        <w:t xml:space="preserve"> </w:t>
      </w:r>
      <w:r w:rsidRPr="00762F44">
        <w:rPr>
          <w:bCs/>
        </w:rPr>
        <w:t>(oto</w:t>
      </w:r>
      <w:r w:rsidR="009B4CCB">
        <w:rPr>
          <w:bCs/>
        </w:rPr>
        <w:t>mobilleri, elektronikleri ve çeş</w:t>
      </w:r>
      <w:r w:rsidRPr="00762F44">
        <w:rPr>
          <w:bCs/>
        </w:rPr>
        <w:t xml:space="preserve">itli aletleri) içermektedir. </w:t>
      </w:r>
      <w:r w:rsidR="00883310">
        <w:rPr>
          <w:bCs/>
        </w:rPr>
        <w:t>İ</w:t>
      </w:r>
      <w:r w:rsidRPr="00762F44">
        <w:rPr>
          <w:bCs/>
        </w:rPr>
        <w:t>m</w:t>
      </w:r>
      <w:r w:rsidR="00883310">
        <w:rPr>
          <w:bCs/>
        </w:rPr>
        <w:t>alat sektöründen kaynaklanan CO</w:t>
      </w:r>
      <w:r w:rsidR="00883310">
        <w:rPr>
          <w:bCs/>
          <w:vertAlign w:val="subscript"/>
        </w:rPr>
        <w:t>2</w:t>
      </w:r>
      <w:r w:rsidR="00883310">
        <w:rPr>
          <w:bCs/>
        </w:rPr>
        <w:t xml:space="preserve"> dışı gazlar, N</w:t>
      </w:r>
      <w:r w:rsidR="00883310">
        <w:rPr>
          <w:bCs/>
          <w:vertAlign w:val="subscript"/>
        </w:rPr>
        <w:t>2</w:t>
      </w:r>
      <w:r w:rsidRPr="00762F44">
        <w:rPr>
          <w:bCs/>
        </w:rPr>
        <w:t>O, HFC’ler, PFC’ler ve</w:t>
      </w:r>
      <w:r>
        <w:rPr>
          <w:bCs/>
        </w:rPr>
        <w:t xml:space="preserve"> </w:t>
      </w:r>
      <w:r w:rsidRPr="00762F44">
        <w:rPr>
          <w:bCs/>
        </w:rPr>
        <w:t>SF</w:t>
      </w:r>
      <w:r w:rsidRPr="005A4360">
        <w:rPr>
          <w:bCs/>
          <w:vertAlign w:val="subscript"/>
        </w:rPr>
        <w:t>6</w:t>
      </w:r>
      <w:r w:rsidRPr="00762F44">
        <w:rPr>
          <w:bCs/>
        </w:rPr>
        <w:t>’yı içerir. Adipik asit, nitrik asit, HCFC-22 ve alüminyum üretim süreçleri, bu gazları</w:t>
      </w:r>
      <w:r>
        <w:rPr>
          <w:bCs/>
        </w:rPr>
        <w:t xml:space="preserve"> </w:t>
      </w:r>
      <w:r w:rsidRPr="00762F44">
        <w:rPr>
          <w:bCs/>
        </w:rPr>
        <w:t>istenmeyen yan ürünler olarak salmak</w:t>
      </w:r>
      <w:r w:rsidR="00883310">
        <w:rPr>
          <w:bCs/>
        </w:rPr>
        <w:t xml:space="preserve">tadır. </w:t>
      </w:r>
      <w:r w:rsidR="00552647">
        <w:rPr>
          <w:bCs/>
        </w:rPr>
        <w:t>Bu sanayilerin dışında</w:t>
      </w:r>
      <w:r w:rsidRPr="00762F44">
        <w:rPr>
          <w:bCs/>
        </w:rPr>
        <w:t>, ozon inceltici</w:t>
      </w:r>
      <w:r>
        <w:rPr>
          <w:bCs/>
        </w:rPr>
        <w:t xml:space="preserve"> </w:t>
      </w:r>
      <w:r w:rsidRPr="00762F44">
        <w:rPr>
          <w:bCs/>
        </w:rPr>
        <w:t>maddelerin yerine üretim yapan bir kaç sektörü de içerecek biçimde, bu kimyasalları imalat</w:t>
      </w:r>
      <w:r>
        <w:rPr>
          <w:bCs/>
        </w:rPr>
        <w:t xml:space="preserve"> </w:t>
      </w:r>
      <w:r w:rsidRPr="00762F44">
        <w:rPr>
          <w:bCs/>
        </w:rPr>
        <w:t>süreçlerinde kullanmaktadır</w:t>
      </w:r>
      <w:r>
        <w:rPr>
          <w:bCs/>
        </w:rPr>
        <w:t xml:space="preserve"> (Türkeş, 2003: 12)</w:t>
      </w:r>
      <w:r w:rsidRPr="00762F44">
        <w:rPr>
          <w:bCs/>
        </w:rPr>
        <w:t>.</w:t>
      </w:r>
    </w:p>
    <w:p w:rsidR="0044255F" w:rsidRDefault="00E56F2D" w:rsidP="009960F7">
      <w:pPr>
        <w:pStyle w:val="Balk3"/>
        <w:numPr>
          <w:ilvl w:val="2"/>
          <w:numId w:val="33"/>
        </w:numPr>
      </w:pPr>
      <w:bookmarkStart w:id="97" w:name="_Toc384823980"/>
      <w:r>
        <w:t xml:space="preserve"> </w:t>
      </w:r>
      <w:r w:rsidR="0044255F">
        <w:t>Tarımsal Faaliyetler</w:t>
      </w:r>
      <w:bookmarkEnd w:id="97"/>
    </w:p>
    <w:p w:rsidR="00DA50A3" w:rsidRDefault="00DA50A3" w:rsidP="00774F6E">
      <w:pPr>
        <w:autoSpaceDE w:val="0"/>
        <w:autoSpaceDN w:val="0"/>
        <w:adjustRightInd w:val="0"/>
        <w:spacing w:before="240" w:after="240" w:line="360" w:lineRule="auto"/>
        <w:ind w:firstLine="708"/>
        <w:jc w:val="both"/>
        <w:rPr>
          <w:bCs/>
        </w:rPr>
      </w:pPr>
      <w:r>
        <w:rPr>
          <w:bCs/>
        </w:rPr>
        <w:t>Tarımsal faaliyetler de tüm e</w:t>
      </w:r>
      <w:r w:rsidR="00962587" w:rsidRPr="00962587">
        <w:rPr>
          <w:bCs/>
        </w:rPr>
        <w:t>konomik faaliyetler gibi</w:t>
      </w:r>
      <w:r>
        <w:rPr>
          <w:bCs/>
        </w:rPr>
        <w:t xml:space="preserve">, </w:t>
      </w:r>
      <w:r w:rsidR="00962587" w:rsidRPr="00962587">
        <w:rPr>
          <w:bCs/>
        </w:rPr>
        <w:t xml:space="preserve">doğal kaynaklara ve bu kaynakların kullanımına dayandığından çevre üzerinde baskı </w:t>
      </w:r>
      <w:r>
        <w:rPr>
          <w:bCs/>
        </w:rPr>
        <w:t>oluşturmaktadır</w:t>
      </w:r>
      <w:r w:rsidR="00962587" w:rsidRPr="00962587">
        <w:rPr>
          <w:bCs/>
        </w:rPr>
        <w:t xml:space="preserve">. </w:t>
      </w:r>
      <w:r>
        <w:rPr>
          <w:bCs/>
        </w:rPr>
        <w:t>İnsan ihtiyaçlarının sınırsız olması</w:t>
      </w:r>
      <w:r w:rsidR="00962587" w:rsidRPr="00962587">
        <w:rPr>
          <w:bCs/>
        </w:rPr>
        <w:t xml:space="preserve">, </w:t>
      </w:r>
      <w:r>
        <w:rPr>
          <w:bCs/>
        </w:rPr>
        <w:t xml:space="preserve">nüfus yoğunluğunun artması ve </w:t>
      </w:r>
      <w:r w:rsidR="00962587" w:rsidRPr="00962587">
        <w:rPr>
          <w:bCs/>
        </w:rPr>
        <w:t xml:space="preserve">kar maksimizasyonu gibi ticari kaygılar, tarımsal faaliyetlerde büyük yoğunlaşmalara neden olmuştur. Her ne kadar Avrupa Birliği (AB) ülkeleri arasında çevresel değerler ve tarımsal arazi kullanımı </w:t>
      </w:r>
      <w:r>
        <w:rPr>
          <w:bCs/>
        </w:rPr>
        <w:t xml:space="preserve">sürdürülebilir normlarda yapılmaya çalışılsa da dünyanın birçok yerinde </w:t>
      </w:r>
      <w:r w:rsidR="00317E35">
        <w:rPr>
          <w:bCs/>
        </w:rPr>
        <w:t xml:space="preserve">yanlış gübre kullanımı, ölçüsüz sulama, kimyasal ilaçlar gibi </w:t>
      </w:r>
      <w:r>
        <w:rPr>
          <w:bCs/>
        </w:rPr>
        <w:t>tarımsal faaliyetler sera gazlarını arttırmaktadır.</w:t>
      </w:r>
    </w:p>
    <w:p w:rsidR="00E7661F" w:rsidRDefault="00962587" w:rsidP="00774F6E">
      <w:pPr>
        <w:autoSpaceDE w:val="0"/>
        <w:autoSpaceDN w:val="0"/>
        <w:adjustRightInd w:val="0"/>
        <w:spacing w:before="240" w:after="240" w:line="360" w:lineRule="auto"/>
        <w:ind w:firstLine="708"/>
        <w:jc w:val="both"/>
        <w:rPr>
          <w:bCs/>
        </w:rPr>
      </w:pPr>
      <w:r w:rsidRPr="00962587">
        <w:rPr>
          <w:bCs/>
        </w:rPr>
        <w:t>Tarım ve çevre arasında dengeli bir ilişkinin varlığı “sürdürülebilir tarım” kavramıyla açıklanmaktadır. Sürdürülebilir tarım, doğal kaynakların, gelecekte de yarar sağlayacak şekilde yönetilmesini de zorunlu kılmaktadır. Arazinin ve doğal kaynakların yarar sağlayacak bir biçimde kullanımı ve çevrenin ko</w:t>
      </w:r>
      <w:r w:rsidR="00F31F18">
        <w:rPr>
          <w:bCs/>
        </w:rPr>
        <w:t xml:space="preserve">runması denge halinde olmalıdır </w:t>
      </w:r>
      <w:r w:rsidR="00E7661F">
        <w:rPr>
          <w:bCs/>
        </w:rPr>
        <w:t>(Dişbudak, 2008: 1)</w:t>
      </w:r>
      <w:r w:rsidR="008D5D3D">
        <w:rPr>
          <w:bCs/>
        </w:rPr>
        <w:t>.</w:t>
      </w:r>
    </w:p>
    <w:p w:rsidR="0017765A" w:rsidRDefault="0017765A" w:rsidP="00774F6E">
      <w:pPr>
        <w:autoSpaceDE w:val="0"/>
        <w:autoSpaceDN w:val="0"/>
        <w:adjustRightInd w:val="0"/>
        <w:spacing w:before="240" w:after="240" w:line="360" w:lineRule="auto"/>
        <w:ind w:firstLine="708"/>
        <w:jc w:val="both"/>
        <w:rPr>
          <w:bCs/>
        </w:rPr>
      </w:pPr>
      <w:r w:rsidRPr="0017765A">
        <w:rPr>
          <w:bCs/>
        </w:rPr>
        <w:t>Dünyada sera etkisi yaratan çevre sorunlarının</w:t>
      </w:r>
      <w:r>
        <w:rPr>
          <w:bCs/>
        </w:rPr>
        <w:t xml:space="preserve"> </w:t>
      </w:r>
      <w:r w:rsidRPr="0017765A">
        <w:rPr>
          <w:bCs/>
        </w:rPr>
        <w:t>%</w:t>
      </w:r>
      <w:r>
        <w:rPr>
          <w:bCs/>
        </w:rPr>
        <w:t xml:space="preserve"> </w:t>
      </w:r>
      <w:r w:rsidRPr="0017765A">
        <w:rPr>
          <w:bCs/>
        </w:rPr>
        <w:t>51’i Enerji Tüketimi, %14’ü Sanayi Faaliyetleri, %18’i Arazi Kullanımı Değişikliği, %14’ü Tarım, %3’ü de diğer kaynakların yarattığı emisyonlar nedeniyle oluşmaktadır</w:t>
      </w:r>
      <w:r>
        <w:rPr>
          <w:bCs/>
        </w:rPr>
        <w:t xml:space="preserve"> (Şekil 1.10)</w:t>
      </w:r>
      <w:r w:rsidRPr="0017765A">
        <w:rPr>
          <w:bCs/>
        </w:rPr>
        <w:t xml:space="preserve">. </w:t>
      </w:r>
      <w:r w:rsidR="00527E70" w:rsidRPr="00527E70">
        <w:rPr>
          <w:bCs/>
        </w:rPr>
        <w:t>Tarımsal kaynak</w:t>
      </w:r>
      <w:r w:rsidR="00527E70">
        <w:rPr>
          <w:bCs/>
        </w:rPr>
        <w:t>lı sera gazları; CH4 (Metan), N</w:t>
      </w:r>
      <w:r w:rsidR="00527E70">
        <w:rPr>
          <w:bCs/>
          <w:vertAlign w:val="subscript"/>
        </w:rPr>
        <w:t>2</w:t>
      </w:r>
      <w:r w:rsidR="00527E70" w:rsidRPr="00527E70">
        <w:rPr>
          <w:bCs/>
        </w:rPr>
        <w:t>O (Nitröz Oksit), CO (Karbonmonoksit) ve NOx (Azotoksit) olarak sıralanabilir.</w:t>
      </w:r>
      <w:r w:rsidR="00527E70">
        <w:rPr>
          <w:bCs/>
        </w:rPr>
        <w:t xml:space="preserve"> </w:t>
      </w:r>
    </w:p>
    <w:p w:rsidR="00527E70" w:rsidRDefault="00527E70" w:rsidP="00774F6E">
      <w:pPr>
        <w:autoSpaceDE w:val="0"/>
        <w:autoSpaceDN w:val="0"/>
        <w:adjustRightInd w:val="0"/>
        <w:spacing w:before="240" w:after="240" w:line="360" w:lineRule="auto"/>
        <w:ind w:firstLine="708"/>
        <w:jc w:val="both"/>
        <w:rPr>
          <w:bCs/>
        </w:rPr>
      </w:pPr>
      <w:r w:rsidRPr="00527E70">
        <w:rPr>
          <w:bCs/>
        </w:rPr>
        <w:lastRenderedPageBreak/>
        <w:t>Toprağa uygulanan suni gübre ve hayvan gübresi dolaylı (deni</w:t>
      </w:r>
      <w:r>
        <w:rPr>
          <w:bCs/>
        </w:rPr>
        <w:t>trifikasyon) olarak topraktan N</w:t>
      </w:r>
      <w:r>
        <w:rPr>
          <w:bCs/>
          <w:vertAlign w:val="subscript"/>
        </w:rPr>
        <w:t>2</w:t>
      </w:r>
      <w:r>
        <w:rPr>
          <w:bCs/>
        </w:rPr>
        <w:t>&amp;N</w:t>
      </w:r>
      <w:r>
        <w:rPr>
          <w:bCs/>
          <w:vertAlign w:val="subscript"/>
        </w:rPr>
        <w:t>2</w:t>
      </w:r>
      <w:r w:rsidRPr="00527E70">
        <w:rPr>
          <w:bCs/>
        </w:rPr>
        <w:t>O gazlarının salınımına sebep olur.</w:t>
      </w:r>
      <w:r>
        <w:rPr>
          <w:bCs/>
        </w:rPr>
        <w:t xml:space="preserve"> </w:t>
      </w:r>
      <w:r w:rsidRPr="00527E70">
        <w:rPr>
          <w:bCs/>
        </w:rPr>
        <w:t>Tarımsal artı</w:t>
      </w:r>
      <w:r>
        <w:rPr>
          <w:bCs/>
        </w:rPr>
        <w:t>kların açıkta yanması sonucu CH</w:t>
      </w:r>
      <w:r>
        <w:rPr>
          <w:bCs/>
          <w:vertAlign w:val="subscript"/>
        </w:rPr>
        <w:t>4</w:t>
      </w:r>
      <w:r>
        <w:rPr>
          <w:bCs/>
        </w:rPr>
        <w:t>, CO, N</w:t>
      </w:r>
      <w:r>
        <w:rPr>
          <w:bCs/>
          <w:vertAlign w:val="subscript"/>
        </w:rPr>
        <w:t>2</w:t>
      </w:r>
      <w:r w:rsidRPr="00527E70">
        <w:rPr>
          <w:bCs/>
        </w:rPr>
        <w:t>O</w:t>
      </w:r>
      <w:r>
        <w:rPr>
          <w:bCs/>
        </w:rPr>
        <w:t xml:space="preserve"> ve NO</w:t>
      </w:r>
      <w:r>
        <w:rPr>
          <w:bCs/>
          <w:vertAlign w:val="subscript"/>
        </w:rPr>
        <w:t>x</w:t>
      </w:r>
      <w:r w:rsidRPr="00527E70">
        <w:rPr>
          <w:bCs/>
        </w:rPr>
        <w:t xml:space="preserve"> emisyonları oluşur.</w:t>
      </w:r>
      <w:r w:rsidR="00B450B8">
        <w:rPr>
          <w:bCs/>
        </w:rPr>
        <w:t xml:space="preserve"> </w:t>
      </w:r>
      <w:r w:rsidR="00B450B8" w:rsidRPr="00B450B8">
        <w:rPr>
          <w:bCs/>
        </w:rPr>
        <w:t xml:space="preserve">Hindistan ve Çin gibi gelişmekte olan ülkelerde tarım ve hayvancılık alanların geniş olduğu yerlerde geviş getiren hayvanların ürettiği metandan, tarımsal atıkların yakılmasından ve çeltik ekiminden </w:t>
      </w:r>
      <w:r w:rsidR="003463A8">
        <w:rPr>
          <w:bCs/>
        </w:rPr>
        <w:t>sera gazı emisyonlarını</w:t>
      </w:r>
      <w:r w:rsidR="00B450B8" w:rsidRPr="00B450B8">
        <w:rPr>
          <w:bCs/>
        </w:rPr>
        <w:t xml:space="preserve"> arttırır.</w:t>
      </w:r>
    </w:p>
    <w:p w:rsidR="00C47690" w:rsidRDefault="00C47690" w:rsidP="00774F6E">
      <w:pPr>
        <w:autoSpaceDE w:val="0"/>
        <w:autoSpaceDN w:val="0"/>
        <w:adjustRightInd w:val="0"/>
        <w:spacing w:before="240" w:after="240" w:line="360" w:lineRule="auto"/>
        <w:ind w:firstLine="709"/>
        <w:jc w:val="both"/>
        <w:rPr>
          <w:rFonts w:ascii="Times-Roman" w:hAnsi="Times-Roman" w:cs="Times-Roman"/>
        </w:rPr>
      </w:pPr>
      <w:r>
        <w:rPr>
          <w:rFonts w:ascii="Times-Roman" w:hAnsi="Times-Roman" w:cs="Times-Roman"/>
        </w:rPr>
        <w:t>Tarım</w:t>
      </w:r>
      <w:r w:rsidR="00CA4B4E">
        <w:rPr>
          <w:rFonts w:ascii="Times-Roman" w:hAnsi="Times-Roman" w:cs="Times-Roman"/>
        </w:rPr>
        <w:t>sal faaliyetlerin</w:t>
      </w:r>
      <w:r>
        <w:rPr>
          <w:rFonts w:ascii="Times-Roman" w:hAnsi="Times-Roman" w:cs="Times-Roman"/>
        </w:rPr>
        <w:t xml:space="preserve"> insan kaynaklı küresel </w:t>
      </w:r>
      <w:r w:rsidR="003463A8">
        <w:rPr>
          <w:rFonts w:ascii="Times-Roman" w:hAnsi="Times-Roman" w:cs="Times-Roman"/>
        </w:rPr>
        <w:t>sera gazı</w:t>
      </w:r>
      <w:r>
        <w:rPr>
          <w:rFonts w:ascii="Times-Roman" w:hAnsi="Times-Roman" w:cs="Times-Roman"/>
        </w:rPr>
        <w:t xml:space="preserve"> </w:t>
      </w:r>
      <w:r w:rsidR="003463A8">
        <w:rPr>
          <w:rFonts w:ascii="Times-Roman" w:hAnsi="Times-Roman" w:cs="Times-Roman"/>
        </w:rPr>
        <w:t>emisyon</w:t>
      </w:r>
      <w:r>
        <w:rPr>
          <w:rFonts w:ascii="Times-Roman" w:hAnsi="Times-Roman" w:cs="Times-Roman"/>
        </w:rPr>
        <w:t xml:space="preserve">larına katkısı % 20’nin üzerindedir (IPCC, </w:t>
      </w:r>
      <w:r w:rsidR="00CA4B4E">
        <w:rPr>
          <w:rFonts w:ascii="Times-Roman" w:hAnsi="Times-Roman" w:cs="Times-Roman"/>
        </w:rPr>
        <w:t>2001b</w:t>
      </w:r>
      <w:r>
        <w:rPr>
          <w:rFonts w:ascii="Times-Roman" w:hAnsi="Times-Roman" w:cs="Times-Roman"/>
        </w:rPr>
        <w:t>).</w:t>
      </w:r>
      <w:r w:rsidR="00CA4B4E">
        <w:rPr>
          <w:rFonts w:ascii="Times-Roman" w:hAnsi="Times-Roman" w:cs="Times-Roman"/>
        </w:rPr>
        <w:t xml:space="preserve">  </w:t>
      </w:r>
      <w:proofErr w:type="gramStart"/>
      <w:r w:rsidR="00CA4B4E">
        <w:rPr>
          <w:rFonts w:ascii="Times-Roman" w:hAnsi="Times-Roman" w:cs="Times-Roman"/>
        </w:rPr>
        <w:t>Türkeş’ göre (2003: 14) b</w:t>
      </w:r>
      <w:r>
        <w:rPr>
          <w:rFonts w:ascii="Times-Roman" w:hAnsi="Times-Roman" w:cs="Times-Roman"/>
        </w:rPr>
        <w:t>unlar: (i) Çiftliklerde kullanılan fosil yakıtlardan ve esas olarak ormansızla</w:t>
      </w:r>
      <w:r w:rsidR="003463A8">
        <w:rPr>
          <w:rFonts w:ascii="TTE1AC21F8t00" w:hAnsi="TTE1AC21F8t00" w:cs="TTE1AC21F8t00"/>
        </w:rPr>
        <w:t>ş</w:t>
      </w:r>
      <w:r>
        <w:rPr>
          <w:rFonts w:ascii="Times-Roman" w:hAnsi="Times-Roman" w:cs="Times-Roman"/>
        </w:rPr>
        <w:t>tırma ve tarımsal üretim ile toprak i</w:t>
      </w:r>
      <w:r>
        <w:rPr>
          <w:rFonts w:ascii="TTE1AC21F8t00" w:hAnsi="TTE1AC21F8t00" w:cs="TTE1AC21F8t00"/>
        </w:rPr>
        <w:t>s</w:t>
      </w:r>
      <w:r>
        <w:rPr>
          <w:rFonts w:ascii="Times-Roman" w:hAnsi="Times-Roman" w:cs="Times-Roman"/>
        </w:rPr>
        <w:t>leme tekniklerindeki dönü</w:t>
      </w:r>
      <w:r w:rsidR="003463A8">
        <w:rPr>
          <w:rFonts w:ascii="TTE1AC21F8t00" w:hAnsi="TTE1AC21F8t00" w:cs="TTE1AC21F8t00"/>
        </w:rPr>
        <w:t>ş</w:t>
      </w:r>
      <w:r>
        <w:rPr>
          <w:rFonts w:ascii="Times-Roman" w:hAnsi="Times-Roman" w:cs="Times-Roman"/>
        </w:rPr>
        <w:t>ümlerden kaynaklanan CO</w:t>
      </w:r>
      <w:r>
        <w:rPr>
          <w:rFonts w:ascii="Times-Roman" w:hAnsi="Times-Roman" w:cs="Times-Roman"/>
          <w:sz w:val="16"/>
          <w:szCs w:val="16"/>
        </w:rPr>
        <w:t xml:space="preserve">2 </w:t>
      </w:r>
      <w:r>
        <w:rPr>
          <w:rFonts w:ascii="Times-Roman" w:hAnsi="Times-Roman" w:cs="Times-Roman"/>
        </w:rPr>
        <w:t>(toplam CO</w:t>
      </w:r>
      <w:r>
        <w:rPr>
          <w:rFonts w:ascii="Times-Roman" w:hAnsi="Times-Roman" w:cs="Times-Roman"/>
          <w:sz w:val="16"/>
          <w:szCs w:val="16"/>
        </w:rPr>
        <w:t>2</w:t>
      </w:r>
      <w:r w:rsidR="003463A8">
        <w:rPr>
          <w:rFonts w:ascii="Times-Roman" w:hAnsi="Times-Roman" w:cs="Times-Roman"/>
        </w:rPr>
        <w:t xml:space="preserve"> emisyon</w:t>
      </w:r>
      <w:r>
        <w:rPr>
          <w:rFonts w:ascii="Times-Roman" w:hAnsi="Times-Roman" w:cs="Times-Roman"/>
        </w:rPr>
        <w:t>larının % 21-25’ini olu</w:t>
      </w:r>
      <w:r w:rsidR="003463A8">
        <w:rPr>
          <w:rFonts w:ascii="TTE1AC21F8t00" w:hAnsi="TTE1AC21F8t00" w:cs="TTE1AC21F8t00"/>
        </w:rPr>
        <w:t>ş</w:t>
      </w:r>
      <w:r>
        <w:rPr>
          <w:rFonts w:ascii="Times-Roman" w:hAnsi="Times-Roman" w:cs="Times-Roman"/>
        </w:rPr>
        <w:t>turuyor); (ii) Çeltik tarlalarından, arazi kullanımı de</w:t>
      </w:r>
      <w:r w:rsidR="003463A8">
        <w:rPr>
          <w:rFonts w:ascii="TTE1AC21F8t00" w:hAnsi="TTE1AC21F8t00" w:cs="TTE1AC21F8t00"/>
        </w:rPr>
        <w:t>ğiş</w:t>
      </w:r>
      <w:r>
        <w:rPr>
          <w:rFonts w:ascii="Times-Roman" w:hAnsi="Times-Roman" w:cs="Times-Roman"/>
        </w:rPr>
        <w:t xml:space="preserve">ikliklerinden, </w:t>
      </w:r>
      <w:r w:rsidR="009B4CCB">
        <w:rPr>
          <w:rFonts w:ascii="Times-Roman" w:hAnsi="Times-Roman" w:cs="Times-Roman"/>
        </w:rPr>
        <w:t>biokütle</w:t>
      </w:r>
      <w:r>
        <w:rPr>
          <w:rFonts w:ascii="Times-Roman" w:hAnsi="Times-Roman" w:cs="Times-Roman"/>
        </w:rPr>
        <w:t xml:space="preserve"> yanmasından, mide fermantasyonundan ve hayvansal atıklardan kaynaklanan CH</w:t>
      </w:r>
      <w:r>
        <w:rPr>
          <w:rFonts w:ascii="Times-Roman" w:hAnsi="Times-Roman" w:cs="Times-Roman"/>
          <w:sz w:val="16"/>
          <w:szCs w:val="16"/>
        </w:rPr>
        <w:t>4</w:t>
      </w:r>
      <w:r>
        <w:rPr>
          <w:rFonts w:ascii="Times-Roman" w:hAnsi="Times-Roman" w:cs="Times-Roman"/>
        </w:rPr>
        <w:t xml:space="preserve"> (toplam CH</w:t>
      </w:r>
      <w:r>
        <w:rPr>
          <w:rFonts w:ascii="Times-Roman" w:hAnsi="Times-Roman" w:cs="Times-Roman"/>
          <w:sz w:val="16"/>
          <w:szCs w:val="16"/>
        </w:rPr>
        <w:t>4</w:t>
      </w:r>
      <w:r>
        <w:rPr>
          <w:rFonts w:ascii="Times-Roman" w:hAnsi="Times-Roman" w:cs="Times-Roman"/>
        </w:rPr>
        <w:t>’ün % 55-60’ını kar</w:t>
      </w:r>
      <w:r w:rsidR="003463A8">
        <w:rPr>
          <w:rFonts w:ascii="TTE1AC21F8t00" w:hAnsi="TTE1AC21F8t00" w:cs="TTE1AC21F8t00"/>
        </w:rPr>
        <w:t>ş</w:t>
      </w:r>
      <w:r>
        <w:rPr>
          <w:rFonts w:ascii="Times-Roman" w:hAnsi="Times-Roman" w:cs="Times-Roman"/>
        </w:rPr>
        <w:t>ılıyor); (iii) Esas olarak i</w:t>
      </w:r>
      <w:r>
        <w:rPr>
          <w:rFonts w:ascii="TTE1AC21F8t00" w:hAnsi="TTE1AC21F8t00" w:cs="TTE1AC21F8t00"/>
        </w:rPr>
        <w:t>s</w:t>
      </w:r>
      <w:r>
        <w:rPr>
          <w:rFonts w:ascii="Times-Roman" w:hAnsi="Times-Roman" w:cs="Times-Roman"/>
        </w:rPr>
        <w:t>lenen tarım topraklarında kullanılan azotlu gübrelerden ve hayvansal atıklardan kaynaklanan N</w:t>
      </w:r>
      <w:r>
        <w:rPr>
          <w:rFonts w:ascii="Times-Roman" w:hAnsi="Times-Roman" w:cs="Times-Roman"/>
          <w:sz w:val="16"/>
          <w:szCs w:val="16"/>
        </w:rPr>
        <w:t>2</w:t>
      </w:r>
      <w:r>
        <w:rPr>
          <w:rFonts w:ascii="Times-Roman" w:hAnsi="Times-Roman" w:cs="Times-Roman"/>
        </w:rPr>
        <w:t>O (toplam N</w:t>
      </w:r>
      <w:r>
        <w:rPr>
          <w:rFonts w:ascii="Times-Roman" w:hAnsi="Times-Roman" w:cs="Times-Roman"/>
          <w:sz w:val="16"/>
          <w:szCs w:val="16"/>
        </w:rPr>
        <w:t>2</w:t>
      </w:r>
      <w:r>
        <w:rPr>
          <w:rFonts w:ascii="Times-Roman" w:hAnsi="Times-Roman" w:cs="Times-Roman"/>
        </w:rPr>
        <w:t>O salımlarının % 65-80’ini kar</w:t>
      </w:r>
      <w:r w:rsidR="003463A8">
        <w:rPr>
          <w:rFonts w:ascii="TTE1AC21F8t00" w:hAnsi="TTE1AC21F8t00" w:cs="TTE1AC21F8t00"/>
        </w:rPr>
        <w:t>ş</w:t>
      </w:r>
      <w:r>
        <w:rPr>
          <w:rFonts w:ascii="Times-Roman" w:hAnsi="Times-Roman" w:cs="Times-Roman"/>
        </w:rPr>
        <w:t xml:space="preserve">ılıyor). </w:t>
      </w:r>
      <w:proofErr w:type="gramEnd"/>
    </w:p>
    <w:p w:rsidR="0044255F" w:rsidRDefault="00E56F2D" w:rsidP="009960F7">
      <w:pPr>
        <w:pStyle w:val="Balk3"/>
        <w:numPr>
          <w:ilvl w:val="2"/>
          <w:numId w:val="33"/>
        </w:numPr>
      </w:pPr>
      <w:bookmarkStart w:id="98" w:name="_Toc384823981"/>
      <w:r>
        <w:t xml:space="preserve"> </w:t>
      </w:r>
      <w:r w:rsidR="0044255F">
        <w:t>Ormancılık ve Toprak Kullanımı</w:t>
      </w:r>
      <w:bookmarkEnd w:id="98"/>
    </w:p>
    <w:p w:rsidR="004367E6" w:rsidRPr="004367E6" w:rsidRDefault="004367E6" w:rsidP="00774F6E">
      <w:pPr>
        <w:spacing w:before="240" w:after="240" w:line="360" w:lineRule="auto"/>
        <w:ind w:firstLine="708"/>
        <w:jc w:val="both"/>
        <w:rPr>
          <w:bCs/>
        </w:rPr>
      </w:pPr>
      <w:proofErr w:type="gramStart"/>
      <w:r w:rsidRPr="004367E6">
        <w:rPr>
          <w:bCs/>
        </w:rPr>
        <w:t>Hükümetler arası İklim Değişikliği Panelince (IPCC) belirlenen altı sınıf arazi grubunun (orman, tarım, çayır ve mera, sulak alan, iskan, diğer alanlar)</w:t>
      </w:r>
      <w:r w:rsidR="00AE5D54">
        <w:rPr>
          <w:bCs/>
        </w:rPr>
        <w:t xml:space="preserve"> geçmişteki ve bugünkü durumları saptanarak</w:t>
      </w:r>
      <w:r w:rsidRPr="004367E6">
        <w:rPr>
          <w:bCs/>
        </w:rPr>
        <w:t>, atmosfere salınan ve atmosferden alınan CO</w:t>
      </w:r>
      <w:r w:rsidR="00072FD2">
        <w:rPr>
          <w:bCs/>
          <w:vertAlign w:val="subscript"/>
        </w:rPr>
        <w:t>2</w:t>
      </w:r>
      <w:r w:rsidRPr="004367E6">
        <w:rPr>
          <w:bCs/>
        </w:rPr>
        <w:t xml:space="preserve"> ve diğer sera gazlarının miktarlarını Kyoto Protokolünde öngörülen norm ve standartlara uygun olarak her yıl hesaplayarak</w:t>
      </w:r>
      <w:r w:rsidR="00AE5D54">
        <w:rPr>
          <w:bCs/>
        </w:rPr>
        <w:t xml:space="preserve"> UNFCCC sekretaryasına gönderilmektedir.</w:t>
      </w:r>
      <w:r w:rsidR="000F4D4A">
        <w:rPr>
          <w:bCs/>
        </w:rPr>
        <w:t xml:space="preserve"> </w:t>
      </w:r>
      <w:proofErr w:type="gramEnd"/>
    </w:p>
    <w:p w:rsidR="004367E6" w:rsidRPr="008B157B" w:rsidRDefault="004367E6" w:rsidP="00774F6E">
      <w:pPr>
        <w:spacing w:before="240" w:after="240" w:line="360" w:lineRule="auto"/>
        <w:ind w:firstLine="708"/>
        <w:jc w:val="both"/>
        <w:rPr>
          <w:bCs/>
        </w:rPr>
      </w:pPr>
      <w:r w:rsidRPr="004367E6">
        <w:rPr>
          <w:bCs/>
        </w:rPr>
        <w:t>Sera gazları emisyonlarını azaltmak amacıyla alınabilecek önlemleri saptayarak bunları hayata ge</w:t>
      </w:r>
      <w:r w:rsidR="000E0AF9">
        <w:rPr>
          <w:bCs/>
        </w:rPr>
        <w:t>çirmek için gerekli politikalar</w:t>
      </w:r>
      <w:r w:rsidR="00AE5D54">
        <w:rPr>
          <w:bCs/>
        </w:rPr>
        <w:t xml:space="preserve"> ve stratejiler belirlenmelidir.</w:t>
      </w:r>
      <w:r w:rsidRPr="004367E6">
        <w:rPr>
          <w:bCs/>
        </w:rPr>
        <w:t xml:space="preserve"> IPCC tarafından belirlenen 6 adet arazi sınıfından biri olan orman alanlarına ait sera</w:t>
      </w:r>
      <w:r w:rsidR="008232CF">
        <w:rPr>
          <w:bCs/>
        </w:rPr>
        <w:t xml:space="preserve"> </w:t>
      </w:r>
      <w:r w:rsidRPr="004367E6">
        <w:rPr>
          <w:bCs/>
        </w:rPr>
        <w:t>gazı envanteri (ormanlar tarafından uzaklaştırılan (tutulan) karbon dioksit miktarının) ile ulusal envanter raporunu (NIR) Hükümetler arası İklim Değişikliği Paneli (IPCC) tarafından hazırlanan rehbere uygun olarak her yıl hesaplayarak İklim Değişikliği Çerçeve Sözleşmesi sekreteryasına (UNFC</w:t>
      </w:r>
      <w:r w:rsidR="008B157B">
        <w:rPr>
          <w:bCs/>
        </w:rPr>
        <w:t xml:space="preserve">CC) </w:t>
      </w:r>
      <w:r w:rsidR="00755234">
        <w:rPr>
          <w:bCs/>
        </w:rPr>
        <w:t>gönderilmektedir</w:t>
      </w:r>
      <w:r w:rsidR="008B157B">
        <w:rPr>
          <w:bCs/>
        </w:rPr>
        <w:t xml:space="preserve">. </w:t>
      </w:r>
    </w:p>
    <w:p w:rsidR="00327192" w:rsidRDefault="00A67238" w:rsidP="00774F6E">
      <w:pPr>
        <w:spacing w:before="240" w:after="240" w:line="360" w:lineRule="auto"/>
        <w:ind w:firstLine="708"/>
        <w:jc w:val="both"/>
      </w:pPr>
      <w:r w:rsidRPr="00A67238">
        <w:t>Karbondioksit emisyonunun en önemli yutaklarından olan ormanların korunmasına yönelik Birleşmiş Milletler ve Kalkınma Konferansı Hazırlık Komitesinde tüm ormanl</w:t>
      </w:r>
      <w:r w:rsidR="000E0AF9">
        <w:t>arı kapsayan bir belge imzalanmıştır</w:t>
      </w:r>
      <w:r w:rsidRPr="00A67238">
        <w:t xml:space="preserve">. </w:t>
      </w:r>
      <w:r>
        <w:t xml:space="preserve">Belgede, 17 ilkeden oluşan hem doğal </w:t>
      </w:r>
      <w:r>
        <w:lastRenderedPageBreak/>
        <w:t>hem</w:t>
      </w:r>
      <w:r w:rsidR="008232CF">
        <w:t xml:space="preserve"> </w:t>
      </w:r>
      <w:r>
        <w:t>de sonradan yetiş</w:t>
      </w:r>
      <w:r w:rsidR="008232CF">
        <w:t>tirilen or</w:t>
      </w:r>
      <w:r>
        <w:t xml:space="preserve">manların korunmasına yönelik </w:t>
      </w:r>
      <w:r w:rsidR="008232CF">
        <w:t>maddeler yer almaktadır. Orman i</w:t>
      </w:r>
      <w:r>
        <w:t>lke</w:t>
      </w:r>
      <w:r w:rsidR="008232CF">
        <w:t>le</w:t>
      </w:r>
      <w:r>
        <w:t xml:space="preserve">ri, </w:t>
      </w:r>
      <w:r w:rsidR="008232CF">
        <w:t>d</w:t>
      </w:r>
      <w:r>
        <w:t xml:space="preserve">ünya </w:t>
      </w:r>
      <w:r w:rsidR="008232CF">
        <w:t>z</w:t>
      </w:r>
      <w:r>
        <w:t xml:space="preserve">irvesi sırasında ve </w:t>
      </w:r>
      <w:r w:rsidR="008232CF">
        <w:t>h</w:t>
      </w:r>
      <w:r>
        <w:t xml:space="preserve">ükümet </w:t>
      </w:r>
      <w:r w:rsidR="008232CF">
        <w:t>b</w:t>
      </w:r>
      <w:r>
        <w:t>aşkanları tar</w:t>
      </w:r>
      <w:r w:rsidR="008232CF">
        <w:t>a</w:t>
      </w:r>
      <w:r>
        <w:t>fından imzaya açılmıştır</w:t>
      </w:r>
      <w:r w:rsidR="00AE1248">
        <w:t xml:space="preserve"> (Keating, 1993: 127).</w:t>
      </w:r>
    </w:p>
    <w:p w:rsidR="0044255F" w:rsidRDefault="00E56F2D" w:rsidP="009960F7">
      <w:pPr>
        <w:pStyle w:val="Balk3"/>
        <w:numPr>
          <w:ilvl w:val="2"/>
          <w:numId w:val="33"/>
        </w:numPr>
      </w:pPr>
      <w:bookmarkStart w:id="99" w:name="_Toc384823982"/>
      <w:r>
        <w:t xml:space="preserve"> </w:t>
      </w:r>
      <w:r w:rsidR="00FE320D">
        <w:t>Atık Yönetimi</w:t>
      </w:r>
      <w:bookmarkEnd w:id="99"/>
    </w:p>
    <w:p w:rsidR="00391886" w:rsidRPr="00391886" w:rsidRDefault="00391886" w:rsidP="00774F6E">
      <w:pPr>
        <w:autoSpaceDE w:val="0"/>
        <w:autoSpaceDN w:val="0"/>
        <w:adjustRightInd w:val="0"/>
        <w:spacing w:before="240" w:after="240" w:line="360" w:lineRule="auto"/>
        <w:jc w:val="both"/>
      </w:pPr>
      <w:r w:rsidRPr="00391886">
        <w:t xml:space="preserve">Atıklar ve atık yönetimi, </w:t>
      </w:r>
      <w:r w:rsidR="003463A8">
        <w:t>sera gazı emisyon</w:t>
      </w:r>
      <w:r w:rsidRPr="00391886">
        <w:t>larının düzeyini genel olarak 5 ana yolla etkiler (Türkeş, 2003: 16);</w:t>
      </w:r>
    </w:p>
    <w:p w:rsidR="00391886" w:rsidRPr="00391886" w:rsidRDefault="00391886" w:rsidP="007A77D5">
      <w:pPr>
        <w:autoSpaceDE w:val="0"/>
        <w:autoSpaceDN w:val="0"/>
        <w:adjustRightInd w:val="0"/>
        <w:spacing w:line="360" w:lineRule="auto"/>
        <w:jc w:val="both"/>
      </w:pPr>
      <w:r>
        <w:t>(i</w:t>
      </w:r>
      <w:r w:rsidRPr="00391886">
        <w:t>) Düzenli katı atık (çöp) depolamasından (arazi dolguları</w:t>
      </w:r>
      <w:r>
        <w:t xml:space="preserve">ndan) kaynaklanan metan </w:t>
      </w:r>
      <w:r w:rsidR="003463A8">
        <w:t>emisyonları</w:t>
      </w:r>
      <w:r>
        <w:t>,</w:t>
      </w:r>
    </w:p>
    <w:p w:rsidR="00391886" w:rsidRPr="00391886" w:rsidRDefault="00391886" w:rsidP="007A77D5">
      <w:pPr>
        <w:autoSpaceDE w:val="0"/>
        <w:autoSpaceDN w:val="0"/>
        <w:adjustRightInd w:val="0"/>
        <w:spacing w:line="360" w:lineRule="auto"/>
        <w:jc w:val="both"/>
      </w:pPr>
      <w:r>
        <w:t>(ii</w:t>
      </w:r>
      <w:r w:rsidRPr="00391886">
        <w:t>) Atık yanmasından sa</w:t>
      </w:r>
      <w:r w:rsidR="003C4299">
        <w:t>ğ</w:t>
      </w:r>
      <w:r w:rsidRPr="00391886">
        <w:t>lanan enerjinin katkısıyla fosil yakıt kullanımının azalması</w:t>
      </w:r>
      <w:r>
        <w:t>,</w:t>
      </w:r>
    </w:p>
    <w:p w:rsidR="00391886" w:rsidRPr="00391886" w:rsidRDefault="00391886" w:rsidP="007A77D5">
      <w:pPr>
        <w:autoSpaceDE w:val="0"/>
        <w:autoSpaceDN w:val="0"/>
        <w:adjustRightInd w:val="0"/>
        <w:spacing w:line="360" w:lineRule="auto"/>
        <w:jc w:val="both"/>
      </w:pPr>
      <w:r>
        <w:t>(iii</w:t>
      </w:r>
      <w:r w:rsidRPr="00391886">
        <w:t>) Do</w:t>
      </w:r>
      <w:r w:rsidR="003C4299">
        <w:t>ğ</w:t>
      </w:r>
      <w:r w:rsidRPr="00391886">
        <w:t>al madde ve imalat sanayilerindeki enerji tüketiminde ve süreç gazı</w:t>
      </w:r>
      <w:r>
        <w:t xml:space="preserve"> </w:t>
      </w:r>
      <w:r w:rsidR="003463A8">
        <w:t>emisyon</w:t>
      </w:r>
      <w:r w:rsidRPr="00391886">
        <w:t>ları</w:t>
      </w:r>
      <w:r>
        <w:t xml:space="preserve">nda, </w:t>
      </w:r>
      <w:r w:rsidRPr="00391886">
        <w:t>geri dönü</w:t>
      </w:r>
      <w:r w:rsidR="003463A8">
        <w:t>ş</w:t>
      </w:r>
      <w:r>
        <w:t>üm sonucunda azalma,</w:t>
      </w:r>
    </w:p>
    <w:p w:rsidR="00391886" w:rsidRPr="00391886" w:rsidRDefault="00391886" w:rsidP="007A77D5">
      <w:pPr>
        <w:autoSpaceDE w:val="0"/>
        <w:autoSpaceDN w:val="0"/>
        <w:adjustRightInd w:val="0"/>
        <w:spacing w:line="360" w:lineRule="auto"/>
        <w:jc w:val="both"/>
      </w:pPr>
      <w:r>
        <w:t>(iv</w:t>
      </w:r>
      <w:r w:rsidRPr="00391886">
        <w:t>) Birinci el (kullanılmamı</w:t>
      </w:r>
      <w:r w:rsidR="003C4299">
        <w:t>ş</w:t>
      </w:r>
      <w:r w:rsidRPr="00391886">
        <w:t>) k</w:t>
      </w:r>
      <w:r w:rsidR="003C4299">
        <w:t>âğ</w:t>
      </w:r>
      <w:r w:rsidRPr="00391886">
        <w:t>ıt istemindeki azalmaya ba</w:t>
      </w:r>
      <w:r w:rsidR="003C4299">
        <w:t>ğ</w:t>
      </w:r>
      <w:r w:rsidRPr="00391886">
        <w:t>lı</w:t>
      </w:r>
      <w:r>
        <w:t xml:space="preserve"> olarak, orman kesiminin </w:t>
      </w:r>
      <w:r w:rsidRPr="00391886">
        <w:t>azalması, dolayısıyla ormanlarda karbon tutulması</w:t>
      </w:r>
      <w:r>
        <w:t>,</w:t>
      </w:r>
    </w:p>
    <w:p w:rsidR="0084212A" w:rsidRDefault="00391886" w:rsidP="007A77D5">
      <w:pPr>
        <w:autoSpaceDE w:val="0"/>
        <w:autoSpaceDN w:val="0"/>
        <w:adjustRightInd w:val="0"/>
        <w:spacing w:line="360" w:lineRule="auto"/>
        <w:jc w:val="both"/>
      </w:pPr>
      <w:r>
        <w:t>(v</w:t>
      </w:r>
      <w:r w:rsidRPr="00391886">
        <w:t>) Satı</w:t>
      </w:r>
      <w:r w:rsidR="003C4299">
        <w:t>ş</w:t>
      </w:r>
      <w:r w:rsidR="003463A8">
        <w:t xml:space="preserve"> ya da geri dönüş</w:t>
      </w:r>
      <w:r w:rsidRPr="00391886">
        <w:t>üm için atık ta</w:t>
      </w:r>
      <w:r w:rsidR="003463A8">
        <w:t>ş</w:t>
      </w:r>
      <w:r w:rsidRPr="00391886">
        <w:t>ınmasında enerji kullanımı: Camı</w:t>
      </w:r>
      <w:r>
        <w:t xml:space="preserve">n yeniden </w:t>
      </w:r>
      <w:r w:rsidRPr="00391886">
        <w:t>kullanımı ya da geri dönü</w:t>
      </w:r>
      <w:r w:rsidR="003463A8">
        <w:t>ş</w:t>
      </w:r>
      <w:r w:rsidRPr="00391886">
        <w:t>ümü için uzun mesafeli ta</w:t>
      </w:r>
      <w:r w:rsidR="003463A8">
        <w:t>ş</w:t>
      </w:r>
      <w:r w:rsidRPr="00391886">
        <w:t>ınması dı</w:t>
      </w:r>
      <w:r w:rsidR="003463A8">
        <w:t>ş</w:t>
      </w:r>
      <w:r w:rsidRPr="00391886">
        <w:t>ı</w:t>
      </w:r>
      <w:r>
        <w:t xml:space="preserve">nda, ikinci materyallerin </w:t>
      </w:r>
      <w:r w:rsidRPr="00391886">
        <w:t>ta</w:t>
      </w:r>
      <w:r w:rsidR="003463A8">
        <w:t>şınmasından kaynaklanan emisyonların</w:t>
      </w:r>
      <w:r w:rsidRPr="00391886">
        <w:t xml:space="preserve"> büyüklü</w:t>
      </w:r>
      <w:r w:rsidR="003C4299">
        <w:t>ğ</w:t>
      </w:r>
      <w:r w:rsidRPr="00391886">
        <w:t>ü, genel</w:t>
      </w:r>
      <w:r>
        <w:t xml:space="preserve">likle öteki 4 etmenden çok daha </w:t>
      </w:r>
      <w:r w:rsidRPr="00391886">
        <w:t>küçüktür.</w:t>
      </w:r>
    </w:p>
    <w:p w:rsidR="00391886" w:rsidRPr="00391886" w:rsidRDefault="00391886" w:rsidP="00774F6E">
      <w:pPr>
        <w:autoSpaceDE w:val="0"/>
        <w:autoSpaceDN w:val="0"/>
        <w:adjustRightInd w:val="0"/>
        <w:jc w:val="both"/>
      </w:pPr>
    </w:p>
    <w:p w:rsidR="00091279" w:rsidRDefault="00E56F2D" w:rsidP="009960F7">
      <w:pPr>
        <w:pStyle w:val="Balk3"/>
        <w:numPr>
          <w:ilvl w:val="2"/>
          <w:numId w:val="33"/>
        </w:numPr>
      </w:pPr>
      <w:bookmarkStart w:id="100" w:name="_Toc384823983"/>
      <w:r>
        <w:t xml:space="preserve"> </w:t>
      </w:r>
      <w:r w:rsidR="00091279">
        <w:t>Konut ve Ticaret Sektörü</w:t>
      </w:r>
      <w:bookmarkEnd w:id="100"/>
    </w:p>
    <w:p w:rsidR="003E1368" w:rsidRDefault="003E1368" w:rsidP="00774F6E">
      <w:pPr>
        <w:spacing w:before="240" w:after="240" w:line="360" w:lineRule="auto"/>
        <w:ind w:firstLine="708"/>
        <w:jc w:val="both"/>
        <w:rPr>
          <w:bCs/>
        </w:rPr>
      </w:pPr>
      <w:r w:rsidRPr="003E1368">
        <w:rPr>
          <w:bCs/>
        </w:rPr>
        <w:t>Hı</w:t>
      </w:r>
      <w:r>
        <w:rPr>
          <w:bCs/>
        </w:rPr>
        <w:t xml:space="preserve">zlı nüfus artışı ve sanayileşme </w:t>
      </w:r>
      <w:r w:rsidRPr="003E1368">
        <w:rPr>
          <w:bCs/>
        </w:rPr>
        <w:t>doğal kaynaklar üzerinde baskı</w:t>
      </w:r>
      <w:r w:rsidR="000E0AF9">
        <w:rPr>
          <w:bCs/>
        </w:rPr>
        <w:t>lar</w:t>
      </w:r>
      <w:r w:rsidRPr="003E1368">
        <w:rPr>
          <w:bCs/>
        </w:rPr>
        <w:t xml:space="preserve"> yaratmaktadır. AB sürecinde, </w:t>
      </w:r>
      <w:r w:rsidR="00D620C0">
        <w:rPr>
          <w:bCs/>
        </w:rPr>
        <w:t xml:space="preserve">konut </w:t>
      </w:r>
      <w:r w:rsidRPr="003E1368">
        <w:rPr>
          <w:bCs/>
        </w:rPr>
        <w:t xml:space="preserve">ve </w:t>
      </w:r>
      <w:r w:rsidR="00D620C0">
        <w:rPr>
          <w:bCs/>
        </w:rPr>
        <w:t>ticaret sektörü</w:t>
      </w:r>
      <w:r w:rsidRPr="003E1368">
        <w:rPr>
          <w:bCs/>
        </w:rPr>
        <w:t xml:space="preserve"> alanında, saha rehabilitasyonları, emisyonlar ve gürültü konularında önemli ilerlem</w:t>
      </w:r>
      <w:r w:rsidR="00D620C0">
        <w:rPr>
          <w:bCs/>
        </w:rPr>
        <w:t xml:space="preserve">eler kaydedilmiştir. </w:t>
      </w:r>
      <w:r w:rsidRPr="003E1368">
        <w:rPr>
          <w:bCs/>
        </w:rPr>
        <w:t>Çevresel Etki Değerlendirme Yönetmeliği ve Endüstriyel Tesislerden Kaynaklanan Hava Kalitesinin Korunması Yönetmeliği yürürlükte olup bu kapsamda yeni inşa edilen elektrik üretim santralleri, yönetmeliklere göre yapılmakta ve santrallerden kaynaklanan emisyon değerleri düzenli olarak kontrol edilmektedir.</w:t>
      </w:r>
    </w:p>
    <w:p w:rsidR="000F4D4A" w:rsidRPr="000F4D4A" w:rsidRDefault="00BA7072" w:rsidP="00774F6E">
      <w:pPr>
        <w:spacing w:before="240" w:after="240" w:line="360" w:lineRule="auto"/>
        <w:jc w:val="both"/>
        <w:rPr>
          <w:bCs/>
        </w:rPr>
      </w:pPr>
      <w:r>
        <w:rPr>
          <w:bCs/>
        </w:rPr>
        <w:tab/>
      </w:r>
      <w:r w:rsidR="004D5334">
        <w:rPr>
          <w:bCs/>
        </w:rPr>
        <w:t>Hizmet s</w:t>
      </w:r>
      <w:r w:rsidRPr="00BA7072">
        <w:rPr>
          <w:bCs/>
        </w:rPr>
        <w:t>ektörü</w:t>
      </w:r>
      <w:r w:rsidR="004D5334">
        <w:rPr>
          <w:bCs/>
        </w:rPr>
        <w:t>, ç</w:t>
      </w:r>
      <w:r w:rsidRPr="00BA7072">
        <w:rPr>
          <w:bCs/>
        </w:rPr>
        <w:t xml:space="preserve">oğunlukla yerleşme (konut) ve ticari binalar için </w:t>
      </w:r>
      <w:r w:rsidR="003463A8">
        <w:rPr>
          <w:bCs/>
        </w:rPr>
        <w:t>sera gazı</w:t>
      </w:r>
      <w:r w:rsidRPr="00BA7072">
        <w:rPr>
          <w:bCs/>
        </w:rPr>
        <w:t xml:space="preserve"> </w:t>
      </w:r>
      <w:r w:rsidR="003463A8">
        <w:rPr>
          <w:bCs/>
        </w:rPr>
        <w:t>emisyon</w:t>
      </w:r>
      <w:r w:rsidRPr="00BA7072">
        <w:rPr>
          <w:bCs/>
        </w:rPr>
        <w:t>larının azaltılması olanaklarını içerir. Doğrudan kullanılan fosil ya</w:t>
      </w:r>
      <w:r w:rsidR="004D5334">
        <w:rPr>
          <w:bCs/>
        </w:rPr>
        <w:t>kıt enerjisinden kaynaklanan CO</w:t>
      </w:r>
      <w:r w:rsidR="004D5334">
        <w:rPr>
          <w:bCs/>
          <w:vertAlign w:val="subscript"/>
        </w:rPr>
        <w:t>2</w:t>
      </w:r>
      <w:r w:rsidR="004D5334">
        <w:rPr>
          <w:bCs/>
        </w:rPr>
        <w:t xml:space="preserve"> </w:t>
      </w:r>
      <w:r w:rsidR="003463A8">
        <w:rPr>
          <w:bCs/>
        </w:rPr>
        <w:t>emisyon</w:t>
      </w:r>
      <w:r w:rsidRPr="00BA7072">
        <w:rPr>
          <w:bCs/>
        </w:rPr>
        <w:t xml:space="preserve">ları ve bu </w:t>
      </w:r>
      <w:r w:rsidR="006D2433">
        <w:rPr>
          <w:bCs/>
        </w:rPr>
        <w:t>konutlardaki</w:t>
      </w:r>
      <w:r w:rsidRPr="00BA7072">
        <w:rPr>
          <w:bCs/>
        </w:rPr>
        <w:t xml:space="preserve"> </w:t>
      </w:r>
      <w:r w:rsidR="006D2433">
        <w:rPr>
          <w:bCs/>
        </w:rPr>
        <w:t>enerji ihtiyacının karşılanması</w:t>
      </w:r>
      <w:r w:rsidRPr="00BA7072">
        <w:rPr>
          <w:bCs/>
        </w:rPr>
        <w:t xml:space="preserve"> için kullanılan elektrik, </w:t>
      </w:r>
      <w:r w:rsidR="003463A8">
        <w:rPr>
          <w:bCs/>
        </w:rPr>
        <w:t>sera gazı</w:t>
      </w:r>
      <w:r w:rsidRPr="00BA7072">
        <w:rPr>
          <w:bCs/>
        </w:rPr>
        <w:t xml:space="preserve"> </w:t>
      </w:r>
      <w:r w:rsidR="003463A8">
        <w:rPr>
          <w:bCs/>
        </w:rPr>
        <w:t>emisyon</w:t>
      </w:r>
      <w:r w:rsidRPr="00BA7072">
        <w:rPr>
          <w:bCs/>
        </w:rPr>
        <w:t xml:space="preserve">larının bu sektördeki en büyük kaynağıdır. Öteki </w:t>
      </w:r>
      <w:r w:rsidR="003463A8">
        <w:rPr>
          <w:bCs/>
        </w:rPr>
        <w:t>sera gazı</w:t>
      </w:r>
      <w:r w:rsidRPr="00BA7072">
        <w:rPr>
          <w:bCs/>
        </w:rPr>
        <w:t xml:space="preserve"> kaynakları, izolasyon köpüğü üretiminden, konut</w:t>
      </w:r>
      <w:r w:rsidR="006D2433">
        <w:rPr>
          <w:bCs/>
        </w:rPr>
        <w:t xml:space="preserve"> </w:t>
      </w:r>
      <w:r w:rsidRPr="00BA7072">
        <w:rPr>
          <w:bCs/>
        </w:rPr>
        <w:t xml:space="preserve">ve ticari soğutucular ile iklimlendirme ve havalandırmadan kaynaklanan CFC’leri ve yemek </w:t>
      </w:r>
      <w:r w:rsidRPr="00BA7072">
        <w:rPr>
          <w:bCs/>
        </w:rPr>
        <w:lastRenderedPageBreak/>
        <w:t xml:space="preserve">ocaklarında ve fırınlarda </w:t>
      </w:r>
      <w:r w:rsidR="00A53DCA">
        <w:rPr>
          <w:bCs/>
        </w:rPr>
        <w:t>biokütle</w:t>
      </w:r>
      <w:r w:rsidRPr="00BA7072">
        <w:rPr>
          <w:bCs/>
        </w:rPr>
        <w:t xml:space="preserve"> yanması aracılığıyla üretilen çok çeşitli sera gazlarını</w:t>
      </w:r>
      <w:r w:rsidR="004D5334">
        <w:rPr>
          <w:bCs/>
        </w:rPr>
        <w:t xml:space="preserve"> </w:t>
      </w:r>
      <w:r w:rsidRPr="00BA7072">
        <w:rPr>
          <w:bCs/>
        </w:rPr>
        <w:t>içermektedir</w:t>
      </w:r>
      <w:r w:rsidR="00C32A5C">
        <w:rPr>
          <w:bCs/>
        </w:rPr>
        <w:t xml:space="preserve"> (Türkeş, 2003:8-9)</w:t>
      </w:r>
      <w:r w:rsidRPr="00BA7072">
        <w:rPr>
          <w:bCs/>
        </w:rPr>
        <w:t xml:space="preserve">. </w:t>
      </w:r>
    </w:p>
    <w:p w:rsidR="00F52EE4" w:rsidRPr="007B7A22" w:rsidRDefault="007B7A22" w:rsidP="009960F7">
      <w:pPr>
        <w:pStyle w:val="Balk2"/>
        <w:numPr>
          <w:ilvl w:val="1"/>
          <w:numId w:val="33"/>
        </w:numPr>
      </w:pPr>
      <w:bookmarkStart w:id="101" w:name="_Toc384823984"/>
      <w:r w:rsidRPr="007B7A22">
        <w:rPr>
          <w:rStyle w:val="Balk2Char"/>
          <w:b/>
          <w:bCs/>
          <w:caps/>
        </w:rPr>
        <w:t>İKLİM DEĞİŞİKLİĞİ İLE İLGİLİ ULUSLARARASI BELGE VE</w:t>
      </w:r>
      <w:r w:rsidRPr="007B7A22">
        <w:t xml:space="preserve"> ANTLAŞMALAR</w:t>
      </w:r>
      <w:bookmarkEnd w:id="101"/>
    </w:p>
    <w:p w:rsidR="00974C94" w:rsidRDefault="00974C94" w:rsidP="00774F6E">
      <w:pPr>
        <w:pStyle w:val="GvdeMetniGirintisi"/>
        <w:spacing w:before="240" w:after="240"/>
      </w:pPr>
      <w:r w:rsidRPr="00974C94">
        <w:t>Birleşmiş Milletler</w:t>
      </w:r>
      <w:r w:rsidR="00816CA2">
        <w:t>’</w:t>
      </w:r>
      <w:r w:rsidRPr="00974C94">
        <w:t xml:space="preserve">in </w:t>
      </w:r>
      <w:r w:rsidR="00816CA2">
        <w:t xml:space="preserve">üzerinde durduğu </w:t>
      </w:r>
      <w:r w:rsidRPr="00974C94">
        <w:t xml:space="preserve">en önemli konularından olan ve ciddi anlamda tehditler oluşturmaya başlayan iklim değişikliği, insan faaliyetleri nedeniyle </w:t>
      </w:r>
      <w:r w:rsidR="003463A8">
        <w:t>sera gazı</w:t>
      </w:r>
      <w:r w:rsidRPr="00974C94">
        <w:t xml:space="preserve"> emisyon miktarının artması ve doğal </w:t>
      </w:r>
      <w:r w:rsidR="003463A8">
        <w:t>sera gazı</w:t>
      </w:r>
      <w:r w:rsidRPr="00974C94">
        <w:t xml:space="preserve"> konsantrasyonun değişmesi sonucu ortaya çıkmaktadır. Bu bağlamda; 21 Mart 1994 tarihinde yürürlüğe giren Birleşmiş Milletler İklim Değişikliği Çerçeve Sözleşmesi (BMİDÇS), 16 Şubat 2005’de </w:t>
      </w:r>
      <w:r w:rsidR="00816CA2">
        <w:t xml:space="preserve">yürürlüğe giren </w:t>
      </w:r>
      <w:r w:rsidRPr="00974C94">
        <w:t xml:space="preserve">Kyoto </w:t>
      </w:r>
      <w:r w:rsidR="00816CA2">
        <w:t>P</w:t>
      </w:r>
      <w:r w:rsidRPr="00974C94">
        <w:t>rotokolü küresel ısınmanın önüne geçmek için yapılan en önemli girişimlerdir. Kyoto Protokolü iklim değişikliğini önlemeye yönelik olarak Esneklik Mekanizmalarını devreye sokmuştur. Esneklik Mekanizmaları olarak adlandırılan bu mekanizmalardan yararlanmak için bazı şartların yerine getirilmesi gerekmektedir.</w:t>
      </w:r>
    </w:p>
    <w:p w:rsidR="004413AF" w:rsidRDefault="004413AF" w:rsidP="00774F6E">
      <w:pPr>
        <w:pStyle w:val="GvdeMetniGirintisi"/>
        <w:spacing w:before="240" w:after="240"/>
      </w:pPr>
      <w:r>
        <w:t xml:space="preserve">Kyoto Protokolü’nü önemli kılan nedenlerden biri, taraflara </w:t>
      </w:r>
      <w:r w:rsidR="003463A8">
        <w:t>sera gazı</w:t>
      </w:r>
      <w:r>
        <w:t xml:space="preserve"> azaltımı ile belli tarihler çerçevesinde ve belli oranlar dahilinde yükümlülükler getirmesidir. Kyoto Protokolü’nü önemli kılan bir diğer neden ise, hukuki bir niteliği olan bu belgenin </w:t>
      </w:r>
      <w:r w:rsidR="003463A8">
        <w:t>sera gazı</w:t>
      </w:r>
      <w:r>
        <w:t xml:space="preserve"> azaltımına yönelik taraflara bir anlamda esneklik sağlayan üç yeni mekanizmayı devreye sokmasıdır. Kyoto Protokolü Esneklik Mekanizma’ları olarak adlandırılan bu mekanizmalar, </w:t>
      </w:r>
      <w:r w:rsidR="003463A8">
        <w:t>sera gazı</w:t>
      </w:r>
      <w:r>
        <w:t xml:space="preserve"> azaltımına yönelik ülkelerin kendi sınırları dışında ortak faaliyetler yürütmesine olanak tanımaktadır. Ancak tarafların bu mekanizmalardan yararlanabilmesi için, bazı şartları yerine getirmesi gerekmektedir. </w:t>
      </w:r>
    </w:p>
    <w:p w:rsidR="004413AF" w:rsidRDefault="004413AF" w:rsidP="00774F6E">
      <w:pPr>
        <w:pStyle w:val="GvdeMetniGirintisi"/>
        <w:spacing w:before="240" w:after="240"/>
      </w:pPr>
      <w:r>
        <w:t>Dünya karbon emisyonunun % 40’tan fazlasını gerçekleştiren Ekonomik Kalkınma ve İşbirliği Örgütü (OECD) ülkeleri sera</w:t>
      </w:r>
      <w:r w:rsidR="003463A8">
        <w:t xml:space="preserve"> </w:t>
      </w:r>
      <w:r>
        <w:t xml:space="preserve">gazları </w:t>
      </w:r>
      <w:r w:rsidR="003463A8">
        <w:t>emisyonları</w:t>
      </w:r>
      <w:r>
        <w:t>nı azaltmak için önemli anlaşma ve müzakereler yapmaktadır. Bu ülkelerin saldıkları sera</w:t>
      </w:r>
      <w:r w:rsidR="003463A8">
        <w:t xml:space="preserve"> </w:t>
      </w:r>
      <w:r>
        <w:t>gazlarının ekonomik boyutu milyar dolara ulaştığından dolayı birçok bilimin konusu olmaya başlamıştır.</w:t>
      </w:r>
    </w:p>
    <w:p w:rsidR="00974C94" w:rsidRDefault="00974C94" w:rsidP="00774F6E">
      <w:pPr>
        <w:pStyle w:val="GvdeMetniGirintisi"/>
        <w:spacing w:before="240" w:after="240"/>
      </w:pPr>
    </w:p>
    <w:p w:rsidR="004413AF" w:rsidRDefault="004413AF" w:rsidP="00774F6E">
      <w:pPr>
        <w:pStyle w:val="GvdeMetniGirintisi"/>
        <w:spacing w:before="240" w:after="240"/>
      </w:pPr>
    </w:p>
    <w:p w:rsidR="004413AF" w:rsidRDefault="004413AF" w:rsidP="00774F6E">
      <w:pPr>
        <w:pStyle w:val="GvdeMetniGirintisi"/>
        <w:spacing w:before="240" w:after="240"/>
      </w:pPr>
    </w:p>
    <w:p w:rsidR="007A77D5" w:rsidRDefault="007A77D5" w:rsidP="00774F6E">
      <w:pPr>
        <w:pStyle w:val="GvdeMetniGirintisi"/>
        <w:spacing w:before="240" w:after="240"/>
      </w:pPr>
    </w:p>
    <w:p w:rsidR="001A5652" w:rsidRPr="001A5652" w:rsidRDefault="00FB0E0B" w:rsidP="000D38D2">
      <w:pPr>
        <w:pStyle w:val="it6"/>
      </w:pPr>
      <w:bookmarkStart w:id="102" w:name="_Toc384716094"/>
      <w:r>
        <w:t>Çizelge</w:t>
      </w:r>
      <w:r w:rsidR="009A3714">
        <w:t xml:space="preserve"> </w:t>
      </w:r>
      <w:proofErr w:type="gramStart"/>
      <w:r w:rsidR="009A3714">
        <w:t>1.5</w:t>
      </w:r>
      <w:proofErr w:type="gramEnd"/>
      <w:r w:rsidR="001A5652">
        <w:t xml:space="preserve">: </w:t>
      </w:r>
      <w:r w:rsidR="00B543AF" w:rsidRPr="00B543AF">
        <w:t>İklim değişikliği konulu uluslararası ve hükümetlerarası görüşmeler sü</w:t>
      </w:r>
      <w:r w:rsidR="00B543AF">
        <w:t>recinde 1979-2013</w:t>
      </w:r>
      <w:r w:rsidR="00B543AF" w:rsidRPr="00B543AF">
        <w:t xml:space="preserve"> döneminde gerçekleşen önemli dönüm noktaları ve gelişmeler</w:t>
      </w:r>
      <w:bookmarkEnd w:id="102"/>
    </w:p>
    <w:tbl>
      <w:tblPr>
        <w:tblStyle w:val="TabloKlavuzu"/>
        <w:tblW w:w="0" w:type="auto"/>
        <w:tblLook w:val="04A0" w:firstRow="1" w:lastRow="0" w:firstColumn="1" w:lastColumn="0" w:noHBand="0" w:noVBand="1"/>
      </w:tblPr>
      <w:tblGrid>
        <w:gridCol w:w="2545"/>
        <w:gridCol w:w="6175"/>
      </w:tblGrid>
      <w:tr w:rsidR="00F52EE4" w:rsidRPr="00F52EE4" w:rsidTr="00FA53AB">
        <w:trPr>
          <w:trHeight w:val="330"/>
        </w:trPr>
        <w:tc>
          <w:tcPr>
            <w:tcW w:w="2963" w:type="dxa"/>
            <w:shd w:val="clear" w:color="auto" w:fill="BFBFBF" w:themeFill="background1" w:themeFillShade="BF"/>
            <w:noWrap/>
            <w:vAlign w:val="center"/>
            <w:hideMark/>
          </w:tcPr>
          <w:p w:rsidR="00F52EE4" w:rsidRPr="00131ABD" w:rsidRDefault="00F52EE4" w:rsidP="00FA53AB">
            <w:pPr>
              <w:pStyle w:val="ListeParagraf"/>
              <w:tabs>
                <w:tab w:val="left" w:pos="0"/>
              </w:tabs>
              <w:ind w:left="0"/>
              <w:rPr>
                <w:b/>
                <w:sz w:val="20"/>
                <w:szCs w:val="20"/>
              </w:rPr>
            </w:pPr>
            <w:r w:rsidRPr="00131ABD">
              <w:rPr>
                <w:b/>
                <w:sz w:val="20"/>
                <w:szCs w:val="20"/>
              </w:rPr>
              <w:t>Çalışma/Eylem/Etkinlik/</w:t>
            </w:r>
            <w:r w:rsidR="00131ABD" w:rsidRPr="00131ABD">
              <w:rPr>
                <w:b/>
                <w:sz w:val="20"/>
                <w:szCs w:val="20"/>
              </w:rPr>
              <w:t xml:space="preserve"> </w:t>
            </w:r>
            <w:r w:rsidRPr="00131ABD">
              <w:rPr>
                <w:b/>
                <w:sz w:val="20"/>
                <w:szCs w:val="20"/>
              </w:rPr>
              <w:t>Süreç</w:t>
            </w:r>
          </w:p>
        </w:tc>
        <w:tc>
          <w:tcPr>
            <w:tcW w:w="7243" w:type="dxa"/>
            <w:shd w:val="clear" w:color="auto" w:fill="BFBFBF" w:themeFill="background1" w:themeFillShade="BF"/>
            <w:noWrap/>
            <w:vAlign w:val="center"/>
            <w:hideMark/>
          </w:tcPr>
          <w:p w:rsidR="00F52EE4" w:rsidRPr="00131ABD" w:rsidRDefault="00F52EE4" w:rsidP="00FA53AB">
            <w:pPr>
              <w:pStyle w:val="ListeParagraf"/>
              <w:tabs>
                <w:tab w:val="left" w:pos="0"/>
              </w:tabs>
              <w:ind w:left="0"/>
              <w:rPr>
                <w:b/>
                <w:sz w:val="20"/>
                <w:szCs w:val="20"/>
              </w:rPr>
            </w:pPr>
            <w:r w:rsidRPr="00131ABD">
              <w:rPr>
                <w:b/>
                <w:sz w:val="20"/>
                <w:szCs w:val="20"/>
              </w:rPr>
              <w:t>Başlıca Konferans, Antlaşma ve Gelişmeler</w:t>
            </w:r>
          </w:p>
        </w:tc>
      </w:tr>
      <w:tr w:rsidR="00F52EE4" w:rsidRPr="00F52EE4" w:rsidTr="00FA53AB">
        <w:trPr>
          <w:trHeight w:val="315"/>
        </w:trPr>
        <w:tc>
          <w:tcPr>
            <w:tcW w:w="2963" w:type="dxa"/>
            <w:vMerge w:val="restart"/>
            <w:vAlign w:val="center"/>
            <w:hideMark/>
          </w:tcPr>
          <w:p w:rsidR="00F52EE4" w:rsidRPr="0092381E" w:rsidRDefault="00F52EE4" w:rsidP="00FA53AB">
            <w:pPr>
              <w:pStyle w:val="ListeParagraf"/>
              <w:tabs>
                <w:tab w:val="left" w:pos="0"/>
              </w:tabs>
              <w:ind w:left="0"/>
              <w:rPr>
                <w:sz w:val="20"/>
                <w:szCs w:val="20"/>
              </w:rPr>
            </w:pPr>
            <w:r w:rsidRPr="0092381E">
              <w:rPr>
                <w:sz w:val="20"/>
                <w:szCs w:val="20"/>
              </w:rPr>
              <w:t>Bilimsel ve Teknik Değerlendirme, Bilgilenme Çalışmaları</w:t>
            </w: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WMO Dünya Birinci İklim Konferansı (1979)</w:t>
            </w:r>
          </w:p>
        </w:tc>
      </w:tr>
      <w:tr w:rsidR="00F52EE4" w:rsidRPr="00F52EE4" w:rsidTr="00FA53AB">
        <w:trPr>
          <w:trHeight w:val="315"/>
        </w:trPr>
        <w:tc>
          <w:tcPr>
            <w:tcW w:w="2963" w:type="dxa"/>
            <w:vMerge/>
            <w:vAlign w:val="center"/>
            <w:hideMark/>
          </w:tcPr>
          <w:p w:rsidR="00F52EE4" w:rsidRPr="0092381E" w:rsidRDefault="00F52EE4" w:rsidP="00FA53AB">
            <w:pPr>
              <w:pStyle w:val="ListeParagraf"/>
              <w:tabs>
                <w:tab w:val="left" w:pos="0"/>
                <w:tab w:val="left" w:pos="426"/>
              </w:tabs>
              <w:rPr>
                <w:sz w:val="20"/>
                <w:szCs w:val="20"/>
              </w:rPr>
            </w:pP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 xml:space="preserve">Villach İklim Değişikliği Konferansları </w:t>
            </w:r>
            <w:proofErr w:type="gramStart"/>
            <w:r w:rsidRPr="0092381E">
              <w:rPr>
                <w:sz w:val="20"/>
                <w:szCs w:val="20"/>
              </w:rPr>
              <w:t>(</w:t>
            </w:r>
            <w:proofErr w:type="gramEnd"/>
            <w:r w:rsidRPr="0092381E">
              <w:rPr>
                <w:sz w:val="20"/>
                <w:szCs w:val="20"/>
              </w:rPr>
              <w:t>1985 ve 1987, Villach</w:t>
            </w:r>
          </w:p>
        </w:tc>
      </w:tr>
      <w:tr w:rsidR="00F52EE4" w:rsidRPr="00F52EE4" w:rsidTr="00FA53AB">
        <w:trPr>
          <w:trHeight w:val="315"/>
        </w:trPr>
        <w:tc>
          <w:tcPr>
            <w:tcW w:w="2963" w:type="dxa"/>
            <w:vMerge/>
            <w:vAlign w:val="center"/>
            <w:hideMark/>
          </w:tcPr>
          <w:p w:rsidR="00F52EE4" w:rsidRPr="0092381E" w:rsidRDefault="00F52EE4" w:rsidP="00FA53AB">
            <w:pPr>
              <w:pStyle w:val="ListeParagraf"/>
              <w:tabs>
                <w:tab w:val="left" w:pos="0"/>
                <w:tab w:val="left" w:pos="426"/>
              </w:tabs>
              <w:rPr>
                <w:sz w:val="20"/>
                <w:szCs w:val="20"/>
              </w:rPr>
            </w:pP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Toronto Değişen Atmosfer Konferansı (1988, Toronto)</w:t>
            </w:r>
          </w:p>
        </w:tc>
      </w:tr>
      <w:tr w:rsidR="00F52EE4" w:rsidRPr="00F52EE4" w:rsidTr="00FA53AB">
        <w:trPr>
          <w:trHeight w:val="315"/>
        </w:trPr>
        <w:tc>
          <w:tcPr>
            <w:tcW w:w="2963" w:type="dxa"/>
            <w:vMerge/>
            <w:vAlign w:val="center"/>
            <w:hideMark/>
          </w:tcPr>
          <w:p w:rsidR="00F52EE4" w:rsidRPr="0092381E" w:rsidRDefault="00F52EE4" w:rsidP="00FA53AB">
            <w:pPr>
              <w:pStyle w:val="ListeParagraf"/>
              <w:tabs>
                <w:tab w:val="left" w:pos="0"/>
                <w:tab w:val="left" w:pos="426"/>
              </w:tabs>
              <w:rPr>
                <w:sz w:val="20"/>
                <w:szCs w:val="20"/>
              </w:rPr>
            </w:pP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WMO/UNEP IPCC'nin Kuruluşu (1988)</w:t>
            </w:r>
          </w:p>
        </w:tc>
      </w:tr>
      <w:tr w:rsidR="00F52EE4" w:rsidRPr="00F52EE4" w:rsidTr="00FA53AB">
        <w:trPr>
          <w:trHeight w:val="330"/>
        </w:trPr>
        <w:tc>
          <w:tcPr>
            <w:tcW w:w="2963" w:type="dxa"/>
            <w:vMerge/>
            <w:vAlign w:val="center"/>
            <w:hideMark/>
          </w:tcPr>
          <w:p w:rsidR="00F52EE4" w:rsidRPr="0092381E" w:rsidRDefault="00F52EE4" w:rsidP="00FA53AB">
            <w:pPr>
              <w:pStyle w:val="ListeParagraf"/>
              <w:tabs>
                <w:tab w:val="left" w:pos="0"/>
                <w:tab w:val="left" w:pos="426"/>
              </w:tabs>
              <w:rPr>
                <w:sz w:val="20"/>
                <w:szCs w:val="20"/>
              </w:rPr>
            </w:pP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IPCC I. Değerlendirme Raporu (Aralık 1990, Cenevre)</w:t>
            </w:r>
          </w:p>
        </w:tc>
      </w:tr>
      <w:tr w:rsidR="00F52EE4" w:rsidRPr="00F52EE4" w:rsidTr="00FA53AB">
        <w:trPr>
          <w:trHeight w:val="315"/>
        </w:trPr>
        <w:tc>
          <w:tcPr>
            <w:tcW w:w="2963" w:type="dxa"/>
            <w:vMerge w:val="restart"/>
            <w:vAlign w:val="center"/>
            <w:hideMark/>
          </w:tcPr>
          <w:p w:rsidR="00F52EE4" w:rsidRPr="0092381E" w:rsidRDefault="00F52EE4" w:rsidP="00FA53AB">
            <w:pPr>
              <w:pStyle w:val="ListeParagraf"/>
              <w:tabs>
                <w:tab w:val="left" w:pos="0"/>
              </w:tabs>
              <w:ind w:left="0"/>
              <w:rPr>
                <w:sz w:val="20"/>
                <w:szCs w:val="20"/>
              </w:rPr>
            </w:pPr>
            <w:r w:rsidRPr="0092381E">
              <w:rPr>
                <w:sz w:val="20"/>
                <w:szCs w:val="20"/>
              </w:rPr>
              <w:t>Yasal Bir Hükümetlerarası Çerçeve İklim Rejimi İçin Hazırlık</w:t>
            </w: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BM Küresel İklimin Korunması Kararı (Aralık 1988, New York)</w:t>
            </w:r>
          </w:p>
        </w:tc>
      </w:tr>
      <w:tr w:rsidR="00F52EE4" w:rsidRPr="00F52EE4" w:rsidTr="00FA53AB">
        <w:trPr>
          <w:trHeight w:val="315"/>
        </w:trPr>
        <w:tc>
          <w:tcPr>
            <w:tcW w:w="2963" w:type="dxa"/>
            <w:vMerge/>
            <w:vAlign w:val="center"/>
            <w:hideMark/>
          </w:tcPr>
          <w:p w:rsidR="00F52EE4" w:rsidRPr="0092381E" w:rsidRDefault="00F52EE4" w:rsidP="00FA53AB">
            <w:pPr>
              <w:pStyle w:val="ListeParagraf"/>
              <w:tabs>
                <w:tab w:val="left" w:pos="0"/>
                <w:tab w:val="left" w:pos="426"/>
              </w:tabs>
              <w:rPr>
                <w:sz w:val="20"/>
                <w:szCs w:val="20"/>
              </w:rPr>
            </w:pP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Nordwijk Bakanlar Konferansı (Kasım 1989, Nordwijk)</w:t>
            </w:r>
          </w:p>
        </w:tc>
      </w:tr>
      <w:tr w:rsidR="00F52EE4" w:rsidRPr="00F52EE4" w:rsidTr="00FA53AB">
        <w:trPr>
          <w:trHeight w:val="315"/>
        </w:trPr>
        <w:tc>
          <w:tcPr>
            <w:tcW w:w="2963" w:type="dxa"/>
            <w:vMerge/>
            <w:vAlign w:val="center"/>
            <w:hideMark/>
          </w:tcPr>
          <w:p w:rsidR="00F52EE4" w:rsidRPr="0092381E" w:rsidRDefault="00F52EE4" w:rsidP="00FA53AB">
            <w:pPr>
              <w:pStyle w:val="ListeParagraf"/>
              <w:tabs>
                <w:tab w:val="left" w:pos="0"/>
                <w:tab w:val="left" w:pos="426"/>
              </w:tabs>
              <w:rPr>
                <w:sz w:val="20"/>
                <w:szCs w:val="20"/>
              </w:rPr>
            </w:pP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WMO Dünya İkinci İklim Konferansı (Ekim-Kasım 1990, Cenevre)</w:t>
            </w:r>
          </w:p>
        </w:tc>
      </w:tr>
      <w:tr w:rsidR="00F52EE4" w:rsidRPr="00F52EE4" w:rsidTr="00FA53AB">
        <w:trPr>
          <w:trHeight w:val="645"/>
        </w:trPr>
        <w:tc>
          <w:tcPr>
            <w:tcW w:w="2963" w:type="dxa"/>
            <w:vMerge/>
            <w:vAlign w:val="center"/>
            <w:hideMark/>
          </w:tcPr>
          <w:p w:rsidR="00F52EE4" w:rsidRPr="0092381E" w:rsidRDefault="00F52EE4" w:rsidP="00FA53AB">
            <w:pPr>
              <w:pStyle w:val="ListeParagraf"/>
              <w:tabs>
                <w:tab w:val="left" w:pos="0"/>
                <w:tab w:val="left" w:pos="426"/>
              </w:tabs>
              <w:rPr>
                <w:sz w:val="20"/>
                <w:szCs w:val="20"/>
              </w:rPr>
            </w:pPr>
          </w:p>
        </w:tc>
        <w:tc>
          <w:tcPr>
            <w:tcW w:w="7243" w:type="dxa"/>
            <w:vAlign w:val="center"/>
            <w:hideMark/>
          </w:tcPr>
          <w:p w:rsidR="00F52EE4" w:rsidRPr="0092381E" w:rsidRDefault="00F52EE4" w:rsidP="00FA53AB">
            <w:pPr>
              <w:pStyle w:val="ListeParagraf"/>
              <w:tabs>
                <w:tab w:val="left" w:pos="0"/>
              </w:tabs>
              <w:ind w:left="0"/>
              <w:rPr>
                <w:sz w:val="20"/>
                <w:szCs w:val="20"/>
              </w:rPr>
            </w:pPr>
            <w:r w:rsidRPr="0092381E">
              <w:rPr>
                <w:sz w:val="20"/>
                <w:szCs w:val="20"/>
              </w:rPr>
              <w:t xml:space="preserve">BM Hükümetlerarası İklim Değişikliği Görüşmeleri </w:t>
            </w:r>
            <w:proofErr w:type="gramStart"/>
            <w:r w:rsidRPr="0092381E">
              <w:rPr>
                <w:sz w:val="20"/>
                <w:szCs w:val="20"/>
              </w:rPr>
              <w:t>(</w:t>
            </w:r>
            <w:proofErr w:type="gramEnd"/>
            <w:r w:rsidRPr="0092381E">
              <w:rPr>
                <w:sz w:val="20"/>
                <w:szCs w:val="20"/>
              </w:rPr>
              <w:t xml:space="preserve">1991-1992, çoğu Cenevre'de olmak üzere, dünyanın çeşitli kentlerinde </w:t>
            </w:r>
          </w:p>
        </w:tc>
      </w:tr>
      <w:tr w:rsidR="00F52EE4" w:rsidRPr="00F52EE4" w:rsidTr="00FA53AB">
        <w:trPr>
          <w:trHeight w:val="450"/>
        </w:trPr>
        <w:tc>
          <w:tcPr>
            <w:tcW w:w="2963" w:type="dxa"/>
            <w:vMerge w:val="restart"/>
            <w:vAlign w:val="center"/>
            <w:hideMark/>
          </w:tcPr>
          <w:p w:rsidR="00F52EE4" w:rsidRPr="0092381E" w:rsidRDefault="00F52EE4" w:rsidP="00FA53AB">
            <w:pPr>
              <w:pStyle w:val="ListeParagraf"/>
              <w:tabs>
                <w:tab w:val="left" w:pos="0"/>
                <w:tab w:val="left" w:pos="426"/>
              </w:tabs>
              <w:ind w:left="0"/>
              <w:rPr>
                <w:sz w:val="20"/>
                <w:szCs w:val="20"/>
              </w:rPr>
            </w:pPr>
            <w:r w:rsidRPr="0092381E">
              <w:rPr>
                <w:sz w:val="20"/>
                <w:szCs w:val="20"/>
              </w:rPr>
              <w:t>Yasal İklim Rejimine Temel Oluşturacak Bir Çerçeve İklim Anlaşmasına Yönelik Eylem Stratejileri</w:t>
            </w: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BM Çevre ve Kalkınma Konferansı (Haziran 1992, Rio de Janerio)</w:t>
            </w:r>
          </w:p>
        </w:tc>
      </w:tr>
      <w:tr w:rsidR="00F52EE4" w:rsidRPr="00F52EE4" w:rsidTr="00FA53AB">
        <w:trPr>
          <w:trHeight w:val="450"/>
        </w:trPr>
        <w:tc>
          <w:tcPr>
            <w:tcW w:w="2963" w:type="dxa"/>
            <w:vMerge/>
            <w:vAlign w:val="center"/>
            <w:hideMark/>
          </w:tcPr>
          <w:p w:rsidR="00F52EE4" w:rsidRPr="0092381E" w:rsidRDefault="00F52EE4" w:rsidP="00FA53AB">
            <w:pPr>
              <w:pStyle w:val="ListeParagraf"/>
              <w:tabs>
                <w:tab w:val="left" w:pos="0"/>
                <w:tab w:val="left" w:pos="426"/>
              </w:tabs>
              <w:rPr>
                <w:sz w:val="20"/>
                <w:szCs w:val="20"/>
              </w:rPr>
            </w:pP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 xml:space="preserve">BM İklim Değişikliği Çerçeve Sözleşmesi </w:t>
            </w:r>
            <w:proofErr w:type="gramStart"/>
            <w:r w:rsidRPr="0092381E">
              <w:rPr>
                <w:sz w:val="20"/>
                <w:szCs w:val="20"/>
              </w:rPr>
              <w:t>(</w:t>
            </w:r>
            <w:proofErr w:type="gramEnd"/>
            <w:r w:rsidRPr="0092381E">
              <w:rPr>
                <w:sz w:val="20"/>
                <w:szCs w:val="20"/>
              </w:rPr>
              <w:t>Haziran 1992, Rio de Janerio</w:t>
            </w:r>
          </w:p>
        </w:tc>
      </w:tr>
      <w:tr w:rsidR="00F52EE4" w:rsidRPr="00F52EE4" w:rsidTr="00FA53AB">
        <w:trPr>
          <w:trHeight w:val="435"/>
        </w:trPr>
        <w:tc>
          <w:tcPr>
            <w:tcW w:w="2963" w:type="dxa"/>
            <w:vMerge/>
            <w:vAlign w:val="center"/>
            <w:hideMark/>
          </w:tcPr>
          <w:p w:rsidR="00F52EE4" w:rsidRPr="0092381E" w:rsidRDefault="00F52EE4" w:rsidP="00FA53AB">
            <w:pPr>
              <w:pStyle w:val="ListeParagraf"/>
              <w:tabs>
                <w:tab w:val="left" w:pos="0"/>
                <w:tab w:val="left" w:pos="426"/>
              </w:tabs>
              <w:rPr>
                <w:sz w:val="20"/>
                <w:szCs w:val="20"/>
              </w:rPr>
            </w:pP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İDÇS Berlin Buyruğu (Nisan 1995, Berlin)</w:t>
            </w:r>
          </w:p>
        </w:tc>
      </w:tr>
      <w:tr w:rsidR="00F52EE4" w:rsidRPr="00F52EE4" w:rsidTr="00FA53AB">
        <w:trPr>
          <w:trHeight w:val="315"/>
        </w:trPr>
        <w:tc>
          <w:tcPr>
            <w:tcW w:w="2963" w:type="dxa"/>
            <w:vMerge w:val="restart"/>
            <w:vAlign w:val="center"/>
            <w:hideMark/>
          </w:tcPr>
          <w:p w:rsidR="00F52EE4" w:rsidRPr="0092381E" w:rsidRDefault="00F52EE4" w:rsidP="00FA53AB">
            <w:pPr>
              <w:pStyle w:val="ListeParagraf"/>
              <w:tabs>
                <w:tab w:val="left" w:pos="0"/>
              </w:tabs>
              <w:ind w:left="0"/>
              <w:rPr>
                <w:sz w:val="20"/>
                <w:szCs w:val="20"/>
              </w:rPr>
            </w:pPr>
            <w:r w:rsidRPr="0092381E">
              <w:rPr>
                <w:sz w:val="20"/>
                <w:szCs w:val="20"/>
              </w:rPr>
              <w:t>Yasal Yükümlülük Hedefleri</w:t>
            </w: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İDÇS Kyoto Protokolü (Aralık 1997, Kyoto)</w:t>
            </w:r>
          </w:p>
        </w:tc>
      </w:tr>
      <w:tr w:rsidR="00F52EE4" w:rsidRPr="00F52EE4" w:rsidTr="00FA53AB">
        <w:trPr>
          <w:trHeight w:val="330"/>
        </w:trPr>
        <w:tc>
          <w:tcPr>
            <w:tcW w:w="2963" w:type="dxa"/>
            <w:vMerge/>
            <w:vAlign w:val="center"/>
            <w:hideMark/>
          </w:tcPr>
          <w:p w:rsidR="00F52EE4" w:rsidRPr="0092381E" w:rsidRDefault="00F52EE4" w:rsidP="00FA53AB">
            <w:pPr>
              <w:pStyle w:val="ListeParagraf"/>
              <w:tabs>
                <w:tab w:val="left" w:pos="0"/>
              </w:tabs>
              <w:ind w:left="0"/>
              <w:rPr>
                <w:sz w:val="20"/>
                <w:szCs w:val="20"/>
              </w:rPr>
            </w:pP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İDÇS Buenos Aires Eylem Planı (Kasım 1998, Buenos Aires)</w:t>
            </w:r>
          </w:p>
        </w:tc>
      </w:tr>
      <w:tr w:rsidR="00F52EE4" w:rsidRPr="00F52EE4" w:rsidTr="00FA53AB">
        <w:trPr>
          <w:trHeight w:val="315"/>
        </w:trPr>
        <w:tc>
          <w:tcPr>
            <w:tcW w:w="2963" w:type="dxa"/>
            <w:vMerge w:val="restart"/>
            <w:vAlign w:val="center"/>
            <w:hideMark/>
          </w:tcPr>
          <w:p w:rsidR="00F52EE4" w:rsidRPr="0092381E" w:rsidRDefault="00F52EE4" w:rsidP="00FA53AB">
            <w:pPr>
              <w:pStyle w:val="ListeParagraf"/>
              <w:tabs>
                <w:tab w:val="left" w:pos="0"/>
              </w:tabs>
              <w:ind w:left="0"/>
              <w:rPr>
                <w:sz w:val="20"/>
                <w:szCs w:val="20"/>
              </w:rPr>
            </w:pPr>
            <w:r w:rsidRPr="0092381E">
              <w:rPr>
                <w:sz w:val="20"/>
                <w:szCs w:val="20"/>
              </w:rPr>
              <w:t>Yasal Yükümlülükleri Yürütme Etkinlikleri (Kyoto Kuralları)</w:t>
            </w: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İDÇS Bonn Siyasi Uzlaşması (Temmuz 2001, Bonn)</w:t>
            </w:r>
          </w:p>
        </w:tc>
      </w:tr>
      <w:tr w:rsidR="00F52EE4" w:rsidRPr="00F52EE4" w:rsidTr="00FA53AB">
        <w:trPr>
          <w:trHeight w:val="315"/>
        </w:trPr>
        <w:tc>
          <w:tcPr>
            <w:tcW w:w="2963" w:type="dxa"/>
            <w:vMerge/>
            <w:vAlign w:val="center"/>
            <w:hideMark/>
          </w:tcPr>
          <w:p w:rsidR="00F52EE4" w:rsidRPr="0092381E" w:rsidRDefault="00F52EE4" w:rsidP="00FA53AB">
            <w:pPr>
              <w:pStyle w:val="ListeParagraf"/>
              <w:tabs>
                <w:tab w:val="left" w:pos="0"/>
              </w:tabs>
              <w:ind w:left="0"/>
              <w:rPr>
                <w:sz w:val="20"/>
                <w:szCs w:val="20"/>
              </w:rPr>
            </w:pP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İDÇS Marakeş Uzlaşmaları (Kasım 2001, Marakeş)</w:t>
            </w:r>
          </w:p>
        </w:tc>
      </w:tr>
      <w:tr w:rsidR="00F52EE4" w:rsidRPr="00F52EE4" w:rsidTr="00FA53AB">
        <w:trPr>
          <w:trHeight w:val="330"/>
        </w:trPr>
        <w:tc>
          <w:tcPr>
            <w:tcW w:w="2963" w:type="dxa"/>
            <w:vMerge/>
            <w:vAlign w:val="center"/>
            <w:hideMark/>
          </w:tcPr>
          <w:p w:rsidR="00F52EE4" w:rsidRPr="0092381E" w:rsidRDefault="00F52EE4" w:rsidP="00FA53AB">
            <w:pPr>
              <w:pStyle w:val="ListeParagraf"/>
              <w:tabs>
                <w:tab w:val="left" w:pos="0"/>
              </w:tabs>
              <w:ind w:left="0"/>
              <w:rPr>
                <w:sz w:val="20"/>
                <w:szCs w:val="20"/>
              </w:rPr>
            </w:pP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 xml:space="preserve">İDÇS Montreal Konferansı Kararları </w:t>
            </w:r>
            <w:proofErr w:type="gramStart"/>
            <w:r w:rsidRPr="0092381E">
              <w:rPr>
                <w:sz w:val="20"/>
                <w:szCs w:val="20"/>
              </w:rPr>
              <w:t>(</w:t>
            </w:r>
            <w:proofErr w:type="gramEnd"/>
            <w:r w:rsidRPr="0092381E">
              <w:rPr>
                <w:sz w:val="20"/>
                <w:szCs w:val="20"/>
              </w:rPr>
              <w:t>Kasım-Aralık 2005, Montreal</w:t>
            </w:r>
          </w:p>
        </w:tc>
      </w:tr>
      <w:tr w:rsidR="00F52EE4" w:rsidRPr="00F52EE4" w:rsidTr="00FA53AB">
        <w:trPr>
          <w:trHeight w:val="960"/>
        </w:trPr>
        <w:tc>
          <w:tcPr>
            <w:tcW w:w="2963" w:type="dxa"/>
            <w:vAlign w:val="center"/>
            <w:hideMark/>
          </w:tcPr>
          <w:p w:rsidR="00F52EE4" w:rsidRPr="0092381E" w:rsidRDefault="00F52EE4" w:rsidP="00FA53AB">
            <w:pPr>
              <w:pStyle w:val="ListeParagraf"/>
              <w:tabs>
                <w:tab w:val="left" w:pos="0"/>
              </w:tabs>
              <w:ind w:left="0"/>
              <w:rPr>
                <w:sz w:val="20"/>
                <w:szCs w:val="20"/>
              </w:rPr>
            </w:pPr>
            <w:r w:rsidRPr="0092381E">
              <w:rPr>
                <w:sz w:val="20"/>
                <w:szCs w:val="20"/>
              </w:rPr>
              <w:t xml:space="preserve">Yasal </w:t>
            </w:r>
            <w:r w:rsidR="003463A8">
              <w:rPr>
                <w:sz w:val="20"/>
                <w:szCs w:val="20"/>
              </w:rPr>
              <w:t>Sera Gazı</w:t>
            </w:r>
            <w:r w:rsidRPr="0092381E">
              <w:rPr>
                <w:sz w:val="20"/>
                <w:szCs w:val="20"/>
              </w:rPr>
              <w:t xml:space="preserve"> Yükümlülüklerinin Uygulanması</w:t>
            </w: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İDÇS Kyoto Protokolü'nün Yürürlüğe Girişi (Şubat 2005, New York)</w:t>
            </w:r>
          </w:p>
        </w:tc>
      </w:tr>
      <w:tr w:rsidR="00F52EE4" w:rsidRPr="00F52EE4" w:rsidTr="00FA53AB">
        <w:trPr>
          <w:trHeight w:val="315"/>
        </w:trPr>
        <w:tc>
          <w:tcPr>
            <w:tcW w:w="2963" w:type="dxa"/>
            <w:vMerge w:val="restart"/>
            <w:vAlign w:val="center"/>
            <w:hideMark/>
          </w:tcPr>
          <w:p w:rsidR="00F52EE4" w:rsidRPr="0092381E" w:rsidRDefault="00F52EE4" w:rsidP="00FA53AB">
            <w:pPr>
              <w:pStyle w:val="ListeParagraf"/>
              <w:tabs>
                <w:tab w:val="left" w:pos="0"/>
              </w:tabs>
              <w:ind w:left="0"/>
              <w:rPr>
                <w:sz w:val="20"/>
                <w:szCs w:val="20"/>
              </w:rPr>
            </w:pPr>
            <w:r w:rsidRPr="0092381E">
              <w:rPr>
                <w:sz w:val="20"/>
                <w:szCs w:val="20"/>
              </w:rPr>
              <w:t xml:space="preserve">Kyoto Sonrası Yasal İklim Rejiminin Oluşturulması ve </w:t>
            </w:r>
            <w:r w:rsidR="003463A8">
              <w:rPr>
                <w:sz w:val="20"/>
                <w:szCs w:val="20"/>
              </w:rPr>
              <w:t>Sera Gazı</w:t>
            </w:r>
            <w:r w:rsidRPr="0092381E">
              <w:rPr>
                <w:sz w:val="20"/>
                <w:szCs w:val="20"/>
              </w:rPr>
              <w:t xml:space="preserve"> Yükümlülüklerinin Belirlenmesi</w:t>
            </w: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İDÇS Bali Eylem Planı/Yol Haritası (Aralık 2007, Bali)</w:t>
            </w:r>
          </w:p>
        </w:tc>
      </w:tr>
      <w:tr w:rsidR="00F52EE4" w:rsidRPr="00F52EE4" w:rsidTr="00FA53AB">
        <w:trPr>
          <w:trHeight w:val="315"/>
        </w:trPr>
        <w:tc>
          <w:tcPr>
            <w:tcW w:w="2963" w:type="dxa"/>
            <w:vMerge/>
            <w:vAlign w:val="center"/>
            <w:hideMark/>
          </w:tcPr>
          <w:p w:rsidR="00F52EE4" w:rsidRPr="0092381E" w:rsidRDefault="00F52EE4" w:rsidP="00FA53AB">
            <w:pPr>
              <w:pStyle w:val="ListeParagraf"/>
              <w:tabs>
                <w:tab w:val="left" w:pos="426"/>
              </w:tabs>
              <w:rPr>
                <w:sz w:val="20"/>
                <w:szCs w:val="20"/>
              </w:rPr>
            </w:pP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 xml:space="preserve">İDÇS Bangkok İklim Değişikliği Görüşmeleri </w:t>
            </w:r>
            <w:proofErr w:type="gramStart"/>
            <w:r w:rsidRPr="0092381E">
              <w:rPr>
                <w:sz w:val="20"/>
                <w:szCs w:val="20"/>
              </w:rPr>
              <w:t>(</w:t>
            </w:r>
            <w:proofErr w:type="gramEnd"/>
            <w:r w:rsidRPr="0092381E">
              <w:rPr>
                <w:sz w:val="20"/>
                <w:szCs w:val="20"/>
              </w:rPr>
              <w:t>Mart-Nisan 2008, Bangkok</w:t>
            </w:r>
          </w:p>
        </w:tc>
      </w:tr>
      <w:tr w:rsidR="00F52EE4" w:rsidRPr="00F52EE4" w:rsidTr="00FA53AB">
        <w:trPr>
          <w:trHeight w:val="315"/>
        </w:trPr>
        <w:tc>
          <w:tcPr>
            <w:tcW w:w="2963" w:type="dxa"/>
            <w:vMerge/>
            <w:vAlign w:val="center"/>
            <w:hideMark/>
          </w:tcPr>
          <w:p w:rsidR="00F52EE4" w:rsidRPr="0092381E" w:rsidRDefault="00F52EE4" w:rsidP="00FA53AB">
            <w:pPr>
              <w:pStyle w:val="ListeParagraf"/>
              <w:tabs>
                <w:tab w:val="left" w:pos="426"/>
              </w:tabs>
              <w:rPr>
                <w:sz w:val="20"/>
                <w:szCs w:val="20"/>
              </w:rPr>
            </w:pP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İDÇS Kopenhag Uzlaşması (Aralık 2009, Kopenhag)</w:t>
            </w:r>
          </w:p>
        </w:tc>
      </w:tr>
      <w:tr w:rsidR="00F52EE4" w:rsidRPr="00F52EE4" w:rsidTr="00FA53AB">
        <w:trPr>
          <w:trHeight w:val="315"/>
        </w:trPr>
        <w:tc>
          <w:tcPr>
            <w:tcW w:w="2963" w:type="dxa"/>
            <w:vMerge/>
            <w:vAlign w:val="center"/>
            <w:hideMark/>
          </w:tcPr>
          <w:p w:rsidR="00F52EE4" w:rsidRPr="0092381E" w:rsidRDefault="00F52EE4" w:rsidP="00FA53AB">
            <w:pPr>
              <w:pStyle w:val="ListeParagraf"/>
              <w:tabs>
                <w:tab w:val="left" w:pos="426"/>
              </w:tabs>
              <w:rPr>
                <w:sz w:val="20"/>
                <w:szCs w:val="20"/>
              </w:rPr>
            </w:pP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İDÇS Cancun Uzlaşmaları (Aralık 2010, Cancun)</w:t>
            </w:r>
          </w:p>
        </w:tc>
      </w:tr>
      <w:tr w:rsidR="00F52EE4" w:rsidRPr="00F52EE4" w:rsidTr="00FA53AB">
        <w:trPr>
          <w:trHeight w:val="315"/>
        </w:trPr>
        <w:tc>
          <w:tcPr>
            <w:tcW w:w="2963" w:type="dxa"/>
            <w:vMerge/>
            <w:vAlign w:val="center"/>
            <w:hideMark/>
          </w:tcPr>
          <w:p w:rsidR="00F52EE4" w:rsidRPr="0092381E" w:rsidRDefault="00F52EE4" w:rsidP="00FA53AB">
            <w:pPr>
              <w:pStyle w:val="ListeParagraf"/>
              <w:tabs>
                <w:tab w:val="left" w:pos="426"/>
              </w:tabs>
              <w:rPr>
                <w:sz w:val="20"/>
                <w:szCs w:val="20"/>
              </w:rPr>
            </w:pP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İDÇS Durban Uzlaşmaları (Aralık 2011, Durban)</w:t>
            </w:r>
          </w:p>
        </w:tc>
      </w:tr>
      <w:tr w:rsidR="00F52EE4" w:rsidRPr="00F52EE4" w:rsidTr="00FA53AB">
        <w:trPr>
          <w:trHeight w:val="315"/>
        </w:trPr>
        <w:tc>
          <w:tcPr>
            <w:tcW w:w="2963" w:type="dxa"/>
            <w:vMerge/>
            <w:vAlign w:val="center"/>
            <w:hideMark/>
          </w:tcPr>
          <w:p w:rsidR="00F52EE4" w:rsidRPr="0092381E" w:rsidRDefault="00F52EE4" w:rsidP="00FA53AB">
            <w:pPr>
              <w:pStyle w:val="ListeParagraf"/>
              <w:tabs>
                <w:tab w:val="left" w:pos="426"/>
              </w:tabs>
              <w:rPr>
                <w:sz w:val="20"/>
                <w:szCs w:val="20"/>
              </w:rPr>
            </w:pP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İDÇS Doha İklim Zirvesi (Kasım-Aralık 2012, Doha)</w:t>
            </w:r>
          </w:p>
        </w:tc>
      </w:tr>
      <w:tr w:rsidR="00F52EE4" w:rsidRPr="00F52EE4" w:rsidTr="00FA53AB">
        <w:trPr>
          <w:trHeight w:val="330"/>
        </w:trPr>
        <w:tc>
          <w:tcPr>
            <w:tcW w:w="2963" w:type="dxa"/>
            <w:vMerge/>
            <w:vAlign w:val="center"/>
            <w:hideMark/>
          </w:tcPr>
          <w:p w:rsidR="00F52EE4" w:rsidRPr="0092381E" w:rsidRDefault="00F52EE4" w:rsidP="00FA53AB">
            <w:pPr>
              <w:pStyle w:val="ListeParagraf"/>
              <w:tabs>
                <w:tab w:val="left" w:pos="426"/>
              </w:tabs>
              <w:rPr>
                <w:sz w:val="20"/>
                <w:szCs w:val="20"/>
              </w:rPr>
            </w:pPr>
          </w:p>
        </w:tc>
        <w:tc>
          <w:tcPr>
            <w:tcW w:w="7243" w:type="dxa"/>
            <w:noWrap/>
            <w:vAlign w:val="center"/>
            <w:hideMark/>
          </w:tcPr>
          <w:p w:rsidR="00F52EE4" w:rsidRPr="0092381E" w:rsidRDefault="00F52EE4" w:rsidP="00FA53AB">
            <w:pPr>
              <w:pStyle w:val="ListeParagraf"/>
              <w:tabs>
                <w:tab w:val="left" w:pos="0"/>
              </w:tabs>
              <w:ind w:left="0"/>
              <w:rPr>
                <w:sz w:val="20"/>
                <w:szCs w:val="20"/>
              </w:rPr>
            </w:pPr>
            <w:r w:rsidRPr="0092381E">
              <w:rPr>
                <w:sz w:val="20"/>
                <w:szCs w:val="20"/>
              </w:rPr>
              <w:t>İDÇS Polonya İklim Zirvesi (Kasım-Aralık 2013, Polonya)</w:t>
            </w:r>
          </w:p>
        </w:tc>
      </w:tr>
    </w:tbl>
    <w:p w:rsidR="001A5652" w:rsidRPr="00FA7348" w:rsidRDefault="001A5652" w:rsidP="00774F6E">
      <w:pPr>
        <w:autoSpaceDE w:val="0"/>
        <w:autoSpaceDN w:val="0"/>
        <w:adjustRightInd w:val="0"/>
        <w:rPr>
          <w:sz w:val="20"/>
          <w:szCs w:val="20"/>
        </w:rPr>
      </w:pPr>
      <w:r w:rsidRPr="007719FD">
        <w:rPr>
          <w:b/>
          <w:sz w:val="20"/>
          <w:szCs w:val="20"/>
        </w:rPr>
        <w:t>Kaynak:</w:t>
      </w:r>
      <w:r w:rsidRPr="007719FD">
        <w:rPr>
          <w:sz w:val="20"/>
          <w:szCs w:val="20"/>
        </w:rPr>
        <w:t xml:space="preserve"> Türkeş</w:t>
      </w:r>
      <w:r w:rsidR="009A26AE">
        <w:rPr>
          <w:sz w:val="20"/>
          <w:szCs w:val="20"/>
        </w:rPr>
        <w:t xml:space="preserve"> ve Bilir, </w:t>
      </w:r>
      <w:r w:rsidR="009A26AE" w:rsidRPr="009A26AE">
        <w:rPr>
          <w:sz w:val="20"/>
          <w:szCs w:val="20"/>
        </w:rPr>
        <w:t>2012</w:t>
      </w:r>
      <w:r w:rsidR="009A26AE">
        <w:rPr>
          <w:sz w:val="20"/>
          <w:szCs w:val="20"/>
        </w:rPr>
        <w:t>.</w:t>
      </w:r>
    </w:p>
    <w:p w:rsidR="008A476B" w:rsidRDefault="004413AF" w:rsidP="00774F6E">
      <w:pPr>
        <w:pStyle w:val="ListeParagraf"/>
        <w:tabs>
          <w:tab w:val="left" w:pos="426"/>
        </w:tabs>
        <w:spacing w:before="240" w:after="240" w:line="360" w:lineRule="auto"/>
        <w:ind w:left="0"/>
        <w:jc w:val="both"/>
        <w:rPr>
          <w:bCs/>
        </w:rPr>
      </w:pPr>
      <w:r>
        <w:rPr>
          <w:bCs/>
        </w:rPr>
        <w:tab/>
      </w:r>
      <w:r>
        <w:rPr>
          <w:bCs/>
        </w:rPr>
        <w:tab/>
      </w:r>
      <w:r w:rsidRPr="004413AF">
        <w:rPr>
          <w:bCs/>
        </w:rPr>
        <w:t>Sera</w:t>
      </w:r>
      <w:r w:rsidR="008232CF">
        <w:rPr>
          <w:bCs/>
        </w:rPr>
        <w:t xml:space="preserve"> </w:t>
      </w:r>
      <w:r w:rsidRPr="004413AF">
        <w:rPr>
          <w:bCs/>
        </w:rPr>
        <w:t>gazları konsantrasyonlarındaki artışlar</w:t>
      </w:r>
      <w:r w:rsidR="00816CA2">
        <w:rPr>
          <w:bCs/>
        </w:rPr>
        <w:t>ın</w:t>
      </w:r>
      <w:r w:rsidRPr="004413AF">
        <w:rPr>
          <w:bCs/>
        </w:rPr>
        <w:t xml:space="preserve"> ciddi tehditler oluşturmaya başlamasının anlaşılması ve bu sorunun küresel çabalarla çözümlenebileceğinin anlaşılmasıyla birlikte, global ölçekli işbirlikleri oluşturmaya ve organizasyonlar düz</w:t>
      </w:r>
      <w:r w:rsidR="009A3714">
        <w:rPr>
          <w:bCs/>
        </w:rPr>
        <w:t>enle</w:t>
      </w:r>
      <w:r w:rsidR="00816CA2">
        <w:rPr>
          <w:bCs/>
        </w:rPr>
        <w:t>n</w:t>
      </w:r>
      <w:r w:rsidR="009A3714">
        <w:rPr>
          <w:bCs/>
        </w:rPr>
        <w:t>meye başlanmıştır (</w:t>
      </w:r>
      <w:r w:rsidR="006D7ADE">
        <w:rPr>
          <w:bCs/>
        </w:rPr>
        <w:t>Çizelge</w:t>
      </w:r>
      <w:r w:rsidR="009A3714">
        <w:rPr>
          <w:bCs/>
        </w:rPr>
        <w:t xml:space="preserve"> </w:t>
      </w:r>
      <w:proofErr w:type="gramStart"/>
      <w:r w:rsidR="009A3714">
        <w:rPr>
          <w:bCs/>
        </w:rPr>
        <w:t>1.5</w:t>
      </w:r>
      <w:proofErr w:type="gramEnd"/>
      <w:r w:rsidRPr="004413AF">
        <w:rPr>
          <w:bCs/>
        </w:rPr>
        <w:t>).</w:t>
      </w:r>
    </w:p>
    <w:p w:rsidR="0044255F" w:rsidRDefault="00E47B83" w:rsidP="009960F7">
      <w:pPr>
        <w:pStyle w:val="Balk3"/>
        <w:numPr>
          <w:ilvl w:val="2"/>
          <w:numId w:val="33"/>
        </w:numPr>
      </w:pPr>
      <w:bookmarkStart w:id="103" w:name="_Toc384823985"/>
      <w:r>
        <w:lastRenderedPageBreak/>
        <w:t xml:space="preserve"> </w:t>
      </w:r>
      <w:r w:rsidR="00091279">
        <w:t>Birleşmiş Milletler İklim Değişikliği Çerçeve Sözleşmesi</w:t>
      </w:r>
      <w:bookmarkEnd w:id="103"/>
    </w:p>
    <w:p w:rsidR="0044255F" w:rsidRDefault="0044255F" w:rsidP="00774F6E">
      <w:pPr>
        <w:pStyle w:val="ListeParagraf"/>
        <w:spacing w:before="240" w:after="240" w:line="360" w:lineRule="auto"/>
        <w:ind w:left="0" w:firstLine="708"/>
        <w:jc w:val="both"/>
      </w:pPr>
      <w:r w:rsidRPr="001C2A51">
        <w:t>İnsan kay</w:t>
      </w:r>
      <w:r>
        <w:t>naklı faaliyetler sonucu ortaya çıkan</w:t>
      </w:r>
      <w:r w:rsidRPr="001C2A51">
        <w:t xml:space="preserve"> küresel ısınmanın iklim üzerindeki etkilerine karşı uluslararası alanda atılan ilk</w:t>
      </w:r>
      <w:r w:rsidR="00AA7339">
        <w:t xml:space="preserve"> ve en önemli adımdır. Sözleşme, 1992 yılının Haziran ayında </w:t>
      </w:r>
      <w:r w:rsidRPr="001C2A51">
        <w:t xml:space="preserve">Rio de Janeiro’da düzenlenen Birleşmiş Milletler (BM) Çevre ve Kalkınma Konferansı’nda imzaya açılan BM İklim Değişikliği Çerçeve Sözleşmesi’dir (BMİDÇS - United Nations Framework Convention on Climate Change). </w:t>
      </w:r>
      <w:r w:rsidR="00AA7339">
        <w:t xml:space="preserve">155 ülke tarafından imzalamıştır. </w:t>
      </w:r>
      <w:r>
        <w:t xml:space="preserve">Sözleşme </w:t>
      </w:r>
      <w:r w:rsidRPr="001C2A51">
        <w:t>21 Mart 1994</w:t>
      </w:r>
      <w:r>
        <w:t xml:space="preserve"> tarihinde yürürlüğe girmiştir.</w:t>
      </w:r>
      <w:r w:rsidR="00AA7339">
        <w:t xml:space="preserve"> En son Doha’da yapılan Zirveye </w:t>
      </w:r>
      <w:r>
        <w:t xml:space="preserve">200’e yakın taraftarı bulunan sözleşme neredeyse evrensel bir katılıma ulaşmıştır. </w:t>
      </w:r>
    </w:p>
    <w:p w:rsidR="0044255F" w:rsidRDefault="0044255F" w:rsidP="00774F6E">
      <w:pPr>
        <w:pStyle w:val="ListeParagraf"/>
        <w:spacing w:before="240" w:after="240" w:line="360" w:lineRule="auto"/>
        <w:ind w:left="0" w:firstLine="708"/>
        <w:jc w:val="both"/>
      </w:pPr>
      <w:r>
        <w:t>Sözleşmenin en önemli amacı</w:t>
      </w:r>
      <w:r w:rsidR="004B1504">
        <w:t>;</w:t>
      </w:r>
      <w:r>
        <w:t xml:space="preserve"> atmosferdeki </w:t>
      </w:r>
      <w:r w:rsidR="003463A8">
        <w:t>sera gazı</w:t>
      </w:r>
      <w:r>
        <w:t xml:space="preserve"> </w:t>
      </w:r>
      <w:r w:rsidR="003463A8">
        <w:t>emisyon</w:t>
      </w:r>
      <w:r>
        <w:t>larını insan kaynaklı etkilerden arındırarak canlıların dünyada rahat ve huzur içinde yaşamalarına imkan tanımaktır. BMİDÇS bir çerçeve sözleşme olarak genel kuralları, esasları ve yükümlülükleri tanımlamaktadır. Sözleşme başta fosil yakıtlardan kaynaklanan karbondioksit ve diğer</w:t>
      </w:r>
      <w:r w:rsidR="003463A8">
        <w:t xml:space="preserve"> sera gazı</w:t>
      </w:r>
      <w:r>
        <w:t xml:space="preserve"> </w:t>
      </w:r>
      <w:r w:rsidR="003463A8">
        <w:t>emisyon</w:t>
      </w:r>
      <w:r>
        <w:t xml:space="preserve">larının küresel ısınmaya neden olduğunu kabul etmektedir. </w:t>
      </w:r>
    </w:p>
    <w:p w:rsidR="0044255F" w:rsidRPr="00B65EC8" w:rsidRDefault="0044255F" w:rsidP="00490FCE">
      <w:pPr>
        <w:pStyle w:val="ListeParagraf"/>
        <w:spacing w:before="240" w:after="240" w:line="360" w:lineRule="auto"/>
        <w:ind w:left="0" w:firstLine="709"/>
        <w:jc w:val="both"/>
      </w:pPr>
      <w:r>
        <w:t xml:space="preserve">Sözleşmenin nihai amacı (Madde 2) “Sözleşme’nin ilgili hükümlerine göre, atmosferdeki </w:t>
      </w:r>
      <w:r w:rsidR="003463A8">
        <w:t>sera gazı</w:t>
      </w:r>
      <w:r w:rsidRPr="00B65EC8">
        <w:t xml:space="preserve"> birikimlerini, iklim sistemi üzerindeki tehlikeli insan kaynaklı etkiyi önleyecek bir düzeyde tutmayı başarmak”</w:t>
      </w:r>
      <w:r>
        <w:t xml:space="preserve"> olarak tanımlanmıştır. Sözleşmenin 3. maddesinde sayılan eşitlik ilkeleri şunlardır: (i) Eşitlik ilkesi (ii) Ortak fakat farklılaştırılmış sorumluluklar ilkesi (iii) İhtiyatlık ilkesi (iv) Sürdürülebilir kalkınmayı destekleme hakkı ve yükümlülüğü.</w:t>
      </w:r>
    </w:p>
    <w:p w:rsidR="0044255F" w:rsidRDefault="0044255F" w:rsidP="00490FCE">
      <w:pPr>
        <w:spacing w:before="240" w:after="240" w:line="360" w:lineRule="auto"/>
        <w:ind w:firstLine="709"/>
        <w:jc w:val="both"/>
      </w:pPr>
      <w:r w:rsidRPr="00B932F1">
        <w:t>Sözleşme y</w:t>
      </w:r>
      <w:r>
        <w:t>ukarıda sayılanlara ek olarak, g</w:t>
      </w:r>
      <w:r w:rsidRPr="00B932F1">
        <w:t xml:space="preserve">iriş bölümünde ve diğer maddelerinde “insanlığın ortak kaygısı”, “serbest ticaret” ve “maliyet etkinlik” gibi ilkelere yer vermiştir. </w:t>
      </w:r>
    </w:p>
    <w:p w:rsidR="00892666" w:rsidRDefault="00264AAA" w:rsidP="00490FCE">
      <w:pPr>
        <w:autoSpaceDE w:val="0"/>
        <w:autoSpaceDN w:val="0"/>
        <w:adjustRightInd w:val="0"/>
        <w:spacing w:before="240" w:after="240" w:line="360" w:lineRule="auto"/>
        <w:ind w:firstLine="709"/>
        <w:jc w:val="both"/>
      </w:pPr>
      <w:r>
        <w:t>BM</w:t>
      </w:r>
      <w:r w:rsidR="002A1F9A" w:rsidRPr="002A1F9A">
        <w:rPr>
          <w:rFonts w:hint="eastAsia"/>
        </w:rPr>
        <w:t>İ</w:t>
      </w:r>
      <w:r w:rsidR="002A1F9A" w:rsidRPr="002A1F9A">
        <w:t>D</w:t>
      </w:r>
      <w:r w:rsidR="002A1F9A" w:rsidRPr="002A1F9A">
        <w:rPr>
          <w:rFonts w:hint="eastAsia"/>
        </w:rPr>
        <w:t>Ç</w:t>
      </w:r>
      <w:r w:rsidR="002A1F9A" w:rsidRPr="002A1F9A">
        <w:t xml:space="preserve">S ve </w:t>
      </w:r>
      <w:r w:rsidR="004B1504">
        <w:t>KP ile</w:t>
      </w:r>
      <w:r w:rsidR="002A1F9A" w:rsidRPr="002A1F9A">
        <w:t xml:space="preserve"> denetlenen sera</w:t>
      </w:r>
      <w:r w:rsidR="002A1F9A">
        <w:t xml:space="preserve"> </w:t>
      </w:r>
      <w:r w:rsidR="002A1F9A" w:rsidRPr="002A1F9A">
        <w:t>gazlar</w:t>
      </w:r>
      <w:r w:rsidR="002A1F9A" w:rsidRPr="002A1F9A">
        <w:rPr>
          <w:rFonts w:hint="eastAsia"/>
        </w:rPr>
        <w:t>ı</w:t>
      </w:r>
      <w:r w:rsidR="004B1504">
        <w:t xml:space="preserve"> </w:t>
      </w:r>
      <w:r w:rsidR="002A1F9A">
        <w:t>CO</w:t>
      </w:r>
      <w:r w:rsidR="002A1F9A" w:rsidRPr="0088099C">
        <w:rPr>
          <w:vertAlign w:val="subscript"/>
        </w:rPr>
        <w:t>2</w:t>
      </w:r>
      <w:r w:rsidR="002A1F9A">
        <w:t>, CH</w:t>
      </w:r>
      <w:r w:rsidR="002A1F9A" w:rsidRPr="00490FCE">
        <w:rPr>
          <w:vertAlign w:val="subscript"/>
        </w:rPr>
        <w:t>4</w:t>
      </w:r>
      <w:r w:rsidR="002A1F9A">
        <w:t>, N</w:t>
      </w:r>
      <w:r w:rsidR="002A1F9A" w:rsidRPr="00490FCE">
        <w:rPr>
          <w:vertAlign w:val="subscript"/>
        </w:rPr>
        <w:t>2</w:t>
      </w:r>
      <w:r w:rsidR="002A1F9A">
        <w:t xml:space="preserve">O, </w:t>
      </w:r>
      <w:r w:rsidR="002A1F9A" w:rsidRPr="002A1F9A">
        <w:t>hidrofluorokarbonlar (HFC</w:t>
      </w:r>
      <w:r w:rsidR="002A1F9A" w:rsidRPr="002A1F9A">
        <w:rPr>
          <w:rFonts w:hint="eastAsia"/>
        </w:rPr>
        <w:t>’</w:t>
      </w:r>
      <w:r w:rsidR="002A1F9A" w:rsidRPr="002A1F9A">
        <w:t>ler), perfluorokarbonlar</w:t>
      </w:r>
      <w:r w:rsidR="002A1F9A">
        <w:t xml:space="preserve"> </w:t>
      </w:r>
      <w:r w:rsidR="002A1F9A" w:rsidRPr="002A1F9A">
        <w:t>(PFC</w:t>
      </w:r>
      <w:r w:rsidR="002A1F9A" w:rsidRPr="002A1F9A">
        <w:rPr>
          <w:rFonts w:hint="eastAsia"/>
        </w:rPr>
        <w:t>’</w:t>
      </w:r>
      <w:r w:rsidR="002A1F9A" w:rsidRPr="002A1F9A">
        <w:t>ler) ve s</w:t>
      </w:r>
      <w:r w:rsidR="002A1F9A" w:rsidRPr="002A1F9A">
        <w:rPr>
          <w:rFonts w:hint="eastAsia"/>
        </w:rPr>
        <w:t>ü</w:t>
      </w:r>
      <w:r w:rsidR="002A1F9A" w:rsidRPr="002A1F9A">
        <w:t>lf</w:t>
      </w:r>
      <w:r w:rsidR="002A1F9A" w:rsidRPr="002A1F9A">
        <w:rPr>
          <w:rFonts w:hint="eastAsia"/>
        </w:rPr>
        <w:t>ü</w:t>
      </w:r>
      <w:r w:rsidR="002A1F9A" w:rsidRPr="002A1F9A">
        <w:t xml:space="preserve">r heksafluorid </w:t>
      </w:r>
      <w:r w:rsidR="002A1F9A">
        <w:t>(SF</w:t>
      </w:r>
      <w:r w:rsidR="002A1F9A" w:rsidRPr="00490FCE">
        <w:rPr>
          <w:vertAlign w:val="subscript"/>
        </w:rPr>
        <w:t>6</w:t>
      </w:r>
      <w:r w:rsidR="002A1F9A">
        <w:t xml:space="preserve">) sera </w:t>
      </w:r>
      <w:r w:rsidR="00892666">
        <w:t xml:space="preserve">gazlarıdır. </w:t>
      </w:r>
      <w:r w:rsidR="00FD2451">
        <w:t>BM</w:t>
      </w:r>
      <w:r w:rsidR="00FD2451" w:rsidRPr="00FD2451">
        <w:rPr>
          <w:rFonts w:hint="eastAsia"/>
        </w:rPr>
        <w:t>İ</w:t>
      </w:r>
      <w:r w:rsidR="00FD2451" w:rsidRPr="00FD2451">
        <w:t>D</w:t>
      </w:r>
      <w:r w:rsidR="00FD2451" w:rsidRPr="00FD2451">
        <w:rPr>
          <w:rFonts w:hint="eastAsia"/>
        </w:rPr>
        <w:t>Ç</w:t>
      </w:r>
      <w:r w:rsidR="00FD2451" w:rsidRPr="00FD2451">
        <w:t>S, k</w:t>
      </w:r>
      <w:r w:rsidR="00FD2451" w:rsidRPr="00FD2451">
        <w:rPr>
          <w:rFonts w:hint="eastAsia"/>
        </w:rPr>
        <w:t>ü</w:t>
      </w:r>
      <w:r w:rsidR="00FD2451" w:rsidRPr="00FD2451">
        <w:t xml:space="preserve">resel iklimi korumaya ve </w:t>
      </w:r>
      <w:r w:rsidR="003463A8">
        <w:t>sera gazı</w:t>
      </w:r>
      <w:r w:rsidR="00FD2451" w:rsidRPr="00FD2451">
        <w:t xml:space="preserve"> </w:t>
      </w:r>
      <w:r w:rsidR="003463A8">
        <w:t>emisyon</w:t>
      </w:r>
      <w:r w:rsidR="00FD2451" w:rsidRPr="00FD2451">
        <w:t>lar</w:t>
      </w:r>
      <w:r w:rsidR="00FD2451" w:rsidRPr="00FD2451">
        <w:rPr>
          <w:rFonts w:hint="eastAsia"/>
        </w:rPr>
        <w:t>ı</w:t>
      </w:r>
      <w:r w:rsidR="00FD2451" w:rsidRPr="00FD2451">
        <w:t>n</w:t>
      </w:r>
      <w:r w:rsidR="00FD2451" w:rsidRPr="00FD2451">
        <w:rPr>
          <w:rFonts w:hint="eastAsia"/>
        </w:rPr>
        <w:t>ı</w:t>
      </w:r>
      <w:r w:rsidR="00FD2451">
        <w:t xml:space="preserve"> </w:t>
      </w:r>
      <w:r w:rsidR="00FD2451" w:rsidRPr="00FD2451">
        <w:t>azaltmaya y</w:t>
      </w:r>
      <w:r w:rsidR="00FD2451" w:rsidRPr="00FD2451">
        <w:rPr>
          <w:rFonts w:hint="eastAsia"/>
        </w:rPr>
        <w:t>ö</w:t>
      </w:r>
      <w:r w:rsidR="00892666">
        <w:t xml:space="preserve">nelik genel ilkeleri vardır. Bu ilkelerle </w:t>
      </w:r>
      <w:r w:rsidR="004B1504">
        <w:t xml:space="preserve">AB gibi </w:t>
      </w:r>
      <w:r w:rsidR="00892666">
        <w:t>gelişmiş ülkeler</w:t>
      </w:r>
      <w:r w:rsidR="004B1504">
        <w:t>,</w:t>
      </w:r>
      <w:r w:rsidR="00892666">
        <w:t xml:space="preserve"> </w:t>
      </w:r>
      <w:r w:rsidR="003463A8">
        <w:t>sera gazı</w:t>
      </w:r>
      <w:r w:rsidR="00892666">
        <w:t xml:space="preserve"> </w:t>
      </w:r>
      <w:r w:rsidR="003463A8">
        <w:t>emisyon</w:t>
      </w:r>
      <w:r w:rsidR="00892666">
        <w:t>larını 1990 yı</w:t>
      </w:r>
      <w:r w:rsidR="004B1504">
        <w:t>lı düzeyinin altında tutmayı hedeflemektedirler.</w:t>
      </w:r>
    </w:p>
    <w:p w:rsidR="004413AF" w:rsidRDefault="004413AF" w:rsidP="00774F6E">
      <w:pPr>
        <w:autoSpaceDE w:val="0"/>
        <w:autoSpaceDN w:val="0"/>
        <w:adjustRightInd w:val="0"/>
        <w:spacing w:before="240" w:after="240" w:line="360" w:lineRule="auto"/>
        <w:ind w:firstLine="708"/>
        <w:jc w:val="both"/>
      </w:pPr>
    </w:p>
    <w:p w:rsidR="00FD2451" w:rsidRPr="008E1F2A" w:rsidRDefault="00FD2451" w:rsidP="00774F6E">
      <w:pPr>
        <w:autoSpaceDE w:val="0"/>
        <w:autoSpaceDN w:val="0"/>
        <w:adjustRightInd w:val="0"/>
      </w:pPr>
    </w:p>
    <w:p w:rsidR="0044255F" w:rsidRDefault="00E47B83" w:rsidP="009960F7">
      <w:pPr>
        <w:pStyle w:val="Balk3"/>
        <w:numPr>
          <w:ilvl w:val="2"/>
          <w:numId w:val="33"/>
        </w:numPr>
      </w:pPr>
      <w:bookmarkStart w:id="104" w:name="_Toc384823986"/>
      <w:r>
        <w:t xml:space="preserve"> </w:t>
      </w:r>
      <w:r w:rsidR="0044255F">
        <w:t>Kyoto Protokolü</w:t>
      </w:r>
      <w:bookmarkEnd w:id="104"/>
    </w:p>
    <w:p w:rsidR="00860969" w:rsidRDefault="00860969" w:rsidP="00774F6E">
      <w:pPr>
        <w:spacing w:before="240" w:after="240" w:line="360" w:lineRule="auto"/>
        <w:ind w:right="272" w:firstLine="709"/>
        <w:jc w:val="both"/>
      </w:pPr>
      <w:r>
        <w:t xml:space="preserve">Kyoto </w:t>
      </w:r>
      <w:r w:rsidR="008108A5">
        <w:t xml:space="preserve">Protokolü (KP) </w:t>
      </w:r>
      <w:r>
        <w:t>Aralık 1997’de Japonya’nın Kyoto şehrinde gerçekleştirilen BMİDÇS 3. Taraflar Konferansı’nda</w:t>
      </w:r>
      <w:r w:rsidR="008B2FE4">
        <w:t xml:space="preserve"> COP 3</w:t>
      </w:r>
      <w:proofErr w:type="gramStart"/>
      <w:r w:rsidR="008B2FE4">
        <w:t>)</w:t>
      </w:r>
      <w:proofErr w:type="gramEnd"/>
      <w:r>
        <w:t xml:space="preserve"> kabul edilmiştir. Protokolün ülkelerin onayına ve uygulamasına hazır hale getirilmesi için uygulanacak kurallar 2001 yılında Marakeş’te gerçekleştirilen 7. Taraftarlar Konferansı’nda kabul edilmiştir. Marakeş’te alınan bu kurallar 2005 yılında Protokol’ün 1. Taraftarlar Toplantısı’nda onaylanmıştır. </w:t>
      </w:r>
      <w:r w:rsidR="008B2FE4">
        <w:t>Kyoto Protokolü, sera gazlarının 1990 düzeyinin altına inmeyi amaçlayan bir hedef orta</w:t>
      </w:r>
      <w:r w:rsidR="008232CF">
        <w:t>y</w:t>
      </w:r>
      <w:r w:rsidR="008B2FE4">
        <w:t xml:space="preserve">a koymaktadır. </w:t>
      </w:r>
    </w:p>
    <w:p w:rsidR="008B2FE4" w:rsidRDefault="008108A5" w:rsidP="00774F6E">
      <w:pPr>
        <w:spacing w:before="240" w:after="240" w:line="360" w:lineRule="auto"/>
        <w:ind w:right="272"/>
        <w:jc w:val="both"/>
      </w:pPr>
      <w:r>
        <w:tab/>
      </w:r>
      <w:r w:rsidR="008B2FE4">
        <w:t xml:space="preserve">Kyoto Protokolü, </w:t>
      </w:r>
      <w:r w:rsidR="006B1E0C">
        <w:t>sözleşmeye taraf olan gelişmiş ülkeler olarak adlandırılan Ek-I listesindeki ülkelere 1990 yılına oranla sayısal emisyon indirme hedefi koymaktadır. Ek-B listesinde ise gelişmemiş ve protokole taraf olmayan ülk</w:t>
      </w:r>
      <w:r w:rsidR="008232CF">
        <w:t>e</w:t>
      </w:r>
      <w:r w:rsidR="006B1E0C">
        <w:t>ler yer almaktadır. Ancak Protokole taraf olmayan, ancak Ek-I listesinde yer alan Türkiye ve Beyaz Rusya’nın herhangi bir emisyon azaltım yükü bulunmamaktadır.</w:t>
      </w:r>
    </w:p>
    <w:p w:rsidR="008108A5" w:rsidRDefault="008108A5" w:rsidP="00774F6E">
      <w:pPr>
        <w:spacing w:before="240" w:after="240" w:line="360" w:lineRule="auto"/>
        <w:ind w:right="272" w:firstLine="708"/>
        <w:jc w:val="both"/>
      </w:pPr>
      <w:r>
        <w:t xml:space="preserve">Sera gazlarını azaltmaya yönelik yasal yükümlülükleri olan KP ikinci bölümde ayrıntılı bir şekilde anlatılacaktır. </w:t>
      </w:r>
      <w:r w:rsidRPr="008108A5">
        <w:t xml:space="preserve"> KP’ye göre, Ek I Tarafları (OECD, AB ve eski sosyalist doğu Avrupa ülkeleri), KP’de listelenen sera gazlarını 2008- 2012 döneminde 1990 düzeylerinin en az % 5 altına indirmekle yükümlüdür.</w:t>
      </w:r>
    </w:p>
    <w:p w:rsidR="00EB1F91" w:rsidRPr="000077C0" w:rsidRDefault="00E47B83" w:rsidP="009960F7">
      <w:pPr>
        <w:pStyle w:val="Balk3"/>
        <w:numPr>
          <w:ilvl w:val="2"/>
          <w:numId w:val="33"/>
        </w:numPr>
      </w:pPr>
      <w:bookmarkStart w:id="105" w:name="_Toc384823987"/>
      <w:r>
        <w:t xml:space="preserve"> </w:t>
      </w:r>
      <w:r w:rsidR="00091279">
        <w:t>Bali Eylem Planı</w:t>
      </w:r>
      <w:bookmarkEnd w:id="105"/>
    </w:p>
    <w:p w:rsidR="00EB1F91" w:rsidRDefault="00EB1F91" w:rsidP="00774F6E">
      <w:pPr>
        <w:pStyle w:val="ListeParagraf"/>
        <w:spacing w:before="240" w:after="240" w:line="360" w:lineRule="auto"/>
        <w:ind w:left="0" w:firstLine="709"/>
        <w:jc w:val="both"/>
        <w:rPr>
          <w:bCs/>
        </w:rPr>
      </w:pPr>
      <w:r>
        <w:rPr>
          <w:bCs/>
        </w:rPr>
        <w:t>3-14 Aralık 2007 tarihinde Endonezya’nın Bali Adası’nda İklim Değişikliği Çerçeve Sözleşmesi’nin 13. Taraflar Konferansı (COP 13) ve Kyoto Protokol’ü 3. Taraflar Toplantısı (CMP 3) düzenlenmiştir. Konferansa 192 ülke katılmıştır. Hükümet temsilcileri, BM organları, 413 gözlemci, Sivil Toplum Kuruluşları, 531 akredite basın kuruluşu olmak üzere 10 binden fazla kişi katılmıştır.</w:t>
      </w:r>
    </w:p>
    <w:p w:rsidR="00861B40" w:rsidRDefault="007179B3" w:rsidP="00774F6E">
      <w:pPr>
        <w:autoSpaceDE w:val="0"/>
        <w:autoSpaceDN w:val="0"/>
        <w:adjustRightInd w:val="0"/>
        <w:spacing w:before="240" w:after="240" w:line="360" w:lineRule="auto"/>
        <w:ind w:firstLine="708"/>
        <w:jc w:val="both"/>
        <w:rPr>
          <w:bCs/>
        </w:rPr>
      </w:pPr>
      <w:r w:rsidRPr="007179B3">
        <w:rPr>
          <w:bCs/>
        </w:rPr>
        <w:t>Bali Toplant</w:t>
      </w:r>
      <w:r w:rsidRPr="007179B3">
        <w:rPr>
          <w:rFonts w:hint="eastAsia"/>
          <w:bCs/>
        </w:rPr>
        <w:t>ı</w:t>
      </w:r>
      <w:r w:rsidRPr="007179B3">
        <w:rPr>
          <w:bCs/>
        </w:rPr>
        <w:t>lar</w:t>
      </w:r>
      <w:r w:rsidRPr="007179B3">
        <w:rPr>
          <w:rFonts w:hint="eastAsia"/>
          <w:bCs/>
        </w:rPr>
        <w:t>ı</w:t>
      </w:r>
      <w:r w:rsidRPr="007179B3">
        <w:rPr>
          <w:bCs/>
        </w:rPr>
        <w:t>n</w:t>
      </w:r>
      <w:r w:rsidRPr="007179B3">
        <w:rPr>
          <w:rFonts w:hint="eastAsia"/>
          <w:bCs/>
        </w:rPr>
        <w:t>ı</w:t>
      </w:r>
      <w:r w:rsidRPr="007179B3">
        <w:rPr>
          <w:bCs/>
        </w:rPr>
        <w:t>n</w:t>
      </w:r>
      <w:r>
        <w:rPr>
          <w:bCs/>
        </w:rPr>
        <w:t xml:space="preserve"> </w:t>
      </w:r>
      <w:r w:rsidRPr="007179B3">
        <w:rPr>
          <w:bCs/>
        </w:rPr>
        <w:t xml:space="preserve">en </w:t>
      </w:r>
      <w:r w:rsidRPr="007179B3">
        <w:rPr>
          <w:rFonts w:hint="eastAsia"/>
          <w:bCs/>
        </w:rPr>
        <w:t>ö</w:t>
      </w:r>
      <w:r w:rsidRPr="007179B3">
        <w:rPr>
          <w:bCs/>
        </w:rPr>
        <w:t xml:space="preserve">nemli </w:t>
      </w:r>
      <w:r w:rsidRPr="007179B3">
        <w:rPr>
          <w:rFonts w:hint="eastAsia"/>
          <w:bCs/>
        </w:rPr>
        <w:t>çı</w:t>
      </w:r>
      <w:r w:rsidRPr="007179B3">
        <w:rPr>
          <w:bCs/>
        </w:rPr>
        <w:t>kt</w:t>
      </w:r>
      <w:r w:rsidRPr="007179B3">
        <w:rPr>
          <w:rFonts w:hint="eastAsia"/>
          <w:bCs/>
        </w:rPr>
        <w:t>ı</w:t>
      </w:r>
      <w:r w:rsidRPr="007179B3">
        <w:rPr>
          <w:bCs/>
        </w:rPr>
        <w:t>s</w:t>
      </w:r>
      <w:r w:rsidRPr="007179B3">
        <w:rPr>
          <w:rFonts w:hint="eastAsia"/>
          <w:bCs/>
        </w:rPr>
        <w:t>ı</w:t>
      </w:r>
      <w:r w:rsidRPr="007179B3">
        <w:rPr>
          <w:bCs/>
        </w:rPr>
        <w:t>, Kyoto sonras</w:t>
      </w:r>
      <w:r w:rsidRPr="007179B3">
        <w:rPr>
          <w:rFonts w:hint="eastAsia"/>
          <w:bCs/>
        </w:rPr>
        <w:t>ı</w:t>
      </w:r>
      <w:r w:rsidRPr="007179B3">
        <w:rPr>
          <w:bCs/>
        </w:rPr>
        <w:t>n</w:t>
      </w:r>
      <w:r w:rsidRPr="007179B3">
        <w:rPr>
          <w:rFonts w:hint="eastAsia"/>
          <w:bCs/>
        </w:rPr>
        <w:t>ı</w:t>
      </w:r>
      <w:r w:rsidRPr="007179B3">
        <w:rPr>
          <w:bCs/>
        </w:rPr>
        <w:t>n d</w:t>
      </w:r>
      <w:r w:rsidRPr="007179B3">
        <w:rPr>
          <w:rFonts w:hint="eastAsia"/>
          <w:bCs/>
        </w:rPr>
        <w:t>ü</w:t>
      </w:r>
      <w:r w:rsidRPr="007179B3">
        <w:rPr>
          <w:bCs/>
        </w:rPr>
        <w:t>zenlenmesine ili</w:t>
      </w:r>
      <w:r w:rsidRPr="007179B3">
        <w:rPr>
          <w:rFonts w:hint="eastAsia"/>
          <w:bCs/>
        </w:rPr>
        <w:t>ş</w:t>
      </w:r>
      <w:r w:rsidRPr="007179B3">
        <w:rPr>
          <w:bCs/>
        </w:rPr>
        <w:t>kin Bali Yol Haritas</w:t>
      </w:r>
      <w:r w:rsidRPr="007179B3">
        <w:rPr>
          <w:rFonts w:hint="eastAsia"/>
          <w:bCs/>
        </w:rPr>
        <w:t>ı’</w:t>
      </w:r>
      <w:r w:rsidRPr="007179B3">
        <w:rPr>
          <w:bCs/>
        </w:rPr>
        <w:t>d</w:t>
      </w:r>
      <w:r w:rsidRPr="007179B3">
        <w:rPr>
          <w:rFonts w:hint="eastAsia"/>
          <w:bCs/>
        </w:rPr>
        <w:t>ı</w:t>
      </w:r>
      <w:r w:rsidRPr="007179B3">
        <w:rPr>
          <w:bCs/>
        </w:rPr>
        <w:t>r.</w:t>
      </w:r>
      <w:r w:rsidR="00CC4F49">
        <w:rPr>
          <w:bCs/>
        </w:rPr>
        <w:t xml:space="preserve"> </w:t>
      </w:r>
      <w:r w:rsidR="00057D96">
        <w:rPr>
          <w:bCs/>
        </w:rPr>
        <w:t>2012 sonrasında yürürlüğe girec</w:t>
      </w:r>
      <w:r w:rsidR="008232CF">
        <w:rPr>
          <w:bCs/>
        </w:rPr>
        <w:t>ek uzun dönemli işbirliğini kap</w:t>
      </w:r>
      <w:r w:rsidR="00057D96">
        <w:rPr>
          <w:bCs/>
        </w:rPr>
        <w:t xml:space="preserve">sayacak bir uluslar arası mekanizma geliştirmek üzere müzakerelerin başlaması için plan yapılması gündeme gelmiştir. </w:t>
      </w:r>
      <w:r w:rsidR="00861B40">
        <w:rPr>
          <w:bCs/>
        </w:rPr>
        <w:t>Devlet Su İşleri Genel Müdürlüğü Etü</w:t>
      </w:r>
      <w:r w:rsidR="008232CF">
        <w:rPr>
          <w:bCs/>
        </w:rPr>
        <w:t>t</w:t>
      </w:r>
      <w:r w:rsidR="00861B40">
        <w:rPr>
          <w:bCs/>
        </w:rPr>
        <w:t xml:space="preserve"> ve Plan Dairesi Başkanlığı İklim Değişikliği Birimi raporuna göre </w:t>
      </w:r>
      <w:r w:rsidR="00057D96">
        <w:rPr>
          <w:bCs/>
        </w:rPr>
        <w:t>Bali’de şu kararlar alınmıştır;</w:t>
      </w:r>
    </w:p>
    <w:p w:rsidR="00057D96" w:rsidRDefault="00057D96" w:rsidP="007A77D5">
      <w:pPr>
        <w:pStyle w:val="ListeParagraf"/>
        <w:numPr>
          <w:ilvl w:val="0"/>
          <w:numId w:val="6"/>
        </w:numPr>
        <w:autoSpaceDE w:val="0"/>
        <w:autoSpaceDN w:val="0"/>
        <w:adjustRightInd w:val="0"/>
        <w:spacing w:line="360" w:lineRule="auto"/>
        <w:ind w:left="714" w:hanging="357"/>
        <w:jc w:val="both"/>
        <w:rPr>
          <w:bCs/>
        </w:rPr>
      </w:pPr>
      <w:r>
        <w:rPr>
          <w:bCs/>
        </w:rPr>
        <w:lastRenderedPageBreak/>
        <w:t>Tüm gelişmiş ülkelerin emisyon azaltım/sınırlama hedefi gibi ölçülebilir, raporlanabilir ve doğrulanabilir, ulusal olarak uygulanabilir mücadele taahhütleri üstlenmeleri,</w:t>
      </w:r>
    </w:p>
    <w:p w:rsidR="00057D96" w:rsidRDefault="00057D96" w:rsidP="007A77D5">
      <w:pPr>
        <w:pStyle w:val="ListeParagraf"/>
        <w:numPr>
          <w:ilvl w:val="0"/>
          <w:numId w:val="6"/>
        </w:numPr>
        <w:autoSpaceDE w:val="0"/>
        <w:autoSpaceDN w:val="0"/>
        <w:adjustRightInd w:val="0"/>
        <w:spacing w:line="360" w:lineRule="auto"/>
        <w:ind w:left="714" w:hanging="357"/>
        <w:jc w:val="both"/>
        <w:rPr>
          <w:bCs/>
        </w:rPr>
      </w:pPr>
      <w:r>
        <w:rPr>
          <w:bCs/>
        </w:rPr>
        <w:t>Gelişmekte olan ülkelerin teknoloji, finansman ve kapasite oluşturma önlemleri ile desteklenen sürdürülebilir kalkınma bağlamında azaltım tedbirleri almaları,</w:t>
      </w:r>
    </w:p>
    <w:p w:rsidR="00057D96" w:rsidRDefault="00057D96" w:rsidP="007A77D5">
      <w:pPr>
        <w:pStyle w:val="ListeParagraf"/>
        <w:numPr>
          <w:ilvl w:val="0"/>
          <w:numId w:val="6"/>
        </w:numPr>
        <w:autoSpaceDE w:val="0"/>
        <w:autoSpaceDN w:val="0"/>
        <w:adjustRightInd w:val="0"/>
        <w:spacing w:line="360" w:lineRule="auto"/>
        <w:ind w:left="714" w:hanging="357"/>
        <w:jc w:val="both"/>
        <w:rPr>
          <w:bCs/>
        </w:rPr>
      </w:pPr>
      <w:r>
        <w:rPr>
          <w:bCs/>
        </w:rPr>
        <w:t xml:space="preserve">Uyum alanında, </w:t>
      </w:r>
      <w:r w:rsidR="008232CF">
        <w:rPr>
          <w:bCs/>
        </w:rPr>
        <w:t xml:space="preserve">etkilenebilirliliğin </w:t>
      </w:r>
      <w:r>
        <w:rPr>
          <w:bCs/>
        </w:rPr>
        <w:t>değerlendirilmesi, tedbirlerin önceliklendirilmesi, mali ihtiyaçların belirlenmesi ve kapasite oluşturmaya öncelik verilmesi,</w:t>
      </w:r>
    </w:p>
    <w:p w:rsidR="00057D96" w:rsidRDefault="00057D96" w:rsidP="007A77D5">
      <w:pPr>
        <w:pStyle w:val="ListeParagraf"/>
        <w:numPr>
          <w:ilvl w:val="0"/>
          <w:numId w:val="6"/>
        </w:numPr>
        <w:autoSpaceDE w:val="0"/>
        <w:autoSpaceDN w:val="0"/>
        <w:adjustRightInd w:val="0"/>
        <w:spacing w:line="360" w:lineRule="auto"/>
        <w:ind w:left="714" w:hanging="357"/>
        <w:jc w:val="both"/>
        <w:rPr>
          <w:bCs/>
        </w:rPr>
      </w:pPr>
      <w:r>
        <w:rPr>
          <w:bCs/>
        </w:rPr>
        <w:t>Müzakerelerin sözleşme altında yürütülmesi,</w:t>
      </w:r>
    </w:p>
    <w:p w:rsidR="00057D96" w:rsidRDefault="00057D96" w:rsidP="007A77D5">
      <w:pPr>
        <w:pStyle w:val="ListeParagraf"/>
        <w:numPr>
          <w:ilvl w:val="0"/>
          <w:numId w:val="6"/>
        </w:numPr>
        <w:autoSpaceDE w:val="0"/>
        <w:autoSpaceDN w:val="0"/>
        <w:adjustRightInd w:val="0"/>
        <w:spacing w:line="360" w:lineRule="auto"/>
        <w:ind w:left="714" w:hanging="357"/>
        <w:jc w:val="both"/>
        <w:rPr>
          <w:bCs/>
        </w:rPr>
      </w:pPr>
      <w:r>
        <w:rPr>
          <w:bCs/>
        </w:rPr>
        <w:t>2009 yılı sonunda kadar müzakerelerin tamamlanmasıdır.</w:t>
      </w:r>
    </w:p>
    <w:p w:rsidR="00902870" w:rsidRDefault="009C6084" w:rsidP="00774F6E">
      <w:pPr>
        <w:autoSpaceDE w:val="0"/>
        <w:autoSpaceDN w:val="0"/>
        <w:adjustRightInd w:val="0"/>
        <w:spacing w:before="240" w:after="240" w:line="360" w:lineRule="auto"/>
        <w:ind w:left="360"/>
        <w:jc w:val="both"/>
        <w:rPr>
          <w:bCs/>
        </w:rPr>
      </w:pPr>
      <w:r>
        <w:rPr>
          <w:bCs/>
        </w:rPr>
        <w:t>Bali Yol Haritası (Çizelge</w:t>
      </w:r>
      <w:r w:rsidR="00902870">
        <w:rPr>
          <w:bCs/>
        </w:rPr>
        <w:t xml:space="preserve"> </w:t>
      </w:r>
      <w:proofErr w:type="gramStart"/>
      <w:r w:rsidR="009A3714">
        <w:rPr>
          <w:bCs/>
        </w:rPr>
        <w:t>1.6</w:t>
      </w:r>
      <w:proofErr w:type="gramEnd"/>
      <w:r w:rsidR="00902870">
        <w:rPr>
          <w:bCs/>
        </w:rPr>
        <w:t>) kapsamında 2012 sonrası iklim rejiminin belirlenmesi için; ortak vizyon, azaltım, uyum (adaptasyon), teknoloji transferi, finansman konu başlıkları altında müzakereler gerçekleştirilmelidir.</w:t>
      </w:r>
    </w:p>
    <w:p w:rsidR="00902870" w:rsidRPr="00902870" w:rsidRDefault="00FB0E0B" w:rsidP="000D38D2">
      <w:pPr>
        <w:pStyle w:val="it6"/>
      </w:pPr>
      <w:bookmarkStart w:id="106" w:name="_Toc384716095"/>
      <w:r>
        <w:t>Çizelge</w:t>
      </w:r>
      <w:r w:rsidR="009A3714">
        <w:t xml:space="preserve"> </w:t>
      </w:r>
      <w:proofErr w:type="gramStart"/>
      <w:r w:rsidR="009A3714">
        <w:t>1.6</w:t>
      </w:r>
      <w:proofErr w:type="gramEnd"/>
      <w:r w:rsidR="00723591">
        <w:t>: Bali Eylem Planı</w:t>
      </w:r>
      <w:bookmarkEnd w:id="106"/>
    </w:p>
    <w:p w:rsidR="00057D96" w:rsidRDefault="00902870" w:rsidP="00774F6E">
      <w:pPr>
        <w:autoSpaceDE w:val="0"/>
        <w:autoSpaceDN w:val="0"/>
        <w:adjustRightInd w:val="0"/>
        <w:rPr>
          <w:bCs/>
        </w:rPr>
      </w:pPr>
      <w:r>
        <w:rPr>
          <w:noProof/>
          <w:lang w:eastAsia="tr-TR"/>
        </w:rPr>
        <w:drawing>
          <wp:inline distT="0" distB="0" distL="0" distR="0" wp14:anchorId="7661FEC9" wp14:editId="28786AB2">
            <wp:extent cx="4813990" cy="3427012"/>
            <wp:effectExtent l="0" t="0" r="5715" b="254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18669" cy="3430343"/>
                    </a:xfrm>
                    <a:prstGeom prst="rect">
                      <a:avLst/>
                    </a:prstGeom>
                  </pic:spPr>
                </pic:pic>
              </a:graphicData>
            </a:graphic>
          </wp:inline>
        </w:drawing>
      </w:r>
    </w:p>
    <w:p w:rsidR="00902870" w:rsidRPr="00D0025E" w:rsidRDefault="00902870" w:rsidP="00774F6E">
      <w:pPr>
        <w:autoSpaceDE w:val="0"/>
        <w:autoSpaceDN w:val="0"/>
        <w:adjustRightInd w:val="0"/>
        <w:rPr>
          <w:bCs/>
          <w:sz w:val="20"/>
          <w:szCs w:val="20"/>
        </w:rPr>
      </w:pPr>
      <w:r w:rsidRPr="00935487">
        <w:rPr>
          <w:b/>
          <w:bCs/>
          <w:sz w:val="20"/>
          <w:szCs w:val="20"/>
        </w:rPr>
        <w:t>Kaynak:</w:t>
      </w:r>
      <w:r w:rsidRPr="00935487">
        <w:rPr>
          <w:bCs/>
          <w:sz w:val="20"/>
          <w:szCs w:val="20"/>
        </w:rPr>
        <w:t xml:space="preserve"> </w:t>
      </w:r>
      <w:r w:rsidR="004413AF" w:rsidRPr="00D0025E">
        <w:rPr>
          <w:bCs/>
          <w:sz w:val="20"/>
          <w:szCs w:val="20"/>
        </w:rPr>
        <w:t>http://www.dsi.gov.tr</w:t>
      </w:r>
      <w:r w:rsidR="00D0025E" w:rsidRPr="00D0025E">
        <w:rPr>
          <w:rStyle w:val="Kpr"/>
          <w:bCs/>
          <w:sz w:val="20"/>
          <w:szCs w:val="20"/>
          <w:u w:val="none"/>
        </w:rPr>
        <w:t xml:space="preserve"> </w:t>
      </w:r>
      <w:r w:rsidR="00D0025E" w:rsidRPr="00D0025E">
        <w:rPr>
          <w:rStyle w:val="Kpr"/>
          <w:bCs/>
          <w:color w:val="auto"/>
          <w:sz w:val="20"/>
          <w:szCs w:val="20"/>
          <w:u w:val="none"/>
        </w:rPr>
        <w:t>(8)</w:t>
      </w:r>
    </w:p>
    <w:p w:rsidR="004413AF" w:rsidRDefault="004413AF" w:rsidP="00774F6E">
      <w:pPr>
        <w:autoSpaceDE w:val="0"/>
        <w:autoSpaceDN w:val="0"/>
        <w:adjustRightInd w:val="0"/>
        <w:rPr>
          <w:bCs/>
          <w:sz w:val="20"/>
          <w:szCs w:val="20"/>
        </w:rPr>
      </w:pPr>
    </w:p>
    <w:p w:rsidR="004413AF" w:rsidRDefault="004413AF" w:rsidP="00774F6E">
      <w:pPr>
        <w:autoSpaceDE w:val="0"/>
        <w:autoSpaceDN w:val="0"/>
        <w:adjustRightInd w:val="0"/>
        <w:rPr>
          <w:bCs/>
          <w:sz w:val="20"/>
          <w:szCs w:val="20"/>
        </w:rPr>
      </w:pPr>
    </w:p>
    <w:p w:rsidR="004413AF" w:rsidRDefault="004413AF" w:rsidP="00774F6E">
      <w:pPr>
        <w:autoSpaceDE w:val="0"/>
        <w:autoSpaceDN w:val="0"/>
        <w:adjustRightInd w:val="0"/>
        <w:rPr>
          <w:bCs/>
          <w:sz w:val="20"/>
          <w:szCs w:val="20"/>
        </w:rPr>
      </w:pPr>
    </w:p>
    <w:p w:rsidR="007A77D5" w:rsidRDefault="007A77D5" w:rsidP="00774F6E">
      <w:pPr>
        <w:autoSpaceDE w:val="0"/>
        <w:autoSpaceDN w:val="0"/>
        <w:adjustRightInd w:val="0"/>
        <w:rPr>
          <w:bCs/>
          <w:sz w:val="20"/>
          <w:szCs w:val="20"/>
        </w:rPr>
      </w:pPr>
    </w:p>
    <w:p w:rsidR="007A77D5" w:rsidRDefault="007A77D5" w:rsidP="00774F6E">
      <w:pPr>
        <w:autoSpaceDE w:val="0"/>
        <w:autoSpaceDN w:val="0"/>
        <w:adjustRightInd w:val="0"/>
        <w:rPr>
          <w:bCs/>
          <w:sz w:val="20"/>
          <w:szCs w:val="20"/>
        </w:rPr>
      </w:pPr>
    </w:p>
    <w:p w:rsidR="007A77D5" w:rsidRDefault="007A77D5" w:rsidP="00774F6E">
      <w:pPr>
        <w:autoSpaceDE w:val="0"/>
        <w:autoSpaceDN w:val="0"/>
        <w:adjustRightInd w:val="0"/>
        <w:rPr>
          <w:bCs/>
          <w:sz w:val="20"/>
          <w:szCs w:val="20"/>
        </w:rPr>
      </w:pPr>
    </w:p>
    <w:p w:rsidR="007A77D5" w:rsidRDefault="007A77D5" w:rsidP="00774F6E">
      <w:pPr>
        <w:autoSpaceDE w:val="0"/>
        <w:autoSpaceDN w:val="0"/>
        <w:adjustRightInd w:val="0"/>
        <w:rPr>
          <w:bCs/>
          <w:sz w:val="20"/>
          <w:szCs w:val="20"/>
        </w:rPr>
      </w:pPr>
    </w:p>
    <w:p w:rsidR="007A77D5" w:rsidRDefault="007A77D5" w:rsidP="00774F6E">
      <w:pPr>
        <w:autoSpaceDE w:val="0"/>
        <w:autoSpaceDN w:val="0"/>
        <w:adjustRightInd w:val="0"/>
        <w:rPr>
          <w:bCs/>
          <w:sz w:val="20"/>
          <w:szCs w:val="20"/>
        </w:rPr>
      </w:pPr>
    </w:p>
    <w:p w:rsidR="00935487" w:rsidRPr="00935487" w:rsidRDefault="00935487" w:rsidP="00774F6E">
      <w:pPr>
        <w:autoSpaceDE w:val="0"/>
        <w:autoSpaceDN w:val="0"/>
        <w:adjustRightInd w:val="0"/>
        <w:jc w:val="center"/>
        <w:rPr>
          <w:bCs/>
          <w:sz w:val="20"/>
          <w:szCs w:val="20"/>
        </w:rPr>
      </w:pPr>
    </w:p>
    <w:p w:rsidR="004F2729" w:rsidRDefault="00E47B83" w:rsidP="009960F7">
      <w:pPr>
        <w:pStyle w:val="Balk3"/>
        <w:numPr>
          <w:ilvl w:val="2"/>
          <w:numId w:val="33"/>
        </w:numPr>
      </w:pPr>
      <w:bookmarkStart w:id="107" w:name="_Toc384823988"/>
      <w:bookmarkStart w:id="108" w:name="OLE_LINK82"/>
      <w:bookmarkStart w:id="109" w:name="OLE_LINK83"/>
      <w:r>
        <w:t xml:space="preserve"> </w:t>
      </w:r>
      <w:r w:rsidR="004F2729">
        <w:t xml:space="preserve">Kopenhag </w:t>
      </w:r>
      <w:r w:rsidR="00091279">
        <w:t>Uzlaşması</w:t>
      </w:r>
      <w:bookmarkEnd w:id="107"/>
    </w:p>
    <w:bookmarkEnd w:id="108"/>
    <w:bookmarkEnd w:id="109"/>
    <w:p w:rsidR="00860969" w:rsidRDefault="00D84734" w:rsidP="00774F6E">
      <w:pPr>
        <w:spacing w:before="240" w:after="240" w:line="360" w:lineRule="auto"/>
        <w:ind w:right="272" w:firstLine="708"/>
        <w:jc w:val="both"/>
        <w:rPr>
          <w:bCs/>
        </w:rPr>
      </w:pPr>
      <w:r>
        <w:rPr>
          <w:bCs/>
        </w:rPr>
        <w:t>7-19 Aralık 2</w:t>
      </w:r>
      <w:r w:rsidR="00860969" w:rsidRPr="00860969">
        <w:rPr>
          <w:bCs/>
        </w:rPr>
        <w:t>009 tarihinde Danimarka’nın Kop</w:t>
      </w:r>
      <w:r w:rsidR="000509CB">
        <w:rPr>
          <w:bCs/>
        </w:rPr>
        <w:t>enhag şehrinde gerçekleştirilen</w:t>
      </w:r>
      <w:r w:rsidR="00860969" w:rsidRPr="00860969">
        <w:rPr>
          <w:bCs/>
        </w:rPr>
        <w:t xml:space="preserve"> </w:t>
      </w:r>
      <w:r w:rsidR="000509CB">
        <w:rPr>
          <w:bCs/>
        </w:rPr>
        <w:t xml:space="preserve">15. Taraflar Konferansına, (COP 15) </w:t>
      </w:r>
      <w:r w:rsidR="005067CB">
        <w:rPr>
          <w:bCs/>
        </w:rPr>
        <w:t xml:space="preserve">115 devlet ve hükümet temsilcisi </w:t>
      </w:r>
      <w:r w:rsidR="000509CB">
        <w:rPr>
          <w:bCs/>
        </w:rPr>
        <w:t>hazır bulun</w:t>
      </w:r>
      <w:r w:rsidR="006300B5">
        <w:rPr>
          <w:bCs/>
        </w:rPr>
        <w:t>muştur</w:t>
      </w:r>
      <w:r w:rsidR="005067CB">
        <w:rPr>
          <w:bCs/>
        </w:rPr>
        <w:t>. 15 bin kişilik binaya 40 binden fazla katılımcı katıl</w:t>
      </w:r>
      <w:r w:rsidR="006300B5">
        <w:rPr>
          <w:bCs/>
        </w:rPr>
        <w:t>dığı tespit edilmiştir.</w:t>
      </w:r>
      <w:r w:rsidR="005067CB">
        <w:rPr>
          <w:bCs/>
        </w:rPr>
        <w:t xml:space="preserve"> Tarihsel süreç olarak Kyoto </w:t>
      </w:r>
      <w:r w:rsidR="000509CB">
        <w:rPr>
          <w:bCs/>
        </w:rPr>
        <w:t xml:space="preserve">Protokolü yerine geçecek bir iklim değişikliği anlaşmasının yapılması amacıyla </w:t>
      </w:r>
      <w:r w:rsidR="00393F4C">
        <w:rPr>
          <w:bCs/>
        </w:rPr>
        <w:t>önem arz etmektedir. “Kopenhag Zirvesi” olarak da adlandırılan bu uzlaşma ABD, Hindistan, Çin gibi ülkeler tarafından tam olarak kabul edilmemiş olup, müzakereler üzerinde çalışılmaya devam edileceği kararlaştırılmıştır.</w:t>
      </w:r>
    </w:p>
    <w:p w:rsidR="00FD0D6D" w:rsidRDefault="00FD0D6D" w:rsidP="00774F6E">
      <w:pPr>
        <w:spacing w:before="240" w:after="240" w:line="360" w:lineRule="auto"/>
        <w:ind w:firstLine="708"/>
        <w:jc w:val="both"/>
        <w:rPr>
          <w:bCs/>
        </w:rPr>
      </w:pPr>
      <w:r w:rsidRPr="00FD0D6D">
        <w:rPr>
          <w:bCs/>
        </w:rPr>
        <w:t>Kopenhag Uzlaşmasıyla ortaya atılan yeni rejimin gerçekleşmesi durumunda, kapsamlı bir uluslararası anlaşmayla bölgesel ulusal emisyon ticaret sistemlerinin karbon kredilerinin ihracının izin verilerek karbon kredileri global bir emtia haline gelmesi yüksek olasılık olarak görülmektedir. Sonuç olarak; küreselleşmiş bir ekonomik düzenin yeni pazarı haline gelen karbon piyasalarında hedeflenen nihai amaç değişik karbon piyasalarının finans araçları olan tüm emisyon azaltım kredi çeşitlerinin dönüştürülebilir nitelik kazanmasıdır.</w:t>
      </w:r>
    </w:p>
    <w:p w:rsidR="005067CB" w:rsidRDefault="005067CB" w:rsidP="00774F6E">
      <w:pPr>
        <w:spacing w:before="240" w:after="240" w:line="360" w:lineRule="auto"/>
        <w:ind w:right="272"/>
        <w:jc w:val="both"/>
        <w:rPr>
          <w:bCs/>
        </w:rPr>
      </w:pPr>
      <w:r>
        <w:rPr>
          <w:bCs/>
        </w:rPr>
        <w:tab/>
        <w:t>Konferansta kabul edilen toplantı kararları ana çizgileriyle aşağıdaki</w:t>
      </w:r>
      <w:r w:rsidR="006300B5">
        <w:rPr>
          <w:bCs/>
        </w:rPr>
        <w:t>lerini içermektedir</w:t>
      </w:r>
      <w:r w:rsidR="00597693">
        <w:rPr>
          <w:bCs/>
        </w:rPr>
        <w:t xml:space="preserve"> (Türkeş, 2009</w:t>
      </w:r>
      <w:r w:rsidR="001021A1" w:rsidRPr="001021A1">
        <w:rPr>
          <w:bCs/>
        </w:rPr>
        <w:t>)</w:t>
      </w:r>
      <w:r w:rsidR="00597693">
        <w:rPr>
          <w:bCs/>
        </w:rPr>
        <w:t>.</w:t>
      </w:r>
      <w:r w:rsidR="001021A1" w:rsidRPr="001021A1">
        <w:rPr>
          <w:bCs/>
        </w:rPr>
        <w:t xml:space="preserve"> </w:t>
      </w:r>
      <w:r w:rsidR="00C12F50">
        <w:rPr>
          <w:bCs/>
        </w:rPr>
        <w:t xml:space="preserve">Kopenhag Uzlaşması </w:t>
      </w:r>
      <w:r w:rsidR="00C12F50" w:rsidRPr="00C12F50">
        <w:rPr>
          <w:bCs/>
        </w:rPr>
        <w:t>(FCCC/CP/2009/L.7. Draft decision -/CP.15)</w:t>
      </w:r>
      <w:r w:rsidR="00C12F50">
        <w:rPr>
          <w:bCs/>
        </w:rPr>
        <w:t>;</w:t>
      </w:r>
    </w:p>
    <w:p w:rsidR="00C12F50" w:rsidRDefault="00625369" w:rsidP="00F94895">
      <w:pPr>
        <w:numPr>
          <w:ilvl w:val="0"/>
          <w:numId w:val="3"/>
        </w:numPr>
        <w:spacing w:before="240" w:after="240" w:line="360" w:lineRule="auto"/>
        <w:ind w:left="709" w:right="272"/>
        <w:jc w:val="both"/>
        <w:rPr>
          <w:bCs/>
        </w:rPr>
      </w:pPr>
      <w:r>
        <w:rPr>
          <w:bCs/>
        </w:rPr>
        <w:t xml:space="preserve">İklim değişikliği ile mücadelede politik çerçeve vurgulanmalıdır. Sözleşmenin atmosferdeki </w:t>
      </w:r>
      <w:r w:rsidR="003463A8">
        <w:rPr>
          <w:bCs/>
        </w:rPr>
        <w:t>sera gazı</w:t>
      </w:r>
      <w:r>
        <w:rPr>
          <w:bCs/>
        </w:rPr>
        <w:t xml:space="preserve"> azaltımının gerçekleşmesi için küresel yüzey sıcaklığındaki artışın 2</w:t>
      </w:r>
      <w:r w:rsidRPr="00625369">
        <w:rPr>
          <w:bCs/>
        </w:rPr>
        <w:t>°C’nin altında olması</w:t>
      </w:r>
      <w:r>
        <w:rPr>
          <w:bCs/>
        </w:rPr>
        <w:t xml:space="preserve"> vurgulanmıştır.</w:t>
      </w:r>
    </w:p>
    <w:p w:rsidR="00625369" w:rsidRDefault="003463A8" w:rsidP="00F94895">
      <w:pPr>
        <w:numPr>
          <w:ilvl w:val="0"/>
          <w:numId w:val="3"/>
        </w:numPr>
        <w:spacing w:before="240" w:after="240" w:line="360" w:lineRule="auto"/>
        <w:ind w:left="709" w:right="272"/>
        <w:jc w:val="both"/>
        <w:rPr>
          <w:bCs/>
        </w:rPr>
      </w:pPr>
      <w:r>
        <w:rPr>
          <w:bCs/>
        </w:rPr>
        <w:t>Sera gazı</w:t>
      </w:r>
      <w:r w:rsidR="00625369">
        <w:rPr>
          <w:bCs/>
        </w:rPr>
        <w:t xml:space="preserve"> azaltımının gelişmekte olan ülkelerde daha uzun süre alacağı göz önünde bulundurulmalıdır.</w:t>
      </w:r>
    </w:p>
    <w:p w:rsidR="00086ABF" w:rsidRDefault="00625369" w:rsidP="00F94895">
      <w:pPr>
        <w:numPr>
          <w:ilvl w:val="0"/>
          <w:numId w:val="3"/>
        </w:numPr>
        <w:spacing w:before="240" w:after="240" w:line="360" w:lineRule="auto"/>
        <w:ind w:left="709" w:right="272"/>
        <w:jc w:val="both"/>
        <w:rPr>
          <w:bCs/>
        </w:rPr>
      </w:pPr>
      <w:r w:rsidRPr="00625369">
        <w:rPr>
          <w:bCs/>
        </w:rPr>
        <w:t xml:space="preserve">İklim değişikliğinin olumsuz etkilerine </w:t>
      </w:r>
      <w:r>
        <w:rPr>
          <w:bCs/>
        </w:rPr>
        <w:t>karşı tüm ülkelerin işbirliği yaparak</w:t>
      </w:r>
      <w:r w:rsidR="008E7E39">
        <w:rPr>
          <w:bCs/>
        </w:rPr>
        <w:t xml:space="preserve"> </w:t>
      </w:r>
      <w:r w:rsidR="00086ABF">
        <w:rPr>
          <w:bCs/>
        </w:rPr>
        <w:t>üstesinden gelmesi gereken bir konudur.</w:t>
      </w:r>
    </w:p>
    <w:p w:rsidR="00086ABF" w:rsidRDefault="00086ABF" w:rsidP="00F94895">
      <w:pPr>
        <w:numPr>
          <w:ilvl w:val="0"/>
          <w:numId w:val="3"/>
        </w:numPr>
        <w:spacing w:before="240" w:after="240" w:line="360" w:lineRule="auto"/>
        <w:ind w:left="709" w:right="272"/>
        <w:jc w:val="both"/>
        <w:rPr>
          <w:bCs/>
        </w:rPr>
      </w:pPr>
      <w:r>
        <w:rPr>
          <w:bCs/>
        </w:rPr>
        <w:t xml:space="preserve">Ek I’e taraf ülkeler 2020 yılı için sayısal olarak belirlenmiş </w:t>
      </w:r>
      <w:r w:rsidR="003463A8">
        <w:rPr>
          <w:bCs/>
        </w:rPr>
        <w:t>emisyon</w:t>
      </w:r>
      <w:r>
        <w:rPr>
          <w:bCs/>
        </w:rPr>
        <w:t xml:space="preserve"> hedeflerini yürütme yükümlülüğü alacaktır.</w:t>
      </w:r>
    </w:p>
    <w:p w:rsidR="00086ABF" w:rsidRDefault="00086ABF" w:rsidP="00F94895">
      <w:pPr>
        <w:numPr>
          <w:ilvl w:val="0"/>
          <w:numId w:val="3"/>
        </w:numPr>
        <w:spacing w:before="240" w:after="240" w:line="360" w:lineRule="auto"/>
        <w:ind w:left="709" w:right="272"/>
        <w:jc w:val="both"/>
        <w:rPr>
          <w:bCs/>
        </w:rPr>
      </w:pPr>
      <w:r>
        <w:rPr>
          <w:bCs/>
        </w:rPr>
        <w:lastRenderedPageBreak/>
        <w:t>Sözleşmede</w:t>
      </w:r>
      <w:r w:rsidRPr="00086ABF">
        <w:rPr>
          <w:bCs/>
        </w:rPr>
        <w:t xml:space="preserve"> Ek I</w:t>
      </w:r>
      <w:r>
        <w:rPr>
          <w:bCs/>
        </w:rPr>
        <w:t xml:space="preserve"> dışı Tarafları (gelişmekte</w:t>
      </w:r>
      <w:r w:rsidRPr="00086ABF">
        <w:rPr>
          <w:bCs/>
        </w:rPr>
        <w:t xml:space="preserve"> ve </w:t>
      </w:r>
      <w:r>
        <w:rPr>
          <w:bCs/>
        </w:rPr>
        <w:t>gelişmemiş olan</w:t>
      </w:r>
      <w:r w:rsidRPr="00086ABF">
        <w:rPr>
          <w:bCs/>
        </w:rPr>
        <w:t xml:space="preserve">), 31 Ocak 2010 tarihine kadar </w:t>
      </w:r>
      <w:r w:rsidR="00B16F70">
        <w:rPr>
          <w:bCs/>
        </w:rPr>
        <w:t>eylem planlarını sekreteryaya sunmakla mükelleftir.</w:t>
      </w:r>
      <w:r w:rsidRPr="00086ABF">
        <w:rPr>
          <w:bCs/>
        </w:rPr>
        <w:t xml:space="preserve"> En az gelişmiş ülkeler ve gelişmekte olan küçük ada devletleri destek temelli ve gönüllü eylemler yüklenebilecektir.</w:t>
      </w:r>
    </w:p>
    <w:p w:rsidR="00B16F70" w:rsidRDefault="00B16F70" w:rsidP="00F94895">
      <w:pPr>
        <w:numPr>
          <w:ilvl w:val="0"/>
          <w:numId w:val="3"/>
        </w:numPr>
        <w:spacing w:before="240" w:after="240" w:line="360" w:lineRule="auto"/>
        <w:ind w:left="709" w:right="272"/>
        <w:jc w:val="both"/>
        <w:rPr>
          <w:bCs/>
        </w:rPr>
      </w:pPr>
      <w:r>
        <w:rPr>
          <w:bCs/>
        </w:rPr>
        <w:t xml:space="preserve">Ormansızlaştırma ve orman degradasyonundan (yitiriminden) kaynaklanan </w:t>
      </w:r>
      <w:r w:rsidR="003463A8">
        <w:rPr>
          <w:bCs/>
        </w:rPr>
        <w:t>sera gazı</w:t>
      </w:r>
      <w:r>
        <w:rPr>
          <w:bCs/>
        </w:rPr>
        <w:t xml:space="preserve"> </w:t>
      </w:r>
      <w:r w:rsidR="003463A8">
        <w:rPr>
          <w:bCs/>
        </w:rPr>
        <w:t>emisyon</w:t>
      </w:r>
      <w:r>
        <w:rPr>
          <w:bCs/>
        </w:rPr>
        <w:t>larının azaltılması için gelişmiş ülkelerin kaynaklarının kullanılarak acilen önlem alınmalıdır.</w:t>
      </w:r>
    </w:p>
    <w:p w:rsidR="00130623" w:rsidRDefault="00B16F70" w:rsidP="00F94895">
      <w:pPr>
        <w:numPr>
          <w:ilvl w:val="0"/>
          <w:numId w:val="3"/>
        </w:numPr>
        <w:spacing w:before="240" w:after="240" w:line="360" w:lineRule="auto"/>
        <w:ind w:left="709" w:right="272"/>
        <w:jc w:val="both"/>
        <w:rPr>
          <w:bCs/>
        </w:rPr>
      </w:pPr>
      <w:r w:rsidRPr="00B16F70">
        <w:rPr>
          <w:bCs/>
        </w:rPr>
        <w:t>Gelişmiş ülkelerin</w:t>
      </w:r>
      <w:r w:rsidR="00130623">
        <w:rPr>
          <w:bCs/>
        </w:rPr>
        <w:t>den gelişmekte olan ülkelerin gereksinimlerini karşılamak için 2010-2012 dönemi için 30 milyar ABD doları dolayındadır. Bu miktar 2020 yılı için hedefi 100 milyar ABD doları olacaktır. Bu fonun önemli bir bölümü Kopenhag Yeşil İklim Fonu tarafından sağlanacaktır.</w:t>
      </w:r>
    </w:p>
    <w:p w:rsidR="00130623" w:rsidRDefault="00130623" w:rsidP="00F94895">
      <w:pPr>
        <w:numPr>
          <w:ilvl w:val="0"/>
          <w:numId w:val="3"/>
        </w:numPr>
        <w:spacing w:before="240" w:after="240" w:line="360" w:lineRule="auto"/>
        <w:ind w:left="709" w:right="272"/>
        <w:jc w:val="both"/>
        <w:rPr>
          <w:bCs/>
        </w:rPr>
      </w:pPr>
      <w:r>
        <w:rPr>
          <w:bCs/>
        </w:rPr>
        <w:t>Teknoloji geliştirme ve aktarılması için bir Teknoloji</w:t>
      </w:r>
      <w:r w:rsidR="00A649A4">
        <w:rPr>
          <w:bCs/>
        </w:rPr>
        <w:t xml:space="preserve"> Düzeneğinin kurulması kararlaştırılmıştır.</w:t>
      </w:r>
    </w:p>
    <w:p w:rsidR="0044255F" w:rsidRPr="008D3155" w:rsidRDefault="00A649A4" w:rsidP="00F94895">
      <w:pPr>
        <w:numPr>
          <w:ilvl w:val="0"/>
          <w:numId w:val="3"/>
        </w:numPr>
        <w:spacing w:before="240" w:after="240" w:line="360" w:lineRule="auto"/>
        <w:ind w:left="709" w:right="272"/>
        <w:jc w:val="both"/>
        <w:rPr>
          <w:bCs/>
        </w:rPr>
      </w:pPr>
      <w:r>
        <w:rPr>
          <w:bCs/>
        </w:rPr>
        <w:t>2010 yılında tamamlanacak olan Kopenhag uzlaşmasının nihai amacı değerlendirilmelidir.</w:t>
      </w:r>
    </w:p>
    <w:p w:rsidR="00034446" w:rsidRDefault="00E47B83" w:rsidP="009960F7">
      <w:pPr>
        <w:pStyle w:val="Balk3"/>
        <w:numPr>
          <w:ilvl w:val="2"/>
          <w:numId w:val="33"/>
        </w:numPr>
      </w:pPr>
      <w:bookmarkStart w:id="110" w:name="_Toc384823989"/>
      <w:r>
        <w:t xml:space="preserve"> </w:t>
      </w:r>
      <w:r w:rsidR="00091279">
        <w:t>Cancun Uzlaşması</w:t>
      </w:r>
      <w:bookmarkEnd w:id="110"/>
    </w:p>
    <w:p w:rsidR="00734BDF" w:rsidRDefault="008D3155" w:rsidP="00F94895">
      <w:pPr>
        <w:spacing w:before="240" w:after="240" w:line="360" w:lineRule="auto"/>
        <w:ind w:firstLine="708"/>
        <w:jc w:val="both"/>
        <w:rPr>
          <w:bCs/>
        </w:rPr>
      </w:pPr>
      <w:r>
        <w:rPr>
          <w:bCs/>
        </w:rPr>
        <w:t xml:space="preserve">Cancun </w:t>
      </w:r>
      <w:r w:rsidR="006300B5">
        <w:rPr>
          <w:bCs/>
        </w:rPr>
        <w:t>U</w:t>
      </w:r>
      <w:r>
        <w:rPr>
          <w:bCs/>
        </w:rPr>
        <w:t>zlaşması</w:t>
      </w:r>
      <w:r w:rsidR="00B53114">
        <w:rPr>
          <w:bCs/>
        </w:rPr>
        <w:t xml:space="preserve"> (COP 16)</w:t>
      </w:r>
      <w:r>
        <w:rPr>
          <w:bCs/>
        </w:rPr>
        <w:t xml:space="preserve">; Birleşmiş Milletler </w:t>
      </w:r>
      <w:r w:rsidR="00A86DB0" w:rsidRPr="00A86DB0">
        <w:rPr>
          <w:bCs/>
        </w:rPr>
        <w:t>İklim Değişikliği Çerçeve Sözleşmesi (</w:t>
      </w:r>
      <w:r>
        <w:rPr>
          <w:bCs/>
        </w:rPr>
        <w:t>BM</w:t>
      </w:r>
      <w:r w:rsidR="00A86DB0" w:rsidRPr="00A86DB0">
        <w:rPr>
          <w:bCs/>
        </w:rPr>
        <w:t xml:space="preserve">İDÇS) </w:t>
      </w:r>
      <w:r>
        <w:rPr>
          <w:bCs/>
        </w:rPr>
        <w:t xml:space="preserve">tarafından </w:t>
      </w:r>
      <w:r w:rsidR="00A86DB0" w:rsidRPr="00A86DB0">
        <w:rPr>
          <w:bCs/>
        </w:rPr>
        <w:t>29 Kasım</w:t>
      </w:r>
      <w:r w:rsidR="00A86DB0">
        <w:rPr>
          <w:bCs/>
        </w:rPr>
        <w:t xml:space="preserve"> – 10 Aralık 2010</w:t>
      </w:r>
      <w:r>
        <w:rPr>
          <w:bCs/>
        </w:rPr>
        <w:t>’da Meksika’nın Cancun şehrinde</w:t>
      </w:r>
      <w:r w:rsidR="00734BDF">
        <w:rPr>
          <w:bCs/>
        </w:rPr>
        <w:t xml:space="preserve"> düzenlen</w:t>
      </w:r>
      <w:r w:rsidR="006300B5">
        <w:rPr>
          <w:bCs/>
        </w:rPr>
        <w:t>miştir</w:t>
      </w:r>
      <w:r w:rsidR="00734BDF">
        <w:rPr>
          <w:bCs/>
        </w:rPr>
        <w:t xml:space="preserve">. </w:t>
      </w:r>
      <w:r w:rsidR="00E67803">
        <w:rPr>
          <w:bCs/>
        </w:rPr>
        <w:t>Bu uzlaşmada</w:t>
      </w:r>
      <w:r w:rsidR="00734BDF">
        <w:rPr>
          <w:bCs/>
        </w:rPr>
        <w:t xml:space="preserve">, </w:t>
      </w:r>
      <w:r w:rsidR="003F11EC">
        <w:rPr>
          <w:bCs/>
        </w:rPr>
        <w:t>Kyoto dönemi</w:t>
      </w:r>
      <w:r w:rsidR="00E67803">
        <w:rPr>
          <w:bCs/>
        </w:rPr>
        <w:t>nin yeni bir yapıya kavuştuğu ve K</w:t>
      </w:r>
      <w:r>
        <w:rPr>
          <w:bCs/>
        </w:rPr>
        <w:t>openhag Uzlaşması</w:t>
      </w:r>
      <w:r w:rsidR="00E67803">
        <w:rPr>
          <w:bCs/>
        </w:rPr>
        <w:t xml:space="preserve">’nın </w:t>
      </w:r>
      <w:r>
        <w:rPr>
          <w:bCs/>
        </w:rPr>
        <w:t>bu zirvede</w:t>
      </w:r>
      <w:r w:rsidR="006300B5">
        <w:rPr>
          <w:bCs/>
        </w:rPr>
        <w:t xml:space="preserve"> olgunluğa eriştiği belirtilmiştir.</w:t>
      </w:r>
    </w:p>
    <w:p w:rsidR="00A86DB0" w:rsidRDefault="00734BDF" w:rsidP="00E97008">
      <w:pPr>
        <w:spacing w:before="240" w:after="240" w:line="360" w:lineRule="auto"/>
        <w:ind w:firstLine="708"/>
        <w:jc w:val="both"/>
        <w:rPr>
          <w:bCs/>
        </w:rPr>
      </w:pPr>
      <w:r>
        <w:rPr>
          <w:bCs/>
        </w:rPr>
        <w:t>Cancun uzlaşması</w:t>
      </w:r>
      <w:r w:rsidR="008D3155">
        <w:rPr>
          <w:bCs/>
        </w:rPr>
        <w:t xml:space="preserve"> sonunda ortaya çıkan en çarpıcı sonuç, 2012 sonrası dönemde en az gelişmiş ülkeler kapsamındaki 30’a yakın ülke hariç tüm ülkelerin emisyon azaltım taahhütlerini belli programlarla gerçekleştireceği bir süreç belirteceği belirtilmiştir. </w:t>
      </w:r>
      <w:r w:rsidR="008D3155" w:rsidRPr="008D3155">
        <w:rPr>
          <w:bCs/>
        </w:rPr>
        <w:t xml:space="preserve">Bu noktada </w:t>
      </w:r>
      <w:r>
        <w:rPr>
          <w:bCs/>
        </w:rPr>
        <w:t>gelişmiş devletler 100 Milyar $’</w:t>
      </w:r>
      <w:r w:rsidR="008D3155" w:rsidRPr="008D3155">
        <w:rPr>
          <w:bCs/>
        </w:rPr>
        <w:t>lık</w:t>
      </w:r>
      <w:r>
        <w:rPr>
          <w:bCs/>
        </w:rPr>
        <w:t xml:space="preserve"> (ABD doları)</w:t>
      </w:r>
      <w:r w:rsidR="008D3155" w:rsidRPr="008D3155">
        <w:rPr>
          <w:bCs/>
        </w:rPr>
        <w:t xml:space="preserve"> bir fon kurulmasına karar verilmiştir. Tasarlanan yeni düzende yüz milyar $’lık yeni fondan yararlanmak isteyen bütün devletler Ulusal Azaltım Eylem Planı (Nationally Appropriate Mitigation Action,  NAMA) denen ve fonu oluşturacak verici devletler ile uzlaşma ile varılacak bazı programların veya proje planlarını oluşturmakla ve bu programlarl</w:t>
      </w:r>
      <w:r w:rsidR="0097297B">
        <w:rPr>
          <w:bCs/>
        </w:rPr>
        <w:t>a ne seviyede bir emisyon azaltımı</w:t>
      </w:r>
      <w:r w:rsidR="008D3155" w:rsidRPr="008D3155">
        <w:rPr>
          <w:bCs/>
        </w:rPr>
        <w:t>na ulaşacaklarını belirt</w:t>
      </w:r>
      <w:r>
        <w:rPr>
          <w:bCs/>
        </w:rPr>
        <w:t>mek durumundadırlar.</w:t>
      </w:r>
    </w:p>
    <w:p w:rsidR="002C2577" w:rsidRDefault="007B12C8" w:rsidP="00260DE5">
      <w:pPr>
        <w:spacing w:before="240" w:after="240" w:line="360" w:lineRule="auto"/>
        <w:ind w:firstLine="708"/>
        <w:jc w:val="both"/>
        <w:rPr>
          <w:bCs/>
        </w:rPr>
      </w:pPr>
      <w:r>
        <w:rPr>
          <w:bCs/>
        </w:rPr>
        <w:lastRenderedPageBreak/>
        <w:t xml:space="preserve">Uzlaşmada, mevcut emisyon azaltma taahhütlerinin ısınmayı 2 </w:t>
      </w:r>
      <w:r w:rsidRPr="007B12C8">
        <w:rPr>
          <w:bCs/>
        </w:rPr>
        <w:t>°C</w:t>
      </w:r>
      <w:r>
        <w:rPr>
          <w:bCs/>
        </w:rPr>
        <w:t xml:space="preserve">’de tutma girişimlerinin yetersiz olduğu vurgulandı. İstenilen hedeflere ulaşmak için Birleşmiş Milletler (BM) tarafından yönetilecek olan “Yeşil İklim Fonu” oluşturularak, gelişmekte olan ülkelere Kopenhag Zirvesi’nde kararlaştırılan taahhütlerin yerine getirilmesinin </w:t>
      </w:r>
      <w:r w:rsidR="006300B5">
        <w:rPr>
          <w:bCs/>
        </w:rPr>
        <w:t>önemi vurgulanmıştır</w:t>
      </w:r>
      <w:r w:rsidR="00260DE5">
        <w:rPr>
          <w:bCs/>
        </w:rPr>
        <w:t xml:space="preserve"> (Scowcroft, 2010)</w:t>
      </w:r>
      <w:r w:rsidR="00260DE5">
        <w:rPr>
          <w:rStyle w:val="DipnotBavurusu"/>
          <w:bCs/>
        </w:rPr>
        <w:footnoteReference w:id="7"/>
      </w:r>
      <w:r w:rsidR="00260DE5">
        <w:rPr>
          <w:bCs/>
        </w:rPr>
        <w:t xml:space="preserve">. </w:t>
      </w:r>
    </w:p>
    <w:p w:rsidR="00135B51" w:rsidRDefault="00EF3C71" w:rsidP="00E97008">
      <w:pPr>
        <w:spacing w:before="240" w:after="240" w:line="360" w:lineRule="auto"/>
        <w:ind w:firstLine="708"/>
        <w:jc w:val="both"/>
        <w:rPr>
          <w:bCs/>
        </w:rPr>
      </w:pPr>
      <w:r>
        <w:rPr>
          <w:bCs/>
        </w:rPr>
        <w:t>Ayrıca uzlaşmada, gelişmiş ülkelerin emisyon azaltımı için gerekli çabayı sürdürerek, emisyon ticaretine devam etmeyi sürdürmelidir. Karbon yakalama ve depolama gibi teknolojik mekanizmaları da devreye koymalıdır</w:t>
      </w:r>
      <w:r w:rsidR="009D6C4C">
        <w:rPr>
          <w:bCs/>
        </w:rPr>
        <w:t>.</w:t>
      </w:r>
      <w:r w:rsidR="009D6C4C">
        <w:rPr>
          <w:rStyle w:val="DipnotBavurusu"/>
          <w:bCs/>
        </w:rPr>
        <w:footnoteReference w:id="8"/>
      </w:r>
    </w:p>
    <w:p w:rsidR="004413AF" w:rsidRDefault="004413AF" w:rsidP="004413AF">
      <w:pPr>
        <w:spacing w:before="240" w:after="240" w:line="360" w:lineRule="auto"/>
        <w:jc w:val="both"/>
        <w:rPr>
          <w:bCs/>
        </w:rPr>
      </w:pPr>
    </w:p>
    <w:p w:rsidR="004413AF" w:rsidRDefault="004413AF" w:rsidP="004413AF">
      <w:pPr>
        <w:spacing w:before="240" w:after="240" w:line="360" w:lineRule="auto"/>
        <w:jc w:val="both"/>
        <w:rPr>
          <w:bCs/>
        </w:rPr>
      </w:pPr>
    </w:p>
    <w:p w:rsidR="004413AF" w:rsidRDefault="004413AF" w:rsidP="004413AF">
      <w:pPr>
        <w:spacing w:before="240" w:after="240" w:line="360" w:lineRule="auto"/>
        <w:jc w:val="both"/>
        <w:rPr>
          <w:bCs/>
        </w:rPr>
      </w:pPr>
    </w:p>
    <w:p w:rsidR="004413AF" w:rsidRDefault="004413AF" w:rsidP="004413AF">
      <w:pPr>
        <w:spacing w:before="240" w:after="240" w:line="360" w:lineRule="auto"/>
        <w:jc w:val="both"/>
        <w:rPr>
          <w:bCs/>
        </w:rPr>
      </w:pPr>
    </w:p>
    <w:p w:rsidR="007A77D5" w:rsidRDefault="007A77D5" w:rsidP="004413AF">
      <w:pPr>
        <w:spacing w:before="240" w:after="240" w:line="360" w:lineRule="auto"/>
        <w:jc w:val="both"/>
        <w:rPr>
          <w:bCs/>
        </w:rPr>
      </w:pPr>
    </w:p>
    <w:p w:rsidR="007A77D5" w:rsidRDefault="007A77D5" w:rsidP="004413AF">
      <w:pPr>
        <w:spacing w:before="240" w:after="240" w:line="360" w:lineRule="auto"/>
        <w:jc w:val="both"/>
        <w:rPr>
          <w:bCs/>
        </w:rPr>
      </w:pPr>
    </w:p>
    <w:p w:rsidR="007A77D5" w:rsidRDefault="007A77D5" w:rsidP="004413AF">
      <w:pPr>
        <w:spacing w:before="240" w:after="240" w:line="360" w:lineRule="auto"/>
        <w:jc w:val="both"/>
        <w:rPr>
          <w:bCs/>
        </w:rPr>
      </w:pPr>
    </w:p>
    <w:p w:rsidR="007A77D5" w:rsidRDefault="007A77D5" w:rsidP="004413AF">
      <w:pPr>
        <w:spacing w:before="240" w:after="240" w:line="360" w:lineRule="auto"/>
        <w:jc w:val="both"/>
        <w:rPr>
          <w:bCs/>
        </w:rPr>
      </w:pPr>
    </w:p>
    <w:p w:rsidR="007A77D5" w:rsidRDefault="007A77D5" w:rsidP="004413AF">
      <w:pPr>
        <w:spacing w:before="240" w:after="240" w:line="360" w:lineRule="auto"/>
        <w:jc w:val="both"/>
        <w:rPr>
          <w:bCs/>
        </w:rPr>
      </w:pPr>
    </w:p>
    <w:p w:rsidR="007A77D5" w:rsidRDefault="007A77D5" w:rsidP="004413AF">
      <w:pPr>
        <w:spacing w:before="240" w:after="240" w:line="360" w:lineRule="auto"/>
        <w:jc w:val="both"/>
        <w:rPr>
          <w:bCs/>
        </w:rPr>
      </w:pPr>
    </w:p>
    <w:p w:rsidR="007A77D5" w:rsidRDefault="007A77D5" w:rsidP="004413AF">
      <w:pPr>
        <w:spacing w:before="240" w:after="240" w:line="360" w:lineRule="auto"/>
        <w:jc w:val="both"/>
        <w:rPr>
          <w:bCs/>
        </w:rPr>
      </w:pPr>
    </w:p>
    <w:p w:rsidR="007A77D5" w:rsidRDefault="007A77D5" w:rsidP="004413AF">
      <w:pPr>
        <w:spacing w:before="240" w:after="240" w:line="360" w:lineRule="auto"/>
        <w:jc w:val="both"/>
        <w:rPr>
          <w:bCs/>
        </w:rPr>
      </w:pPr>
    </w:p>
    <w:p w:rsidR="007A77D5" w:rsidRDefault="007A77D5" w:rsidP="004413AF">
      <w:pPr>
        <w:spacing w:before="240" w:after="240" w:line="360" w:lineRule="auto"/>
        <w:jc w:val="both"/>
        <w:rPr>
          <w:bCs/>
        </w:rPr>
      </w:pPr>
    </w:p>
    <w:p w:rsidR="004413AF" w:rsidRDefault="004413AF" w:rsidP="004413AF">
      <w:pPr>
        <w:spacing w:before="240" w:after="240" w:line="360" w:lineRule="auto"/>
        <w:jc w:val="both"/>
        <w:rPr>
          <w:bCs/>
        </w:rPr>
      </w:pPr>
    </w:p>
    <w:p w:rsidR="007A77D5" w:rsidRDefault="007A77D5" w:rsidP="004413AF">
      <w:pPr>
        <w:spacing w:before="240" w:after="240" w:line="360" w:lineRule="auto"/>
        <w:jc w:val="both"/>
        <w:rPr>
          <w:bCs/>
        </w:rPr>
      </w:pPr>
    </w:p>
    <w:p w:rsidR="007A77D5" w:rsidRDefault="007A77D5" w:rsidP="004413AF">
      <w:pPr>
        <w:spacing w:before="240" w:after="240" w:line="360" w:lineRule="auto"/>
        <w:jc w:val="both"/>
        <w:rPr>
          <w:bCs/>
        </w:rPr>
        <w:sectPr w:rsidR="007A77D5" w:rsidSect="008522AA">
          <w:headerReference w:type="default" r:id="rId28"/>
          <w:pgSz w:w="11906" w:h="16838"/>
          <w:pgMar w:top="1701" w:right="1134" w:bottom="1134" w:left="2268" w:header="709" w:footer="709" w:gutter="0"/>
          <w:cols w:space="708"/>
          <w:docGrid w:linePitch="360"/>
        </w:sectPr>
      </w:pPr>
    </w:p>
    <w:p w:rsidR="0044255F" w:rsidRDefault="009D2BEC" w:rsidP="00E71421">
      <w:pPr>
        <w:pStyle w:val="Balk1"/>
      </w:pPr>
      <w:bookmarkStart w:id="111" w:name="_Toc384823990"/>
      <w:r>
        <w:lastRenderedPageBreak/>
        <w:t>İKİNCİ BÖLÜM</w:t>
      </w:r>
      <w:bookmarkEnd w:id="111"/>
    </w:p>
    <w:p w:rsidR="0044255F" w:rsidRDefault="003463A8" w:rsidP="00E71421">
      <w:pPr>
        <w:pStyle w:val="Balk1"/>
      </w:pPr>
      <w:bookmarkStart w:id="112" w:name="_Toc384823991"/>
      <w:bookmarkEnd w:id="93"/>
      <w:r>
        <w:t>SERA GAZI</w:t>
      </w:r>
      <w:r w:rsidR="00D55809">
        <w:t xml:space="preserve"> EMİSYONLARINI</w:t>
      </w:r>
      <w:r w:rsidR="00AA01F9">
        <w:t xml:space="preserve"> AZALTMAYA YÖNELİK </w:t>
      </w:r>
      <w:r w:rsidR="00D55809">
        <w:t>POLİTİKALAR VE ARAÇLAR</w:t>
      </w:r>
      <w:bookmarkEnd w:id="112"/>
      <w:r w:rsidR="00AA01F9">
        <w:t xml:space="preserve"> </w:t>
      </w:r>
    </w:p>
    <w:p w:rsidR="00C64EB5" w:rsidRPr="00C64EB5" w:rsidRDefault="00C64EB5" w:rsidP="00D020BB">
      <w:pPr>
        <w:autoSpaceDE w:val="0"/>
        <w:autoSpaceDN w:val="0"/>
        <w:adjustRightInd w:val="0"/>
        <w:spacing w:before="240" w:after="240" w:line="360" w:lineRule="auto"/>
        <w:ind w:firstLine="708"/>
        <w:jc w:val="both"/>
        <w:rPr>
          <w:rFonts w:eastAsia="Swiss721BT-Roman"/>
        </w:rPr>
      </w:pPr>
      <w:r w:rsidRPr="00D020BB">
        <w:rPr>
          <w:rFonts w:eastAsia="Swiss721BT-Roman"/>
        </w:rPr>
        <w:t xml:space="preserve">Küresel iklim değişikliği ile mücadele konusundaki en önemli yasal düzenlemeler, </w:t>
      </w:r>
      <w:r w:rsidR="00E15050">
        <w:rPr>
          <w:rFonts w:eastAsia="Swiss721BT-Roman"/>
        </w:rPr>
        <w:t>Birleşmiş Milletler İklim Değişikliği Çerçeve Sözleşmesi (</w:t>
      </w:r>
      <w:r w:rsidRPr="00D020BB">
        <w:rPr>
          <w:rFonts w:eastAsia="Swiss721BT-Roman"/>
          <w:bCs/>
        </w:rPr>
        <w:t>BMİDÇS</w:t>
      </w:r>
      <w:r w:rsidR="00E15050">
        <w:rPr>
          <w:rFonts w:eastAsia="Swiss721BT-Roman"/>
          <w:bCs/>
        </w:rPr>
        <w:t>)</w:t>
      </w:r>
      <w:r w:rsidRPr="00D020BB">
        <w:rPr>
          <w:rFonts w:eastAsia="Swiss721BT-Roman"/>
          <w:bCs/>
        </w:rPr>
        <w:t xml:space="preserve"> </w:t>
      </w:r>
      <w:r w:rsidRPr="00D020BB">
        <w:rPr>
          <w:rFonts w:eastAsia="Swiss721BT-Roman"/>
        </w:rPr>
        <w:t xml:space="preserve">ve </w:t>
      </w:r>
      <w:r w:rsidRPr="00D020BB">
        <w:rPr>
          <w:rFonts w:eastAsia="Swiss721BT-Roman"/>
          <w:bCs/>
        </w:rPr>
        <w:t>Kyoto</w:t>
      </w:r>
      <w:r w:rsidRPr="00D020BB">
        <w:rPr>
          <w:rFonts w:eastAsia="Swiss721BT-Roman"/>
        </w:rPr>
        <w:t xml:space="preserve"> </w:t>
      </w:r>
      <w:r w:rsidRPr="00D020BB">
        <w:rPr>
          <w:rFonts w:eastAsia="Swiss721BT-Roman"/>
          <w:bCs/>
        </w:rPr>
        <w:t>Protokolü</w:t>
      </w:r>
      <w:r w:rsidRPr="00D020BB">
        <w:rPr>
          <w:rFonts w:eastAsia="Swiss721BT-Roman"/>
        </w:rPr>
        <w:t>’dür</w:t>
      </w:r>
      <w:r w:rsidR="00E15050">
        <w:rPr>
          <w:rFonts w:eastAsia="Swiss721BT-Roman"/>
        </w:rPr>
        <w:t xml:space="preserve"> (KP)</w:t>
      </w:r>
      <w:r w:rsidRPr="00D020BB">
        <w:rPr>
          <w:rFonts w:eastAsia="Swiss721BT-Roman"/>
        </w:rPr>
        <w:t>. 2005 yılında</w:t>
      </w:r>
      <w:r w:rsidRPr="00C64EB5">
        <w:rPr>
          <w:rFonts w:eastAsia="Swiss721BT-Roman"/>
        </w:rPr>
        <w:t xml:space="preserve"> yürürlüğe giren K</w:t>
      </w:r>
      <w:r w:rsidR="00E15050">
        <w:rPr>
          <w:rFonts w:eastAsia="Swiss721BT-Roman"/>
        </w:rPr>
        <w:t>P</w:t>
      </w:r>
      <w:r w:rsidRPr="00C64EB5">
        <w:rPr>
          <w:rFonts w:eastAsia="Swiss721BT-Roman"/>
        </w:rPr>
        <w:t xml:space="preserve">, içerdiği esneklik mekanizmalarıyla bir yandan küresel </w:t>
      </w:r>
      <w:r w:rsidR="003463A8">
        <w:rPr>
          <w:rFonts w:eastAsia="Swiss721BT-Roman"/>
        </w:rPr>
        <w:t>sera gazı</w:t>
      </w:r>
      <w:r w:rsidRPr="00C64EB5">
        <w:rPr>
          <w:rFonts w:eastAsia="Swiss721BT-Roman"/>
        </w:rPr>
        <w:t xml:space="preserve"> emisyonlarının azaltılmasını hedeflerken, diğer yandan teknoloji transferini ve küresel sermaye hareketlerini tetiklemekte ve dolayısıyla başta yenilenebilir enerji kaynakları olmak üzere birçok alanda yeni istihdam</w:t>
      </w:r>
      <w:r>
        <w:rPr>
          <w:rFonts w:eastAsia="Swiss721BT-Roman"/>
        </w:rPr>
        <w:t xml:space="preserve"> </w:t>
      </w:r>
      <w:r w:rsidRPr="00C64EB5">
        <w:rPr>
          <w:rFonts w:eastAsia="Swiss721BT-Roman"/>
        </w:rPr>
        <w:t>olanakları sağlamaktadır</w:t>
      </w:r>
      <w:r w:rsidR="00D020BB">
        <w:rPr>
          <w:rFonts w:eastAsia="Swiss721BT-Roman"/>
        </w:rPr>
        <w:t xml:space="preserve"> (</w:t>
      </w:r>
      <w:r w:rsidR="004603DA">
        <w:rPr>
          <w:rFonts w:eastAsia="Swiss721BT-Roman"/>
        </w:rPr>
        <w:t>İDEP, 2011: 5)</w:t>
      </w:r>
      <w:r w:rsidRPr="00C64EB5">
        <w:rPr>
          <w:rFonts w:eastAsia="Swiss721BT-Roman"/>
        </w:rPr>
        <w:t xml:space="preserve">. 2012 sonrası </w:t>
      </w:r>
      <w:r w:rsidR="003463A8">
        <w:rPr>
          <w:rFonts w:eastAsia="Swiss721BT-Roman"/>
        </w:rPr>
        <w:t>sera gazı</w:t>
      </w:r>
      <w:r w:rsidR="00E15050">
        <w:rPr>
          <w:rFonts w:eastAsia="Swiss721BT-Roman"/>
        </w:rPr>
        <w:t xml:space="preserve"> emisyonu azaltım politika ve araçlara ilişkin, </w:t>
      </w:r>
      <w:r w:rsidRPr="00C64EB5">
        <w:rPr>
          <w:rFonts w:eastAsia="Swiss721BT-Roman"/>
        </w:rPr>
        <w:t xml:space="preserve">2007 yılında </w:t>
      </w:r>
      <w:r w:rsidR="00535ECD">
        <w:rPr>
          <w:rFonts w:eastAsia="Swiss721BT-Roman"/>
        </w:rPr>
        <w:t>düzenlenen</w:t>
      </w:r>
      <w:r w:rsidRPr="00C64EB5">
        <w:rPr>
          <w:rFonts w:eastAsia="Swiss721BT-Roman"/>
        </w:rPr>
        <w:t xml:space="preserve"> 13. Taraflar Konferansı’nda BMİDÇS’ye taraf ü</w:t>
      </w:r>
      <w:r>
        <w:rPr>
          <w:rFonts w:eastAsia="Swiss721BT-Roman"/>
        </w:rPr>
        <w:t xml:space="preserve">lkelerce </w:t>
      </w:r>
      <w:r w:rsidRPr="00C64EB5">
        <w:rPr>
          <w:rFonts w:eastAsia="Swiss721BT-Roman"/>
        </w:rPr>
        <w:t>Bali Eylem Planı kabul edilmiştir. 2012 sonrası uluslararası iklim değişikliği rejimi için ö</w:t>
      </w:r>
      <w:r>
        <w:rPr>
          <w:rFonts w:eastAsia="Swiss721BT-Roman"/>
        </w:rPr>
        <w:t xml:space="preserve">nemli </w:t>
      </w:r>
      <w:r w:rsidRPr="00C64EB5">
        <w:rPr>
          <w:rFonts w:eastAsia="Swiss721BT-Roman"/>
        </w:rPr>
        <w:t xml:space="preserve">bir zemin teşkil eden ve 2010 yılında Meksika’da gerçekleştirilen 16. Taraflar Konferansı’nın çıktısı olan Cancun Anlaşmaları (1/CP.16 sayılı Karar), Bali Eylem Planı paralelinde bir dizi politik kararı içermektedir. Bu </w:t>
      </w:r>
      <w:r w:rsidR="00E15050">
        <w:rPr>
          <w:rFonts w:eastAsia="Swiss721BT-Roman"/>
        </w:rPr>
        <w:t>bağlamda</w:t>
      </w:r>
      <w:r w:rsidRPr="00C64EB5">
        <w:rPr>
          <w:rFonts w:eastAsia="Swiss721BT-Roman"/>
        </w:rPr>
        <w:t xml:space="preserve"> </w:t>
      </w:r>
      <w:r w:rsidR="00412DF5">
        <w:rPr>
          <w:rFonts w:eastAsia="Swiss721BT-Roman"/>
        </w:rPr>
        <w:t xml:space="preserve">alınan en önemli kararlardan biri iklim değişikliği ile mücadelede sürdürülebilir kalkınmayı ve yüksek ekonomik büyüme hızını destekleyen düşük karbonlu üretim modellerin benimsenmesidir </w:t>
      </w:r>
      <w:r w:rsidRPr="00C64EB5">
        <w:rPr>
          <w:rFonts w:eastAsia="Swiss721BT-Roman"/>
        </w:rPr>
        <w:t>(BMİDÇS TK16, 2011, s:4)</w:t>
      </w:r>
      <w:r w:rsidR="003C1C9C">
        <w:rPr>
          <w:rStyle w:val="DipnotBavurusu"/>
          <w:rFonts w:eastAsia="Swiss721BT-Roman"/>
        </w:rPr>
        <w:footnoteReference w:id="9"/>
      </w:r>
      <w:r w:rsidRPr="00C64EB5">
        <w:rPr>
          <w:rFonts w:eastAsia="Swiss721BT-Roman"/>
        </w:rPr>
        <w:t>.</w:t>
      </w:r>
    </w:p>
    <w:p w:rsidR="00984685" w:rsidRDefault="00D82C79" w:rsidP="00C64EB5">
      <w:pPr>
        <w:pStyle w:val="GvdeMetniGirintisi"/>
        <w:tabs>
          <w:tab w:val="left" w:pos="0"/>
        </w:tabs>
        <w:spacing w:before="240" w:after="240"/>
        <w:rPr>
          <w:bCs/>
        </w:rPr>
      </w:pPr>
      <w:r w:rsidRPr="00C64EB5">
        <w:rPr>
          <w:bCs/>
        </w:rPr>
        <w:t>İklim değişi</w:t>
      </w:r>
      <w:r w:rsidR="00C64EB5" w:rsidRPr="00C64EB5">
        <w:rPr>
          <w:bCs/>
        </w:rPr>
        <w:t xml:space="preserve">kliğine uyuma yönelik </w:t>
      </w:r>
      <w:r w:rsidRPr="00C64EB5">
        <w:rPr>
          <w:bCs/>
        </w:rPr>
        <w:t xml:space="preserve">mevcut politika ve uygulamalar </w:t>
      </w:r>
      <w:r w:rsidR="00C64EB5">
        <w:rPr>
          <w:bCs/>
        </w:rPr>
        <w:t xml:space="preserve">ile </w:t>
      </w:r>
      <w:r w:rsidR="003463A8">
        <w:rPr>
          <w:bCs/>
        </w:rPr>
        <w:t>sera gazı</w:t>
      </w:r>
      <w:r w:rsidR="00C64EB5">
        <w:rPr>
          <w:bCs/>
        </w:rPr>
        <w:t xml:space="preserve"> azaltım hedefini yakalamak, ulusların en temel/ahlaki görevleri arasındadır. </w:t>
      </w:r>
      <w:r w:rsidR="00F506E5">
        <w:rPr>
          <w:bCs/>
        </w:rPr>
        <w:t>Ulusların e</w:t>
      </w:r>
      <w:r w:rsidR="00C64EB5">
        <w:rPr>
          <w:bCs/>
        </w:rPr>
        <w:t>misyon azaltım hedefleri arasında</w:t>
      </w:r>
      <w:r w:rsidRPr="00C64EB5">
        <w:rPr>
          <w:bCs/>
        </w:rPr>
        <w:t>, su kaynaklarının yönetimi,</w:t>
      </w:r>
      <w:r w:rsidR="00C64EB5" w:rsidRPr="00C64EB5">
        <w:rPr>
          <w:bCs/>
        </w:rPr>
        <w:t xml:space="preserve"> </w:t>
      </w:r>
      <w:r w:rsidRPr="00C64EB5">
        <w:rPr>
          <w:bCs/>
        </w:rPr>
        <w:t>tarım sektörü ve gıda güvencesi, ekosistem</w:t>
      </w:r>
      <w:r w:rsidR="00C64EB5" w:rsidRPr="00C64EB5">
        <w:rPr>
          <w:bCs/>
        </w:rPr>
        <w:t xml:space="preserve"> </w:t>
      </w:r>
      <w:r w:rsidRPr="00C64EB5">
        <w:rPr>
          <w:bCs/>
        </w:rPr>
        <w:t>hizmetleri, biyolojik çeşitlilik ve ormancılık, doğal</w:t>
      </w:r>
      <w:r w:rsidR="00C64EB5" w:rsidRPr="00C64EB5">
        <w:rPr>
          <w:bCs/>
        </w:rPr>
        <w:t xml:space="preserve"> </w:t>
      </w:r>
      <w:r w:rsidRPr="00C64EB5">
        <w:rPr>
          <w:bCs/>
        </w:rPr>
        <w:t>afet risk yönetimi, ekosistem hizmetleri, biyolojik</w:t>
      </w:r>
      <w:r w:rsidR="00C64EB5" w:rsidRPr="00C64EB5">
        <w:rPr>
          <w:bCs/>
        </w:rPr>
        <w:t xml:space="preserve"> </w:t>
      </w:r>
      <w:r w:rsidRPr="00C64EB5">
        <w:rPr>
          <w:bCs/>
        </w:rPr>
        <w:t xml:space="preserve">çeşitlilik ve ormancılık ile insan sağlığı </w:t>
      </w:r>
      <w:r w:rsidR="00F506E5">
        <w:rPr>
          <w:bCs/>
        </w:rPr>
        <w:t>gibi temel görevleri mevcuttur.</w:t>
      </w:r>
    </w:p>
    <w:p w:rsidR="00867CE0" w:rsidRPr="00C64EB5" w:rsidRDefault="00867CE0" w:rsidP="00C64EB5">
      <w:pPr>
        <w:pStyle w:val="GvdeMetniGirintisi"/>
        <w:tabs>
          <w:tab w:val="left" w:pos="0"/>
        </w:tabs>
        <w:spacing w:before="240" w:after="240"/>
        <w:rPr>
          <w:bCs/>
        </w:rPr>
      </w:pPr>
      <w:r>
        <w:rPr>
          <w:bCs/>
        </w:rPr>
        <w:t>2009 yılı verilerine göre, Çin tek başına toplam dünya karbon emisyonun %</w:t>
      </w:r>
      <w:proofErr w:type="gramStart"/>
      <w:r w:rsidR="00D12974">
        <w:rPr>
          <w:bCs/>
        </w:rPr>
        <w:t>24.2’sini</w:t>
      </w:r>
      <w:proofErr w:type="gramEnd"/>
      <w:r>
        <w:rPr>
          <w:bCs/>
        </w:rPr>
        <w:t xml:space="preserve"> yaymaktadır (</w:t>
      </w:r>
      <w:r w:rsidR="00EA040D">
        <w:rPr>
          <w:bCs/>
        </w:rPr>
        <w:t>WEO</w:t>
      </w:r>
      <w:r>
        <w:rPr>
          <w:bCs/>
        </w:rPr>
        <w:t>, 2010).</w:t>
      </w:r>
      <w:r w:rsidR="005F3409">
        <w:rPr>
          <w:bCs/>
        </w:rPr>
        <w:t xml:space="preserve"> Gelişmekte olan Çin’in gelecekte ekonomisinin daha da gelişeceği, bu gelişmenin karbon emisyonlarını arttıracağı düşünülmektedir. </w:t>
      </w:r>
      <w:r w:rsidR="005F3409">
        <w:rPr>
          <w:bCs/>
        </w:rPr>
        <w:lastRenderedPageBreak/>
        <w:t>Ancak Çin hükümeti artan bu karbon emisyon</w:t>
      </w:r>
      <w:r w:rsidR="004B3263">
        <w:rPr>
          <w:bCs/>
        </w:rPr>
        <w:t>unu</w:t>
      </w:r>
      <w:r w:rsidR="005F3409">
        <w:rPr>
          <w:bCs/>
        </w:rPr>
        <w:t>, 2005 yılı</w:t>
      </w:r>
      <w:r w:rsidR="004B3263">
        <w:rPr>
          <w:bCs/>
        </w:rPr>
        <w:t>nı</w:t>
      </w:r>
      <w:r w:rsidR="005F3409">
        <w:rPr>
          <w:bCs/>
        </w:rPr>
        <w:t xml:space="preserve"> baz alınarak, 2020 yılın</w:t>
      </w:r>
      <w:r w:rsidR="00F523F3">
        <w:rPr>
          <w:bCs/>
        </w:rPr>
        <w:t xml:space="preserve">da % 40-45 oranında </w:t>
      </w:r>
      <w:r w:rsidR="004B3263">
        <w:rPr>
          <w:bCs/>
        </w:rPr>
        <w:t>azaltmayı</w:t>
      </w:r>
      <w:r w:rsidR="00F523F3">
        <w:rPr>
          <w:bCs/>
        </w:rPr>
        <w:t xml:space="preserve"> taahhüt etmektedir (Zhang, 2011: 1297).</w:t>
      </w:r>
    </w:p>
    <w:p w:rsidR="00091279" w:rsidRPr="006D3C25" w:rsidRDefault="006D3C25" w:rsidP="006D3C25">
      <w:pPr>
        <w:pStyle w:val="Balk2"/>
        <w:numPr>
          <w:ilvl w:val="0"/>
          <w:numId w:val="0"/>
        </w:numPr>
      </w:pPr>
      <w:bookmarkStart w:id="113" w:name="_Toc384823992"/>
      <w:r>
        <w:t>2.1.</w:t>
      </w:r>
      <w:r w:rsidR="00AA01F9" w:rsidRPr="006D3C25">
        <w:t xml:space="preserve"> POLİTİKALAR</w:t>
      </w:r>
      <w:bookmarkEnd w:id="113"/>
    </w:p>
    <w:p w:rsidR="001F310F" w:rsidRPr="001F310F" w:rsidRDefault="001F310F" w:rsidP="001F310F">
      <w:pPr>
        <w:spacing w:line="360" w:lineRule="auto"/>
        <w:ind w:firstLine="708"/>
        <w:jc w:val="both"/>
      </w:pPr>
      <w:r w:rsidRPr="00783621">
        <w:t xml:space="preserve">İklim değişikliği, doğal, çevresel, ekonomik, politik, kurumsal, sosyal ve teknolojik süreçler arasındaki tüm karmaşık etkileşimleri kapsamaktadır. İklim değişikliği konusu, </w:t>
      </w:r>
      <w:r w:rsidRPr="00953D78">
        <w:t xml:space="preserve"> karbon emisyonlarının azaltılması ve iklim değişikliği politikaları açısından düşük karbon ekonomisine geçişte </w:t>
      </w:r>
      <w:r>
        <w:t>ülkelerin</w:t>
      </w:r>
      <w:r w:rsidRPr="00953D78">
        <w:t xml:space="preserve"> </w:t>
      </w:r>
      <w:r>
        <w:t xml:space="preserve">etkin bir politika ortaya koyması gerekmektedir. </w:t>
      </w:r>
      <w:r w:rsidRPr="00783621">
        <w:t>Örneğin, optimum politika tasarımı, politikaların tasarlanması ve yürütülmesi için kapasite oluşturulması, iklim değişikliğinin etkilerini en aza indirme ve toplumsal bilinçlenmenin kuvvetlendirilmesine yönelik politikalar, benimsenen çok sayıda iklim değişikliği yak</w:t>
      </w:r>
      <w:r>
        <w:t xml:space="preserve">laşımları arasında sayılabilir </w:t>
      </w:r>
      <w:r w:rsidRPr="00783621">
        <w:t>(Türkeş, 2003; 7).</w:t>
      </w:r>
    </w:p>
    <w:p w:rsidR="00623121" w:rsidRPr="00F85E77" w:rsidRDefault="001F310F" w:rsidP="00F85E77">
      <w:pPr>
        <w:pStyle w:val="GvdeMetniGirintisi"/>
        <w:tabs>
          <w:tab w:val="left" w:pos="0"/>
        </w:tabs>
        <w:spacing w:before="240" w:after="240"/>
        <w:ind w:firstLine="0"/>
        <w:rPr>
          <w:bCs/>
        </w:rPr>
      </w:pPr>
      <w:r>
        <w:rPr>
          <w:bCs/>
        </w:rPr>
        <w:tab/>
      </w:r>
      <w:r w:rsidR="00623121" w:rsidRPr="00623121">
        <w:rPr>
          <w:bCs/>
        </w:rPr>
        <w:t xml:space="preserve">Çevre sorunları ile ekonomi arasında denge </w:t>
      </w:r>
      <w:r w:rsidR="00623121">
        <w:rPr>
          <w:bCs/>
        </w:rPr>
        <w:t>kurulabilmesi, piyasa verimliliği ve adaletin sağlanması gibi amaçların gerçekleşmesi için gere</w:t>
      </w:r>
      <w:r w:rsidR="002D7E15">
        <w:rPr>
          <w:bCs/>
        </w:rPr>
        <w:t xml:space="preserve">klidir. </w:t>
      </w:r>
      <w:r w:rsidR="003463A8">
        <w:rPr>
          <w:bCs/>
        </w:rPr>
        <w:t>Sera gazı</w:t>
      </w:r>
      <w:r w:rsidR="002D7E15">
        <w:rPr>
          <w:bCs/>
        </w:rPr>
        <w:t xml:space="preserve"> emisyonu</w:t>
      </w:r>
      <w:r w:rsidR="00623121">
        <w:rPr>
          <w:bCs/>
        </w:rPr>
        <w:t xml:space="preserve"> </w:t>
      </w:r>
      <w:r w:rsidR="002D7E15">
        <w:rPr>
          <w:bCs/>
        </w:rPr>
        <w:t>azaltmaya yönelik politikalar incelendiğinde, sera gazlarının maliyeti ile enerji verimliliği, karbon yutakları, karbon yak</w:t>
      </w:r>
      <w:r w:rsidR="00262D99">
        <w:rPr>
          <w:bCs/>
        </w:rPr>
        <w:t>a</w:t>
      </w:r>
      <w:r w:rsidR="002D7E15">
        <w:rPr>
          <w:bCs/>
        </w:rPr>
        <w:t>lama ve depolama, karbon vergisi arasında dengenin s</w:t>
      </w:r>
      <w:r w:rsidR="00601567">
        <w:rPr>
          <w:bCs/>
        </w:rPr>
        <w:t>ağlanmasını ifade eder. Bu durum</w:t>
      </w:r>
      <w:r w:rsidR="002D7E15">
        <w:rPr>
          <w:bCs/>
        </w:rPr>
        <w:t>da etkili bir çevre politikası, bu politikanın uygulanmasının marjinal maliyeti ile marjinal faydasının eşit olduğu noktada ya</w:t>
      </w:r>
      <w:r w:rsidR="003437A8">
        <w:rPr>
          <w:bCs/>
        </w:rPr>
        <w:t xml:space="preserve"> </w:t>
      </w:r>
      <w:r w:rsidR="002D7E15">
        <w:rPr>
          <w:bCs/>
        </w:rPr>
        <w:t xml:space="preserve">da o </w:t>
      </w:r>
      <w:r w:rsidR="003437A8">
        <w:rPr>
          <w:bCs/>
        </w:rPr>
        <w:t>noktaya en yakın yerde ol</w:t>
      </w:r>
      <w:r w:rsidR="00262D99">
        <w:rPr>
          <w:bCs/>
        </w:rPr>
        <w:t>a</w:t>
      </w:r>
      <w:r w:rsidR="003437A8">
        <w:rPr>
          <w:bCs/>
        </w:rPr>
        <w:t>caktır (Field and Field, 2002: 183).</w:t>
      </w:r>
      <w:r w:rsidR="002D7E15">
        <w:rPr>
          <w:bCs/>
        </w:rPr>
        <w:t xml:space="preserve"> </w:t>
      </w:r>
    </w:p>
    <w:p w:rsidR="007B1452" w:rsidRDefault="00F85E77" w:rsidP="007C4538">
      <w:pPr>
        <w:pStyle w:val="GvdeMetniGirintisi"/>
        <w:tabs>
          <w:tab w:val="left" w:pos="0"/>
        </w:tabs>
        <w:spacing w:before="240" w:after="240"/>
        <w:ind w:firstLine="0"/>
        <w:rPr>
          <w:bCs/>
        </w:rPr>
      </w:pPr>
      <w:r>
        <w:tab/>
      </w:r>
      <w:r w:rsidR="003463A8">
        <w:rPr>
          <w:bCs/>
        </w:rPr>
        <w:t>Sera gazı</w:t>
      </w:r>
      <w:r w:rsidRPr="00F85E77">
        <w:rPr>
          <w:bCs/>
        </w:rPr>
        <w:t xml:space="preserve"> azaltımı amacıyla uygulanacak politikaların, maliyeti üstlenecek kurumların ve özel sektörün temsilcilerinin istekleri dikkate alınarak uygulanması gerekmektedir. </w:t>
      </w:r>
      <w:r>
        <w:rPr>
          <w:bCs/>
        </w:rPr>
        <w:t>Çevre politikalarının uzun dönemde sağlıklı işleyebilmesi için devletin her alanda müdahalesini savunan sosyalist sistem yerine piyasa ekonomisine dayalı sistemlerin u</w:t>
      </w:r>
      <w:r w:rsidR="00262D99">
        <w:rPr>
          <w:bCs/>
        </w:rPr>
        <w:t>ygu</w:t>
      </w:r>
      <w:r>
        <w:rPr>
          <w:bCs/>
        </w:rPr>
        <w:t xml:space="preserve">lanması gerekmektedir. </w:t>
      </w:r>
      <w:r w:rsidR="00601567">
        <w:rPr>
          <w:bCs/>
        </w:rPr>
        <w:t>Örnek olarak devlet,</w:t>
      </w:r>
      <w:r>
        <w:rPr>
          <w:bCs/>
        </w:rPr>
        <w:t xml:space="preserve"> özel sektörün üretim yapmasını özendirecek düzenlemeler yapıl</w:t>
      </w:r>
      <w:r w:rsidR="00601567">
        <w:rPr>
          <w:bCs/>
        </w:rPr>
        <w:t xml:space="preserve">arak piyasa ekonomisine destek verilebilir. </w:t>
      </w:r>
      <w:r>
        <w:rPr>
          <w:bCs/>
        </w:rPr>
        <w:t>Kurulacak yeni işletme ve teşebbüslere yenilenebilir enerji kaynaklarına özendirmek için teşviklerle desteklenmelidir.</w:t>
      </w:r>
    </w:p>
    <w:p w:rsidR="00EC5220" w:rsidRDefault="007B1452" w:rsidP="007C4538">
      <w:pPr>
        <w:spacing w:before="240" w:after="240" w:line="360" w:lineRule="auto"/>
        <w:jc w:val="both"/>
      </w:pPr>
      <w:r>
        <w:tab/>
        <w:t>Piyasa ekonomisi, küresel ısınma sorunun bireysel istek ve çıkarlarını göz önüne alarak savunm</w:t>
      </w:r>
      <w:r w:rsidR="00262D99">
        <w:t>a</w:t>
      </w:r>
      <w:r>
        <w:t xml:space="preserve"> gerekliliği duymaktadır. Bireyin çıkarları, çevresel kamu çıkarları ile çelişiyorsa ekonomik ussallık gereği kendi ekonomik çıkarlarını tercih edecektir (Çabuk, 2011:</w:t>
      </w:r>
      <w:r w:rsidR="0068260D">
        <w:t xml:space="preserve"> 125)</w:t>
      </w:r>
      <w:r>
        <w:t>. Devlet, uygulayacağı çevresel politik</w:t>
      </w:r>
      <w:r w:rsidR="00262D99">
        <w:t>a</w:t>
      </w:r>
      <w:r>
        <w:t xml:space="preserve">lar ve emisyon azaltıcı araçlarla bireyleri sorunun çözümü için destek sağlamalıdır. </w:t>
      </w:r>
      <w:r w:rsidR="0068260D">
        <w:t xml:space="preserve">Küresel ısınma sorunu </w:t>
      </w:r>
      <w:r w:rsidR="0068260D">
        <w:lastRenderedPageBreak/>
        <w:t>bireyler için bir kayba dönüşmeye başlasa sorunun çözümü için çaba harcamak ekonomik olacaktır. Sorunun çözümü için çaba harcamak akılcı değilse, bireylerin söz konusu çabaları göstermesi ekonomik değil, ahlaki, dini ve toplumsal gerekçeler gerekecektir. Bireyler küresel ısınma sorunu için, ekonomik olmayan bir nedenle maliyete katlanıyorlarsa bu durum ekonomik akılcılıkla bağdaşmayacaktır.  Bu durumda çevrenin korunması ile ilgili piyasa yaklaşımı doğru değildir ya da küresel ısınma sorunun çözümü için başka nedenlere bakılmalıdır (</w:t>
      </w:r>
      <w:r w:rsidR="001437D6">
        <w:t>Keleş vd</w:t>
      </w:r>
      <w:proofErr w:type="gramStart"/>
      <w:r w:rsidR="001437D6">
        <w:t>.,</w:t>
      </w:r>
      <w:proofErr w:type="gramEnd"/>
      <w:r w:rsidR="001437D6">
        <w:t xml:space="preserve"> </w:t>
      </w:r>
      <w:r w:rsidR="00753FC2">
        <w:t>2012</w:t>
      </w:r>
      <w:r w:rsidR="001437D6">
        <w:t>: 376-380</w:t>
      </w:r>
      <w:r w:rsidR="0068260D">
        <w:t>)</w:t>
      </w:r>
    </w:p>
    <w:p w:rsidR="00EC5220" w:rsidRDefault="00EC5220" w:rsidP="007C4538">
      <w:pPr>
        <w:spacing w:before="240" w:after="240" w:line="360" w:lineRule="auto"/>
        <w:jc w:val="both"/>
      </w:pPr>
      <w:r>
        <w:tab/>
        <w:t>Devlet</w:t>
      </w:r>
      <w:r w:rsidR="00CB4E15">
        <w:t>in</w:t>
      </w:r>
      <w:r>
        <w:t>, küresel ısınmaya karşı başar</w:t>
      </w:r>
      <w:r w:rsidR="00CB4E15">
        <w:t>ısız politikalar yürütebileceği</w:t>
      </w:r>
      <w:r>
        <w:t xml:space="preserve"> göz önüne alınmalıdır. Küresel ısınmanın </w:t>
      </w:r>
      <w:r w:rsidR="00CB4E15">
        <w:t>engellenmesi</w:t>
      </w:r>
      <w:r>
        <w:t xml:space="preserve"> amacıyla yürütülecek politikaların verimli ve adil olması her zaman mümkün olmayabilir. Devlet müdahalesi ile çevre sorunlarının çözüleceği savunulurken, kamusal politik</w:t>
      </w:r>
      <w:r w:rsidR="00262D99">
        <w:t>a</w:t>
      </w:r>
      <w:r>
        <w:t>ları uygulayan bireylerin kendi çıkarları söz konusu olduğunda farklı şekilde davranacakları unutulmamalıdır (Şahin, 2005:</w:t>
      </w:r>
      <w:r w:rsidR="00031C00">
        <w:t xml:space="preserve"> </w:t>
      </w:r>
      <w:r>
        <w:t>24).</w:t>
      </w:r>
    </w:p>
    <w:p w:rsidR="003821F0" w:rsidRDefault="003821F0" w:rsidP="007C4538">
      <w:pPr>
        <w:spacing w:before="240" w:after="240" w:line="360" w:lineRule="auto"/>
        <w:jc w:val="both"/>
      </w:pPr>
      <w:r>
        <w:tab/>
        <w:t>Avrupa Birliği</w:t>
      </w:r>
      <w:r w:rsidR="00C045C6">
        <w:t xml:space="preserve"> Emisyon Ticaret Sisteminde (EU ETS)</w:t>
      </w:r>
      <w:r>
        <w:t xml:space="preserve"> yenilenebilir enerji</w:t>
      </w:r>
      <w:r w:rsidR="00C045C6">
        <w:t>,</w:t>
      </w:r>
      <w:r>
        <w:t xml:space="preserve"> 2020 ve 2050 hedefler</w:t>
      </w:r>
      <w:r w:rsidR="00C32FF8">
        <w:t>i</w:t>
      </w:r>
      <w:r>
        <w:t xml:space="preserve"> açısından büyük önem arz etmektedir. Bu nedenle fosil yakıtların temiz kullanımı ve kentlerde yenilenebilir enerjiden kombine ısı ve güç üretimi yatırımları için finansman hareketlendirilmesine yönelik yeni bir </w:t>
      </w:r>
      <w:r w:rsidR="00FE284E">
        <w:t>“</w:t>
      </w:r>
      <w:r>
        <w:t>Sür</w:t>
      </w:r>
      <w:r w:rsidR="00C32FF8">
        <w:t>dürülebilir Enerji Finansman İn</w:t>
      </w:r>
      <w:r>
        <w:t>siyatifi</w:t>
      </w:r>
      <w:r w:rsidR="00FE284E">
        <w:t>”</w:t>
      </w:r>
      <w:r>
        <w:t xml:space="preserve"> hazırlanmaktadır.</w:t>
      </w:r>
    </w:p>
    <w:p w:rsidR="00AA01F9" w:rsidRPr="006D3C25" w:rsidRDefault="00AA01F9" w:rsidP="0031716B">
      <w:pPr>
        <w:pStyle w:val="Balk3"/>
        <w:numPr>
          <w:ilvl w:val="0"/>
          <w:numId w:val="0"/>
        </w:numPr>
      </w:pPr>
      <w:bookmarkStart w:id="114" w:name="_Toc384823993"/>
      <w:r w:rsidRPr="006D3C25">
        <w:t>2.1.1. Enerji Dönüşümü</w:t>
      </w:r>
      <w:bookmarkEnd w:id="114"/>
    </w:p>
    <w:p w:rsidR="00624646" w:rsidRDefault="00624646" w:rsidP="00880D87">
      <w:pPr>
        <w:spacing w:before="240" w:after="240" w:line="360" w:lineRule="auto"/>
        <w:ind w:firstLine="709"/>
        <w:jc w:val="both"/>
        <w:rPr>
          <w:noProof/>
          <w:lang w:eastAsia="tr-TR"/>
        </w:rPr>
      </w:pPr>
      <w:r>
        <w:rPr>
          <w:noProof/>
          <w:lang w:eastAsia="tr-TR"/>
        </w:rPr>
        <w:t>Elektrik üretiminde, CO</w:t>
      </w:r>
      <w:r>
        <w:rPr>
          <w:noProof/>
          <w:vertAlign w:val="subscript"/>
          <w:lang w:eastAsia="tr-TR"/>
        </w:rPr>
        <w:t>2</w:t>
      </w:r>
      <w:r>
        <w:rPr>
          <w:noProof/>
          <w:lang w:eastAsia="tr-TR"/>
        </w:rPr>
        <w:t xml:space="preserve"> emisyonu</w:t>
      </w:r>
      <w:r w:rsidR="00C32FF8">
        <w:rPr>
          <w:noProof/>
          <w:lang w:eastAsia="tr-TR"/>
        </w:rPr>
        <w:t xml:space="preserve">na sebep olan </w:t>
      </w:r>
      <w:r>
        <w:rPr>
          <w:noProof/>
          <w:lang w:eastAsia="tr-TR"/>
        </w:rPr>
        <w:t>ya</w:t>
      </w:r>
      <w:r w:rsidR="00C32FF8">
        <w:rPr>
          <w:noProof/>
          <w:lang w:eastAsia="tr-TR"/>
        </w:rPr>
        <w:t xml:space="preserve"> </w:t>
      </w:r>
      <w:r>
        <w:rPr>
          <w:noProof/>
          <w:lang w:eastAsia="tr-TR"/>
        </w:rPr>
        <w:t xml:space="preserve">da daha az emisyon </w:t>
      </w:r>
      <w:r w:rsidR="00C32FF8">
        <w:rPr>
          <w:noProof/>
          <w:lang w:eastAsia="tr-TR"/>
        </w:rPr>
        <w:t xml:space="preserve">açığa çıkaran </w:t>
      </w:r>
      <w:r>
        <w:rPr>
          <w:noProof/>
          <w:lang w:eastAsia="tr-TR"/>
        </w:rPr>
        <w:t>enerji kaynaklarının kullanılması önem arz etmektedir. Hidrolik potansiyelin olabildiğince en yüksek düzeyde değerlenmesiyle</w:t>
      </w:r>
      <w:r w:rsidR="00A53DCA">
        <w:rPr>
          <w:noProof/>
          <w:lang w:eastAsia="tr-TR"/>
        </w:rPr>
        <w:t xml:space="preserve"> güneş, rüzgar, jeotermal ve bi</w:t>
      </w:r>
      <w:r>
        <w:rPr>
          <w:noProof/>
          <w:lang w:eastAsia="tr-TR"/>
        </w:rPr>
        <w:t xml:space="preserve">okütle vb. yenilenebilir enerji kaynaklarının optimum kullanılmasına ve bu tür kaynakların yatırımlarına destek verilmelidir. Ayrıca fosil yakıtların </w:t>
      </w:r>
      <w:r w:rsidR="00C32FF8">
        <w:rPr>
          <w:noProof/>
          <w:lang w:eastAsia="tr-TR"/>
        </w:rPr>
        <w:t xml:space="preserve">daha </w:t>
      </w:r>
      <w:r>
        <w:rPr>
          <w:noProof/>
          <w:lang w:eastAsia="tr-TR"/>
        </w:rPr>
        <w:t>az kullanılması</w:t>
      </w:r>
      <w:r w:rsidR="007A1324">
        <w:rPr>
          <w:noProof/>
          <w:lang w:eastAsia="tr-TR"/>
        </w:rPr>
        <w:t xml:space="preserve"> CO</w:t>
      </w:r>
      <w:r w:rsidR="007A1324">
        <w:rPr>
          <w:noProof/>
          <w:vertAlign w:val="subscript"/>
          <w:lang w:eastAsia="tr-TR"/>
        </w:rPr>
        <w:t>2</w:t>
      </w:r>
      <w:r w:rsidR="007A1324">
        <w:rPr>
          <w:noProof/>
          <w:lang w:eastAsia="tr-TR"/>
        </w:rPr>
        <w:t xml:space="preserve"> emisyonlarının azaltılmasına yardımcı olacaktır (Anonim, 2001: 80).</w:t>
      </w:r>
    </w:p>
    <w:p w:rsidR="00010B37" w:rsidRDefault="00221E1D" w:rsidP="00880D87">
      <w:pPr>
        <w:spacing w:before="240" w:after="240" w:line="360" w:lineRule="auto"/>
        <w:ind w:firstLine="709"/>
        <w:jc w:val="both"/>
        <w:rPr>
          <w:noProof/>
          <w:lang w:eastAsia="tr-TR"/>
        </w:rPr>
      </w:pPr>
      <w:r>
        <w:rPr>
          <w:noProof/>
          <w:lang w:eastAsia="tr-TR"/>
        </w:rPr>
        <w:t>Günümüzde dünyadaki elektrik üretiminin % 36’sı kömürden karşılanmaktadır (WCI</w:t>
      </w:r>
      <w:r w:rsidR="002D13E1">
        <w:rPr>
          <w:noProof/>
          <w:lang w:eastAsia="tr-TR"/>
        </w:rPr>
        <w:t>, 1998</w:t>
      </w:r>
      <w:r>
        <w:rPr>
          <w:noProof/>
          <w:lang w:eastAsia="tr-TR"/>
        </w:rPr>
        <w:t>). Elektrik üretiminde kaynaklanan CO</w:t>
      </w:r>
      <w:r>
        <w:rPr>
          <w:noProof/>
          <w:vertAlign w:val="subscript"/>
          <w:lang w:eastAsia="tr-TR"/>
        </w:rPr>
        <w:t>2</w:t>
      </w:r>
      <w:r>
        <w:rPr>
          <w:noProof/>
          <w:lang w:eastAsia="tr-TR"/>
        </w:rPr>
        <w:t xml:space="preserve"> emisyonları, yeni ve verimli teknolojilerin kullanılmasıyla % 25’ın üzerinde </w:t>
      </w:r>
      <w:r w:rsidR="00305093">
        <w:rPr>
          <w:noProof/>
          <w:lang w:eastAsia="tr-TR"/>
        </w:rPr>
        <w:t xml:space="preserve">bir azalma gerçekleştirecektir (IPCC, 1996). Bu nedenle yenilenebilir </w:t>
      </w:r>
      <w:r w:rsidR="00ED268A">
        <w:rPr>
          <w:noProof/>
          <w:lang w:eastAsia="tr-TR"/>
        </w:rPr>
        <w:t xml:space="preserve">enerji </w:t>
      </w:r>
      <w:r w:rsidR="00305093">
        <w:rPr>
          <w:noProof/>
          <w:lang w:eastAsia="tr-TR"/>
        </w:rPr>
        <w:t>kaynakların</w:t>
      </w:r>
      <w:r w:rsidR="00ED268A">
        <w:rPr>
          <w:noProof/>
          <w:lang w:eastAsia="tr-TR"/>
        </w:rPr>
        <w:t>ın</w:t>
      </w:r>
      <w:r w:rsidR="00305093">
        <w:rPr>
          <w:noProof/>
          <w:lang w:eastAsia="tr-TR"/>
        </w:rPr>
        <w:t xml:space="preserve"> kullanılması CO</w:t>
      </w:r>
      <w:r w:rsidR="00305093">
        <w:rPr>
          <w:noProof/>
          <w:vertAlign w:val="subscript"/>
          <w:lang w:eastAsia="tr-TR"/>
        </w:rPr>
        <w:t xml:space="preserve">2 </w:t>
      </w:r>
      <w:r w:rsidR="00305093">
        <w:rPr>
          <w:noProof/>
          <w:lang w:eastAsia="tr-TR"/>
        </w:rPr>
        <w:t xml:space="preserve"> emisyonlarını</w:t>
      </w:r>
      <w:r w:rsidR="00ED268A">
        <w:rPr>
          <w:noProof/>
          <w:lang w:eastAsia="tr-TR"/>
        </w:rPr>
        <w:t xml:space="preserve"> önemli ölçüde azaltacaktır.</w:t>
      </w:r>
    </w:p>
    <w:p w:rsidR="00880D87" w:rsidRDefault="00880D87" w:rsidP="00880D87">
      <w:pPr>
        <w:spacing w:before="240" w:after="240" w:line="360" w:lineRule="auto"/>
        <w:ind w:firstLine="709"/>
        <w:jc w:val="both"/>
      </w:pPr>
      <w:r w:rsidRPr="00880D87">
        <w:lastRenderedPageBreak/>
        <w:t xml:space="preserve">Enerji dönüşümü, enerjinin </w:t>
      </w:r>
      <w:r w:rsidR="00AB3FEC">
        <w:t xml:space="preserve">fizik kuralları içerisinde </w:t>
      </w:r>
      <w:r w:rsidRPr="00880D87">
        <w:t>bir biçimden</w:t>
      </w:r>
      <w:r w:rsidR="00AB3FEC">
        <w:t xml:space="preserve"> diğerine dönüşümüdür. Fizikte enerji </w:t>
      </w:r>
      <w:r w:rsidRPr="00880D87">
        <w:t xml:space="preserve">terimi bir sistemdeki belirli değişiklikleri oluşturma kapasitesini açıklar. </w:t>
      </w:r>
      <w:r w:rsidR="00AB3FEC">
        <w:t>Yani s</w:t>
      </w:r>
      <w:r w:rsidRPr="00880D87">
        <w:t>istemlerin toplam enerji dönüşümü, yalnızca enerjinin eklenmesi veya çıkarılması ile sağlanabilir.</w:t>
      </w:r>
      <w:r w:rsidR="00AB3FEC">
        <w:t xml:space="preserve"> </w:t>
      </w:r>
      <w:r w:rsidR="004B20F6">
        <w:t>İnsanoğlunun faydalandığı birçok enerji çeşidi vardır. Bunlardan bazılar ısı enerjisi, kinetik enerji, elektrik enerjisi, potansiyel enerji ve kimyasal enerjidir. Bu enerji çeşitleri birbirine dönüşebilmektedir.</w:t>
      </w:r>
    </w:p>
    <w:p w:rsidR="005C4828" w:rsidRPr="005C4828" w:rsidRDefault="00E63D94" w:rsidP="00D6477D">
      <w:pPr>
        <w:pStyle w:val="stil1"/>
        <w:spacing w:before="120" w:after="120"/>
        <w:rPr>
          <w:noProof/>
          <w:lang w:eastAsia="tr-TR"/>
        </w:rPr>
      </w:pPr>
      <w:bookmarkStart w:id="115" w:name="_Toc382298151"/>
      <w:r>
        <w:rPr>
          <w:noProof/>
          <w:lang w:eastAsia="tr-TR"/>
        </w:rPr>
        <w:t>Şekil 2.1</w:t>
      </w:r>
      <w:r w:rsidR="005C4828" w:rsidRPr="005C4828">
        <w:rPr>
          <w:noProof/>
          <w:lang w:eastAsia="tr-TR"/>
        </w:rPr>
        <w:t>: 2035 Yılı Dünya Birincil Enerji Talebi</w:t>
      </w:r>
      <w:bookmarkEnd w:id="115"/>
    </w:p>
    <w:p w:rsidR="005C4828" w:rsidRDefault="005C4828" w:rsidP="00D6477D">
      <w:pPr>
        <w:spacing w:before="120" w:after="120"/>
        <w:jc w:val="both"/>
        <w:rPr>
          <w:noProof/>
          <w:lang w:eastAsia="tr-TR"/>
        </w:rPr>
      </w:pPr>
      <w:r>
        <w:rPr>
          <w:noProof/>
          <w:lang w:eastAsia="tr-TR"/>
        </w:rPr>
        <w:drawing>
          <wp:inline distT="0" distB="0" distL="0" distR="0" wp14:anchorId="52B04635" wp14:editId="4F825112">
            <wp:extent cx="5400040" cy="2737911"/>
            <wp:effectExtent l="0" t="0" r="0" b="571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2737911"/>
                    </a:xfrm>
                    <a:prstGeom prst="rect">
                      <a:avLst/>
                    </a:prstGeom>
                  </pic:spPr>
                </pic:pic>
              </a:graphicData>
            </a:graphic>
          </wp:inline>
        </w:drawing>
      </w:r>
    </w:p>
    <w:p w:rsidR="005C4828" w:rsidRDefault="005C4828" w:rsidP="00D6477D">
      <w:pPr>
        <w:spacing w:before="120" w:after="120"/>
        <w:jc w:val="both"/>
        <w:rPr>
          <w:noProof/>
          <w:sz w:val="20"/>
          <w:szCs w:val="20"/>
          <w:lang w:eastAsia="tr-TR"/>
        </w:rPr>
      </w:pPr>
      <w:r w:rsidRPr="005C4828">
        <w:rPr>
          <w:noProof/>
          <w:sz w:val="20"/>
          <w:szCs w:val="20"/>
          <w:lang w:eastAsia="tr-TR"/>
        </w:rPr>
        <w:t xml:space="preserve">Kaynak: </w:t>
      </w:r>
      <w:r w:rsidR="00571A77">
        <w:rPr>
          <w:noProof/>
          <w:sz w:val="20"/>
          <w:szCs w:val="20"/>
          <w:lang w:eastAsia="tr-TR"/>
        </w:rPr>
        <w:t>World Energy Ourlook 2011: 70</w:t>
      </w:r>
      <w:r w:rsidR="00471A09">
        <w:rPr>
          <w:noProof/>
          <w:sz w:val="20"/>
          <w:szCs w:val="20"/>
          <w:lang w:eastAsia="tr-TR"/>
        </w:rPr>
        <w:t>.</w:t>
      </w:r>
    </w:p>
    <w:p w:rsidR="005C4828" w:rsidRDefault="00DA44E6" w:rsidP="00E97372">
      <w:pPr>
        <w:spacing w:before="240" w:after="240" w:line="360" w:lineRule="auto"/>
        <w:ind w:firstLine="709"/>
        <w:jc w:val="both"/>
        <w:rPr>
          <w:noProof/>
          <w:lang w:eastAsia="tr-TR"/>
        </w:rPr>
      </w:pPr>
      <w:r w:rsidRPr="00DA44E6">
        <w:rPr>
          <w:noProof/>
          <w:lang w:eastAsia="tr-TR"/>
        </w:rPr>
        <w:t>World Energy Outlook 2012’nin (WEO) ana senaryosu olan Yeni Politikalar Senaryosuna göre enerji talebi ve CO</w:t>
      </w:r>
      <w:r w:rsidRPr="00DA44E6">
        <w:rPr>
          <w:noProof/>
          <w:vertAlign w:val="subscript"/>
          <w:lang w:eastAsia="tr-TR"/>
        </w:rPr>
        <w:t>2</w:t>
      </w:r>
      <w:r w:rsidRPr="00DA44E6">
        <w:rPr>
          <w:noProof/>
          <w:lang w:eastAsia="tr-TR"/>
        </w:rPr>
        <w:t xml:space="preserve"> </w:t>
      </w:r>
      <w:r>
        <w:rPr>
          <w:noProof/>
          <w:lang w:eastAsia="tr-TR"/>
        </w:rPr>
        <w:t xml:space="preserve">emisyonlarının artışı artarak devam etmekte ve enerji piyasalarının dinamikleri yükselen ekonomiler tarafından giderek artmaktadır. </w:t>
      </w:r>
      <w:r w:rsidR="00E63D94">
        <w:rPr>
          <w:noProof/>
          <w:lang w:eastAsia="tr-TR"/>
        </w:rPr>
        <w:t>Şekil 2.1</w:t>
      </w:r>
      <w:r>
        <w:rPr>
          <w:noProof/>
          <w:lang w:eastAsia="tr-TR"/>
        </w:rPr>
        <w:t>’</w:t>
      </w:r>
      <w:r w:rsidR="00E63D94">
        <w:rPr>
          <w:noProof/>
          <w:lang w:eastAsia="tr-TR"/>
        </w:rPr>
        <w:t>d</w:t>
      </w:r>
      <w:r>
        <w:rPr>
          <w:noProof/>
          <w:lang w:eastAsia="tr-TR"/>
        </w:rPr>
        <w:t xml:space="preserve">e </w:t>
      </w:r>
      <w:r w:rsidR="009839FA">
        <w:rPr>
          <w:noProof/>
          <w:lang w:eastAsia="tr-TR"/>
        </w:rPr>
        <w:t>Uluslararası Enerji Ajası</w:t>
      </w:r>
      <w:r w:rsidR="00C32FF8">
        <w:rPr>
          <w:noProof/>
          <w:lang w:eastAsia="tr-TR"/>
        </w:rPr>
        <w:t>’</w:t>
      </w:r>
      <w:r w:rsidR="009839FA">
        <w:rPr>
          <w:noProof/>
          <w:lang w:eastAsia="tr-TR"/>
        </w:rPr>
        <w:t>nın verilerine göre dünya enerji talebinin son dönem</w:t>
      </w:r>
      <w:r w:rsidR="00C32FF8">
        <w:rPr>
          <w:noProof/>
          <w:lang w:eastAsia="tr-TR"/>
        </w:rPr>
        <w:t>ler</w:t>
      </w:r>
      <w:r w:rsidR="009839FA">
        <w:rPr>
          <w:noProof/>
          <w:lang w:eastAsia="tr-TR"/>
        </w:rPr>
        <w:t>de</w:t>
      </w:r>
      <w:r w:rsidR="00C32FF8">
        <w:rPr>
          <w:noProof/>
          <w:lang w:eastAsia="tr-TR"/>
        </w:rPr>
        <w:t xml:space="preserve">ki artış trendi </w:t>
      </w:r>
      <w:r w:rsidR="009839FA">
        <w:rPr>
          <w:noProof/>
          <w:lang w:eastAsia="tr-TR"/>
        </w:rPr>
        <w:t xml:space="preserve"> gösteril</w:t>
      </w:r>
      <w:r w:rsidR="00C32FF8">
        <w:rPr>
          <w:noProof/>
          <w:lang w:eastAsia="tr-TR"/>
        </w:rPr>
        <w:t>mişt</w:t>
      </w:r>
      <w:r w:rsidR="009839FA">
        <w:rPr>
          <w:noProof/>
          <w:lang w:eastAsia="tr-TR"/>
        </w:rPr>
        <w:t>ir.</w:t>
      </w:r>
    </w:p>
    <w:p w:rsidR="00571A77" w:rsidRDefault="00571A77" w:rsidP="005C4828">
      <w:pPr>
        <w:jc w:val="both"/>
        <w:rPr>
          <w:b/>
          <w:noProof/>
          <w:lang w:eastAsia="tr-TR"/>
        </w:rPr>
      </w:pPr>
    </w:p>
    <w:p w:rsidR="00571A77" w:rsidRDefault="00571A77" w:rsidP="005C4828">
      <w:pPr>
        <w:jc w:val="both"/>
        <w:rPr>
          <w:b/>
          <w:noProof/>
          <w:lang w:eastAsia="tr-TR"/>
        </w:rPr>
      </w:pPr>
    </w:p>
    <w:p w:rsidR="00571A77" w:rsidRDefault="00571A77" w:rsidP="005C4828">
      <w:pPr>
        <w:jc w:val="both"/>
        <w:rPr>
          <w:b/>
          <w:noProof/>
          <w:lang w:eastAsia="tr-TR"/>
        </w:rPr>
      </w:pPr>
    </w:p>
    <w:p w:rsidR="00571A77" w:rsidRDefault="00571A77" w:rsidP="005C4828">
      <w:pPr>
        <w:jc w:val="both"/>
        <w:rPr>
          <w:b/>
          <w:noProof/>
          <w:lang w:eastAsia="tr-TR"/>
        </w:rPr>
      </w:pPr>
    </w:p>
    <w:p w:rsidR="00571A77" w:rsidRDefault="00571A77" w:rsidP="005C4828">
      <w:pPr>
        <w:jc w:val="both"/>
        <w:rPr>
          <w:b/>
          <w:noProof/>
          <w:lang w:eastAsia="tr-TR"/>
        </w:rPr>
      </w:pPr>
    </w:p>
    <w:p w:rsidR="00571A77" w:rsidRDefault="00571A77" w:rsidP="005C4828">
      <w:pPr>
        <w:jc w:val="both"/>
        <w:rPr>
          <w:b/>
          <w:noProof/>
          <w:lang w:eastAsia="tr-TR"/>
        </w:rPr>
      </w:pPr>
    </w:p>
    <w:p w:rsidR="00571A77" w:rsidRDefault="00571A77" w:rsidP="005C4828">
      <w:pPr>
        <w:jc w:val="both"/>
        <w:rPr>
          <w:b/>
          <w:noProof/>
          <w:lang w:eastAsia="tr-TR"/>
        </w:rPr>
      </w:pPr>
    </w:p>
    <w:p w:rsidR="00571A77" w:rsidRDefault="00571A77" w:rsidP="005C4828">
      <w:pPr>
        <w:jc w:val="both"/>
        <w:rPr>
          <w:b/>
          <w:noProof/>
          <w:lang w:eastAsia="tr-TR"/>
        </w:rPr>
      </w:pPr>
    </w:p>
    <w:p w:rsidR="00571A77" w:rsidRDefault="00571A77" w:rsidP="005C4828">
      <w:pPr>
        <w:jc w:val="both"/>
        <w:rPr>
          <w:b/>
          <w:noProof/>
          <w:lang w:eastAsia="tr-TR"/>
        </w:rPr>
      </w:pPr>
    </w:p>
    <w:p w:rsidR="00571A77" w:rsidRDefault="00571A77" w:rsidP="005C4828">
      <w:pPr>
        <w:jc w:val="both"/>
        <w:rPr>
          <w:b/>
          <w:noProof/>
          <w:lang w:eastAsia="tr-TR"/>
        </w:rPr>
      </w:pPr>
    </w:p>
    <w:p w:rsidR="00571A77" w:rsidRDefault="00571A77" w:rsidP="005C4828">
      <w:pPr>
        <w:jc w:val="both"/>
        <w:rPr>
          <w:b/>
          <w:noProof/>
          <w:lang w:eastAsia="tr-TR"/>
        </w:rPr>
      </w:pPr>
    </w:p>
    <w:p w:rsidR="00571A77" w:rsidRDefault="00571A77" w:rsidP="005C4828">
      <w:pPr>
        <w:jc w:val="both"/>
        <w:rPr>
          <w:b/>
          <w:noProof/>
          <w:lang w:eastAsia="tr-TR"/>
        </w:rPr>
      </w:pPr>
    </w:p>
    <w:p w:rsidR="00571A77" w:rsidRDefault="00571A77" w:rsidP="005C4828">
      <w:pPr>
        <w:jc w:val="both"/>
        <w:rPr>
          <w:b/>
          <w:noProof/>
          <w:lang w:eastAsia="tr-TR"/>
        </w:rPr>
      </w:pPr>
    </w:p>
    <w:p w:rsidR="005C4828" w:rsidRPr="005C4828" w:rsidRDefault="00E63D94" w:rsidP="005F73C1">
      <w:pPr>
        <w:pStyle w:val="stil1"/>
        <w:spacing w:before="120" w:after="120"/>
        <w:rPr>
          <w:noProof/>
          <w:lang w:eastAsia="tr-TR"/>
        </w:rPr>
      </w:pPr>
      <w:bookmarkStart w:id="116" w:name="_Toc382298152"/>
      <w:r>
        <w:rPr>
          <w:noProof/>
          <w:lang w:eastAsia="tr-TR"/>
        </w:rPr>
        <w:lastRenderedPageBreak/>
        <w:t>Şekil 2.2</w:t>
      </w:r>
      <w:r w:rsidR="005C4828" w:rsidRPr="005C4828">
        <w:rPr>
          <w:noProof/>
          <w:lang w:eastAsia="tr-TR"/>
        </w:rPr>
        <w:t xml:space="preserve">: </w:t>
      </w:r>
      <w:r w:rsidR="005C4828">
        <w:rPr>
          <w:noProof/>
          <w:lang w:eastAsia="tr-TR"/>
        </w:rPr>
        <w:t>2030 Yılı OECD ve OECD Dışı Ülkeler İçin Dünya Birincil Enerji Talebi</w:t>
      </w:r>
      <w:bookmarkEnd w:id="116"/>
    </w:p>
    <w:p w:rsidR="005C4828" w:rsidRDefault="005C4828" w:rsidP="005F73C1">
      <w:pPr>
        <w:spacing w:before="120" w:after="120"/>
        <w:jc w:val="both"/>
      </w:pPr>
      <w:r>
        <w:rPr>
          <w:noProof/>
          <w:lang w:eastAsia="tr-TR"/>
        </w:rPr>
        <w:drawing>
          <wp:inline distT="0" distB="0" distL="0" distR="0" wp14:anchorId="556CF601" wp14:editId="502675BB">
            <wp:extent cx="5400040" cy="3031279"/>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3031279"/>
                    </a:xfrm>
                    <a:prstGeom prst="rect">
                      <a:avLst/>
                    </a:prstGeom>
                  </pic:spPr>
                </pic:pic>
              </a:graphicData>
            </a:graphic>
          </wp:inline>
        </w:drawing>
      </w:r>
    </w:p>
    <w:p w:rsidR="005C4828" w:rsidRDefault="005C4828" w:rsidP="005F73C1">
      <w:pPr>
        <w:spacing w:before="120" w:after="120"/>
        <w:jc w:val="both"/>
        <w:rPr>
          <w:noProof/>
          <w:sz w:val="20"/>
          <w:szCs w:val="20"/>
          <w:lang w:eastAsia="tr-TR"/>
        </w:rPr>
      </w:pPr>
      <w:r w:rsidRPr="00244AB8">
        <w:rPr>
          <w:b/>
          <w:noProof/>
          <w:sz w:val="20"/>
          <w:szCs w:val="20"/>
          <w:lang w:eastAsia="tr-TR"/>
        </w:rPr>
        <w:t>Kaynak:</w:t>
      </w:r>
      <w:r w:rsidRPr="005C4828">
        <w:rPr>
          <w:noProof/>
          <w:sz w:val="20"/>
          <w:szCs w:val="20"/>
          <w:lang w:eastAsia="tr-TR"/>
        </w:rPr>
        <w:t xml:space="preserve"> </w:t>
      </w:r>
      <w:r>
        <w:rPr>
          <w:noProof/>
          <w:sz w:val="20"/>
          <w:szCs w:val="20"/>
          <w:lang w:eastAsia="tr-TR"/>
        </w:rPr>
        <w:t>BP Energy Outlook 2030, Ocak 2012.</w:t>
      </w:r>
    </w:p>
    <w:p w:rsidR="005C4828" w:rsidRPr="007C4914" w:rsidRDefault="007C4914" w:rsidP="007C4914">
      <w:pPr>
        <w:spacing w:before="240" w:after="240" w:line="360" w:lineRule="auto"/>
        <w:ind w:firstLine="709"/>
        <w:jc w:val="both"/>
      </w:pPr>
      <w:r w:rsidRPr="007C4914">
        <w:t>BP’</w:t>
      </w:r>
      <w:r>
        <w:t xml:space="preserve">nin Enerji Görünümü 2030 Raporu’na göre, enerji verimliliğindeki artışa rağmen dünyada enerji talebi 2030’a kadar %36 oranında artacaktır. Talep edilen enerji miktarının, 12 milyar TEP’den </w:t>
      </w:r>
      <w:proofErr w:type="gramStart"/>
      <w:r>
        <w:t>16.6</w:t>
      </w:r>
      <w:proofErr w:type="gramEnd"/>
      <w:r>
        <w:t xml:space="preserve"> milyar TEP’e yükselmesi beklenmektedir. </w:t>
      </w:r>
      <w:r w:rsidR="00E63D94">
        <w:t xml:space="preserve">Şekil </w:t>
      </w:r>
      <w:proofErr w:type="gramStart"/>
      <w:r w:rsidR="00E63D94">
        <w:t>2.2</w:t>
      </w:r>
      <w:r>
        <w:t>’</w:t>
      </w:r>
      <w:r w:rsidR="00E63D94">
        <w:t>d</w:t>
      </w:r>
      <w:r>
        <w:t>e</w:t>
      </w:r>
      <w:proofErr w:type="gramEnd"/>
      <w:r>
        <w:t xml:space="preserve"> görüldüğü gibi bu artışın büyük bir kısmı gelişmekte olan ülkelerin taleplerinden kaynaklanmaktadır. OECD üyesi ülkelerin enerji talebi </w:t>
      </w:r>
      <w:proofErr w:type="gramStart"/>
      <w:r>
        <w:t>5.6</w:t>
      </w:r>
      <w:proofErr w:type="gramEnd"/>
      <w:r>
        <w:t xml:space="preserve"> milyar TEP’den, 5.8 milyar TEP’e yükselmesi beklenirken, OECD dışı ülkelerde ise 6.4 milyar TEP’den 10.9 milyar TEP’e yükseleceği tahmin edilmektedir.</w:t>
      </w:r>
    </w:p>
    <w:p w:rsidR="008956DB" w:rsidRDefault="00010B37" w:rsidP="00010B37">
      <w:pPr>
        <w:spacing w:before="240" w:after="240" w:line="360" w:lineRule="auto"/>
        <w:jc w:val="both"/>
      </w:pPr>
      <w:r w:rsidRPr="00010B37">
        <w:tab/>
      </w:r>
      <w:r w:rsidR="00E63D94">
        <w:t xml:space="preserve">Şekil </w:t>
      </w:r>
      <w:proofErr w:type="gramStart"/>
      <w:r w:rsidR="00E63D94">
        <w:t>2.3</w:t>
      </w:r>
      <w:r w:rsidRPr="00010B37">
        <w:t>’</w:t>
      </w:r>
      <w:r w:rsidR="00E63D94">
        <w:t>d</w:t>
      </w:r>
      <w:r w:rsidRPr="00010B37">
        <w:t>e</w:t>
      </w:r>
      <w:proofErr w:type="gramEnd"/>
      <w:r>
        <w:t xml:space="preserve"> dünya enerji talepleri içindeki enerji kaynaklarının payları ve 1980-2035 dönemindeki değişimleri yer almaktadır. Bu dönemde petrolde önemli bir düşme gözlemlenirken yenilenebilir enerji ve doğal gazda ise bir artış olduğu belirtilmektedir. </w:t>
      </w:r>
    </w:p>
    <w:p w:rsidR="008F3B2C" w:rsidRDefault="008F3B2C" w:rsidP="00010B37">
      <w:pPr>
        <w:spacing w:before="240" w:after="240" w:line="360" w:lineRule="auto"/>
        <w:jc w:val="both"/>
      </w:pPr>
    </w:p>
    <w:p w:rsidR="008F3B2C" w:rsidRDefault="008F3B2C" w:rsidP="00010B37">
      <w:pPr>
        <w:spacing w:before="240" w:after="240" w:line="360" w:lineRule="auto"/>
        <w:jc w:val="both"/>
      </w:pPr>
    </w:p>
    <w:p w:rsidR="008F3B2C" w:rsidRDefault="008F3B2C" w:rsidP="00010B37">
      <w:pPr>
        <w:spacing w:before="240" w:after="240" w:line="360" w:lineRule="auto"/>
        <w:jc w:val="both"/>
      </w:pPr>
    </w:p>
    <w:p w:rsidR="008F3B2C" w:rsidRDefault="008F3B2C" w:rsidP="00010B37">
      <w:pPr>
        <w:spacing w:before="240" w:after="240" w:line="360" w:lineRule="auto"/>
        <w:jc w:val="both"/>
      </w:pPr>
    </w:p>
    <w:p w:rsidR="008F3B2C" w:rsidRPr="00010B37" w:rsidRDefault="008F3B2C" w:rsidP="00010B37">
      <w:pPr>
        <w:spacing w:before="240" w:after="240" w:line="360" w:lineRule="auto"/>
        <w:jc w:val="both"/>
      </w:pPr>
    </w:p>
    <w:p w:rsidR="00A3037D" w:rsidRPr="005C4828" w:rsidRDefault="00A3037D" w:rsidP="002D6870">
      <w:pPr>
        <w:pStyle w:val="stil1"/>
        <w:spacing w:before="120" w:after="120"/>
      </w:pPr>
      <w:bookmarkStart w:id="117" w:name="_Toc382298153"/>
      <w:r w:rsidRPr="005C4828">
        <w:lastRenderedPageBreak/>
        <w:t xml:space="preserve">Şekil </w:t>
      </w:r>
      <w:proofErr w:type="gramStart"/>
      <w:r w:rsidRPr="005C4828">
        <w:t>2.3</w:t>
      </w:r>
      <w:proofErr w:type="gramEnd"/>
      <w:r w:rsidRPr="005C4828">
        <w:t>. Yeni Politikalar Senaryosunda Dünya Birinci Enerji Talebi İçinde Enerji Kaynaklarının Payları</w:t>
      </w:r>
      <w:bookmarkEnd w:id="117"/>
    </w:p>
    <w:p w:rsidR="00A3037D" w:rsidRDefault="00A3037D" w:rsidP="002D6870">
      <w:pPr>
        <w:spacing w:before="120" w:after="120"/>
        <w:jc w:val="both"/>
      </w:pPr>
      <w:r>
        <w:rPr>
          <w:noProof/>
          <w:lang w:eastAsia="tr-TR"/>
        </w:rPr>
        <w:drawing>
          <wp:inline distT="0" distB="0" distL="0" distR="0" wp14:anchorId="6E7F59F4" wp14:editId="26AAC95F">
            <wp:extent cx="2646320" cy="5384178"/>
            <wp:effectExtent l="2540" t="0" r="4445" b="444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rot="16200000">
                      <a:off x="0" y="0"/>
                      <a:ext cx="2652021" cy="5395777"/>
                    </a:xfrm>
                    <a:prstGeom prst="rect">
                      <a:avLst/>
                    </a:prstGeom>
                  </pic:spPr>
                </pic:pic>
              </a:graphicData>
            </a:graphic>
          </wp:inline>
        </w:drawing>
      </w:r>
    </w:p>
    <w:p w:rsidR="00A3037D" w:rsidRDefault="007E415C" w:rsidP="002D6870">
      <w:pPr>
        <w:autoSpaceDE w:val="0"/>
        <w:autoSpaceDN w:val="0"/>
        <w:adjustRightInd w:val="0"/>
        <w:spacing w:before="120" w:after="120"/>
        <w:rPr>
          <w:sz w:val="20"/>
          <w:szCs w:val="20"/>
        </w:rPr>
      </w:pPr>
      <w:r w:rsidRPr="007E415C">
        <w:rPr>
          <w:b/>
          <w:sz w:val="20"/>
        </w:rPr>
        <w:t>Kaynak</w:t>
      </w:r>
      <w:r w:rsidR="00A3037D" w:rsidRPr="007E415C">
        <w:rPr>
          <w:b/>
          <w:sz w:val="20"/>
        </w:rPr>
        <w:t>:</w:t>
      </w:r>
      <w:r w:rsidR="00A3037D" w:rsidRPr="007E415C">
        <w:rPr>
          <w:sz w:val="20"/>
        </w:rPr>
        <w:t xml:space="preserve"> </w:t>
      </w:r>
      <w:r w:rsidR="00A3037D">
        <w:rPr>
          <w:sz w:val="20"/>
          <w:szCs w:val="20"/>
        </w:rPr>
        <w:t>World Energy</w:t>
      </w:r>
      <w:r w:rsidR="00463693">
        <w:rPr>
          <w:sz w:val="20"/>
          <w:szCs w:val="20"/>
        </w:rPr>
        <w:t xml:space="preserve"> Outlook, 2011: 79.</w:t>
      </w:r>
    </w:p>
    <w:p w:rsidR="00A3037D" w:rsidRDefault="00A3037D" w:rsidP="009839FA">
      <w:pPr>
        <w:spacing w:before="240" w:after="240" w:line="360" w:lineRule="auto"/>
        <w:jc w:val="both"/>
      </w:pPr>
      <w:r>
        <w:tab/>
        <w:t xml:space="preserve"> </w:t>
      </w:r>
      <w:r w:rsidR="009839FA">
        <w:t>Son dönemlerde ABD’de enerji bileşimindeki dönüşüm küresel enerji haritasına yeniden şekil vermektedir. Bu dönüşüm</w:t>
      </w:r>
      <w:r w:rsidR="003C07FB">
        <w:t>ün</w:t>
      </w:r>
      <w:r w:rsidR="009839FA">
        <w:t xml:space="preserve"> gelecekte enerji piyasaları ve ticareti üzerinde önemli etkileri olacaktır. ABD toplam enerji ihtiyacının % 20’sini ithal etmesine rağmen, 2035 yılında artan petrol, kaya gazı ve biyoenerji üretiminin yanı sıra yakıt verimliliğinin iyileştirilmesiyle enerjide kendine yetebilen ve hatta önemli petrol ihracatçısı bir ülke haline gelecektir (</w:t>
      </w:r>
      <w:r w:rsidR="007D48F8">
        <w:t>WEO, 2012: 2).</w:t>
      </w:r>
    </w:p>
    <w:p w:rsidR="00AA01F9" w:rsidRDefault="00AA01F9" w:rsidP="0031716B">
      <w:pPr>
        <w:pStyle w:val="Balk3"/>
        <w:numPr>
          <w:ilvl w:val="0"/>
          <w:numId w:val="0"/>
        </w:numPr>
      </w:pPr>
      <w:bookmarkStart w:id="118" w:name="_Toc384823994"/>
      <w:r w:rsidRPr="00623121">
        <w:t>2.1.2. Enerji Verimliliği</w:t>
      </w:r>
      <w:bookmarkEnd w:id="118"/>
    </w:p>
    <w:p w:rsidR="00EE51A5" w:rsidRDefault="00EE51A5" w:rsidP="00EE51A5">
      <w:pPr>
        <w:autoSpaceDE w:val="0"/>
        <w:autoSpaceDN w:val="0"/>
        <w:adjustRightInd w:val="0"/>
        <w:spacing w:line="360" w:lineRule="auto"/>
        <w:ind w:firstLine="708"/>
        <w:jc w:val="both"/>
      </w:pPr>
      <w:r w:rsidRPr="008173F9">
        <w:t>Enerji verimliliğ</w:t>
      </w:r>
      <w:r w:rsidR="003C07FB">
        <w:t xml:space="preserve">i, Türk Mühendis ve Mimar Odaları Birliği’nin </w:t>
      </w:r>
      <w:r>
        <w:t>(TMMOB) 2012 yılı Enerji Verimliliği Raporu</w:t>
      </w:r>
      <w:r w:rsidR="003C07FB">
        <w:t>’</w:t>
      </w:r>
      <w:r>
        <w:t xml:space="preserve">na göre </w:t>
      </w:r>
      <w:r w:rsidR="00AE6132">
        <w:t xml:space="preserve"> </w:t>
      </w:r>
      <w:r>
        <w:t>“</w:t>
      </w:r>
      <w:r w:rsidRPr="008173F9">
        <w:t>Aynı ürün veya hizmeti (kalite ve konfor şartlarından taviz vermeden) daha</w:t>
      </w:r>
      <w:r>
        <w:t xml:space="preserve"> </w:t>
      </w:r>
      <w:r w:rsidRPr="008173F9">
        <w:t>az enerji ile elde etmek,</w:t>
      </w:r>
      <w:r>
        <w:t xml:space="preserve"> </w:t>
      </w:r>
      <w:r w:rsidR="007F6F5D">
        <w:t>a</w:t>
      </w:r>
      <w:r w:rsidRPr="008173F9">
        <w:t>ynı birim enerji ile daha fazla ürün veya hizmet elde etmek</w:t>
      </w:r>
      <w:r>
        <w:t>”</w:t>
      </w:r>
      <w:r w:rsidRPr="008173F9">
        <w:t>,</w:t>
      </w:r>
      <w:r>
        <w:rPr>
          <w:rStyle w:val="DipnotBavurusu"/>
        </w:rPr>
        <w:footnoteReference w:id="10"/>
      </w:r>
      <w:r>
        <w:t xml:space="preserve"> </w:t>
      </w:r>
      <w:r w:rsidRPr="008173F9">
        <w:t>olarak iki farklı anlatımla tanı</w:t>
      </w:r>
      <w:r>
        <w:t>mla</w:t>
      </w:r>
      <w:r w:rsidR="007F6F5D">
        <w:t>n</w:t>
      </w:r>
      <w:r>
        <w:t>mıştır.</w:t>
      </w:r>
    </w:p>
    <w:p w:rsidR="00BF3E38" w:rsidRDefault="008956DB" w:rsidP="009B2840">
      <w:pPr>
        <w:autoSpaceDE w:val="0"/>
        <w:autoSpaceDN w:val="0"/>
        <w:adjustRightInd w:val="0"/>
        <w:spacing w:before="240" w:after="240" w:line="360" w:lineRule="auto"/>
        <w:ind w:firstLine="709"/>
        <w:jc w:val="both"/>
      </w:pPr>
      <w:r>
        <w:t xml:space="preserve">Bir başka deyişle enerji verimliliği; ısı, gaz, buhar, basınçlı hava, elektrik gibi çok değişik formlardaki enerji kayıpları ile her çeşit atığın değerlendirilmesi veya geri kazandırılması olarak tanımlanmaktadır. Ayrıca yeni teknoloji kullanmayla üretimi düşürmeden, sosyal refahı engellemeden enerji tüketiminin azaltılmasıdır. Enerji verimliliğine yönelik çalışmalar hem tüketim alanındaki tasarrufları hem de </w:t>
      </w:r>
      <w:r w:rsidR="00641736">
        <w:t>arz alanındaki önleyici yaklaşımları kapsamaktadır (Kavak, 2005: 9).</w:t>
      </w:r>
    </w:p>
    <w:p w:rsidR="00EE51A5" w:rsidRDefault="00EE51A5" w:rsidP="009B2840">
      <w:pPr>
        <w:autoSpaceDE w:val="0"/>
        <w:autoSpaceDN w:val="0"/>
        <w:adjustRightInd w:val="0"/>
        <w:spacing w:before="240" w:after="240" w:line="360" w:lineRule="auto"/>
        <w:ind w:firstLine="709"/>
        <w:jc w:val="both"/>
      </w:pPr>
      <w:r>
        <w:lastRenderedPageBreak/>
        <w:t>Dünya nüfusunda meydana gelen artış ve teknolojini</w:t>
      </w:r>
      <w:r w:rsidR="00A215DC">
        <w:t>n gelişmesi enerjiye olan talep</w:t>
      </w:r>
      <w:r>
        <w:t xml:space="preserve"> hızla arttırmaktadır. Mevcut üretimle arta</w:t>
      </w:r>
      <w:r w:rsidR="007F6F5D">
        <w:t>n bu talep karşılanamadığı için</w:t>
      </w:r>
      <w:r>
        <w:t>, enerji açığının öncelikle enerji verimliliği</w:t>
      </w:r>
      <w:r w:rsidR="007F6F5D">
        <w:t xml:space="preserve">yle </w:t>
      </w:r>
      <w:r>
        <w:t>karşılanması gerekmektedir.</w:t>
      </w:r>
    </w:p>
    <w:p w:rsidR="000E4912" w:rsidRDefault="00E63D94" w:rsidP="00B11F2A">
      <w:pPr>
        <w:pStyle w:val="stil1"/>
        <w:spacing w:before="120" w:after="120"/>
      </w:pPr>
      <w:bookmarkStart w:id="119" w:name="_Toc382298154"/>
      <w:r>
        <w:rPr>
          <w:bCs/>
        </w:rPr>
        <w:t xml:space="preserve">Şekil </w:t>
      </w:r>
      <w:proofErr w:type="gramStart"/>
      <w:r>
        <w:rPr>
          <w:bCs/>
        </w:rPr>
        <w:t>2.4</w:t>
      </w:r>
      <w:proofErr w:type="gramEnd"/>
      <w:r w:rsidR="000E4912">
        <w:rPr>
          <w:bCs/>
        </w:rPr>
        <w:t xml:space="preserve">: </w:t>
      </w:r>
      <w:r w:rsidR="000E4912">
        <w:t>1971–2005 Yılları Arasında AB–25 Ülkelerinde Birincil Enerji Tüketimi ve Sağlanan T</w:t>
      </w:r>
      <w:r w:rsidR="000E4912" w:rsidRPr="000E4912">
        <w:t>asarruf</w:t>
      </w:r>
      <w:bookmarkEnd w:id="119"/>
    </w:p>
    <w:p w:rsidR="00EE51A5" w:rsidRDefault="00EE51A5" w:rsidP="00B11F2A">
      <w:pPr>
        <w:spacing w:before="120" w:after="120"/>
      </w:pPr>
      <w:r>
        <w:rPr>
          <w:noProof/>
          <w:lang w:eastAsia="tr-TR"/>
        </w:rPr>
        <w:drawing>
          <wp:inline distT="0" distB="0" distL="0" distR="0" wp14:anchorId="00FC125D" wp14:editId="61592CE2">
            <wp:extent cx="5405523" cy="2639833"/>
            <wp:effectExtent l="0" t="0" r="5080" b="825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406628" cy="2640373"/>
                    </a:xfrm>
                    <a:prstGeom prst="rect">
                      <a:avLst/>
                    </a:prstGeom>
                    <a:noFill/>
                    <a:ln w="9525">
                      <a:noFill/>
                      <a:miter lim="800000"/>
                      <a:headEnd/>
                      <a:tailEnd/>
                    </a:ln>
                  </pic:spPr>
                </pic:pic>
              </a:graphicData>
            </a:graphic>
          </wp:inline>
        </w:drawing>
      </w:r>
    </w:p>
    <w:p w:rsidR="000E4912" w:rsidRPr="002872B7" w:rsidRDefault="000E4912" w:rsidP="00B11F2A">
      <w:pPr>
        <w:pStyle w:val="ListeParagraf"/>
        <w:spacing w:before="120" w:after="120"/>
        <w:ind w:left="0"/>
        <w:rPr>
          <w:sz w:val="20"/>
          <w:szCs w:val="20"/>
        </w:rPr>
      </w:pPr>
      <w:r w:rsidRPr="000E4912">
        <w:rPr>
          <w:b/>
          <w:sz w:val="20"/>
          <w:szCs w:val="20"/>
        </w:rPr>
        <w:t>Kaynak:</w:t>
      </w:r>
      <w:r>
        <w:t xml:space="preserve"> </w:t>
      </w:r>
      <w:r w:rsidRPr="00B73AE5">
        <w:rPr>
          <w:sz w:val="20"/>
          <w:szCs w:val="20"/>
        </w:rPr>
        <w:t>Austvik, St</w:t>
      </w:r>
      <w:r>
        <w:rPr>
          <w:sz w:val="20"/>
          <w:szCs w:val="20"/>
        </w:rPr>
        <w:t>ructural Change in Europe, 2007</w:t>
      </w:r>
      <w:r w:rsidR="001D7B35">
        <w:rPr>
          <w:sz w:val="20"/>
          <w:szCs w:val="20"/>
        </w:rPr>
        <w:t>; TMMOB Enerji Verimliliği Raporu, 2012.</w:t>
      </w:r>
    </w:p>
    <w:p w:rsidR="00EE51A5" w:rsidRDefault="00EE51A5" w:rsidP="00B11F2A">
      <w:pPr>
        <w:autoSpaceDE w:val="0"/>
        <w:autoSpaceDN w:val="0"/>
        <w:adjustRightInd w:val="0"/>
        <w:spacing w:before="240" w:after="240" w:line="360" w:lineRule="auto"/>
        <w:ind w:firstLine="709"/>
        <w:jc w:val="both"/>
      </w:pPr>
      <w:r w:rsidRPr="006827A9">
        <w:t>Enerji verimliliğinin önemi</w:t>
      </w:r>
      <w:r w:rsidR="00E63D94">
        <w:t>,</w:t>
      </w:r>
      <w:r w:rsidRPr="006827A9">
        <w:t xml:space="preserve"> ülkeler tarafından farklı şekilde algılanmakta, değişik</w:t>
      </w:r>
      <w:r>
        <w:t xml:space="preserve"> </w:t>
      </w:r>
      <w:r w:rsidRPr="006827A9">
        <w:t>önlemler/çözümler uygulanmaktadır. Ülkelerin enerji verimliliği konusunda aldıkları</w:t>
      </w:r>
      <w:r>
        <w:t xml:space="preserve"> </w:t>
      </w:r>
      <w:r w:rsidRPr="002872B7">
        <w:t xml:space="preserve">önlemler </w:t>
      </w:r>
      <w:r w:rsidR="00E63D94">
        <w:t xml:space="preserve">Şekil </w:t>
      </w:r>
      <w:proofErr w:type="gramStart"/>
      <w:r w:rsidR="00E63D94">
        <w:t>2.4’t</w:t>
      </w:r>
      <w:r w:rsidRPr="002872B7">
        <w:t>e</w:t>
      </w:r>
      <w:proofErr w:type="gramEnd"/>
      <w:r w:rsidRPr="002872B7">
        <w:t xml:space="preserve"> belirtilmiştir</w:t>
      </w:r>
      <w:r w:rsidRPr="006827A9">
        <w:t>.</w:t>
      </w:r>
    </w:p>
    <w:p w:rsidR="009E6F94" w:rsidRPr="009E6F94" w:rsidRDefault="00E63D94" w:rsidP="00B11F2A">
      <w:pPr>
        <w:pStyle w:val="stil1"/>
        <w:spacing w:before="120" w:after="120"/>
      </w:pPr>
      <w:bookmarkStart w:id="120" w:name="_Toc382298155"/>
      <w:r>
        <w:rPr>
          <w:bCs/>
        </w:rPr>
        <w:t xml:space="preserve">Şekil </w:t>
      </w:r>
      <w:proofErr w:type="gramStart"/>
      <w:r>
        <w:rPr>
          <w:bCs/>
        </w:rPr>
        <w:t>2.5</w:t>
      </w:r>
      <w:proofErr w:type="gramEnd"/>
      <w:r w:rsidR="009E6F94">
        <w:rPr>
          <w:bCs/>
        </w:rPr>
        <w:t xml:space="preserve">: </w:t>
      </w:r>
      <w:r w:rsidR="009E6F94" w:rsidRPr="009E6F94">
        <w:t>Düşük Nükleer Enerji Senaryosunda Nükleer Enerjiden Elektrik Üretimi Kapasitesi</w:t>
      </w:r>
      <w:bookmarkEnd w:id="120"/>
    </w:p>
    <w:p w:rsidR="00F91306" w:rsidRDefault="00B319E9" w:rsidP="00B11F2A">
      <w:pPr>
        <w:autoSpaceDE w:val="0"/>
        <w:autoSpaceDN w:val="0"/>
        <w:adjustRightInd w:val="0"/>
        <w:spacing w:before="120" w:after="120"/>
      </w:pPr>
      <w:r>
        <w:rPr>
          <w:noProof/>
          <w:lang w:eastAsia="tr-TR"/>
        </w:rPr>
        <w:drawing>
          <wp:inline distT="0" distB="0" distL="0" distR="0" wp14:anchorId="351BD5A9" wp14:editId="07E0877E">
            <wp:extent cx="2234118" cy="5288166"/>
            <wp:effectExtent l="0" t="2858"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rot="16200000">
                      <a:off x="0" y="0"/>
                      <a:ext cx="2235179" cy="5290678"/>
                    </a:xfrm>
                    <a:prstGeom prst="rect">
                      <a:avLst/>
                    </a:prstGeom>
                  </pic:spPr>
                </pic:pic>
              </a:graphicData>
            </a:graphic>
          </wp:inline>
        </w:drawing>
      </w:r>
    </w:p>
    <w:p w:rsidR="009E6F94" w:rsidRDefault="00A3037D" w:rsidP="00B11F2A">
      <w:pPr>
        <w:autoSpaceDE w:val="0"/>
        <w:autoSpaceDN w:val="0"/>
        <w:adjustRightInd w:val="0"/>
        <w:spacing w:before="120" w:after="120"/>
        <w:rPr>
          <w:sz w:val="20"/>
          <w:szCs w:val="20"/>
        </w:rPr>
      </w:pPr>
      <w:r w:rsidRPr="007E415C">
        <w:rPr>
          <w:b/>
          <w:sz w:val="20"/>
          <w:szCs w:val="20"/>
        </w:rPr>
        <w:t>Kaynak:</w:t>
      </w:r>
      <w:r>
        <w:rPr>
          <w:sz w:val="20"/>
          <w:szCs w:val="20"/>
        </w:rPr>
        <w:t xml:space="preserve"> World Energy</w:t>
      </w:r>
      <w:r w:rsidR="009E6F94" w:rsidRPr="009E6F94">
        <w:rPr>
          <w:sz w:val="20"/>
          <w:szCs w:val="20"/>
        </w:rPr>
        <w:t xml:space="preserve"> Outlook, 2011.</w:t>
      </w:r>
    </w:p>
    <w:p w:rsidR="009E6F94" w:rsidRDefault="009E6F94" w:rsidP="009E6F94">
      <w:pPr>
        <w:autoSpaceDE w:val="0"/>
        <w:autoSpaceDN w:val="0"/>
        <w:adjustRightInd w:val="0"/>
        <w:spacing w:line="360" w:lineRule="auto"/>
      </w:pPr>
    </w:p>
    <w:p w:rsidR="009E6F94" w:rsidRPr="009E6F94" w:rsidRDefault="00E63D94" w:rsidP="00E63D94">
      <w:pPr>
        <w:autoSpaceDE w:val="0"/>
        <w:autoSpaceDN w:val="0"/>
        <w:adjustRightInd w:val="0"/>
        <w:spacing w:before="240" w:after="240" w:line="360" w:lineRule="auto"/>
        <w:ind w:firstLine="708"/>
        <w:jc w:val="both"/>
      </w:pPr>
      <w:r>
        <w:lastRenderedPageBreak/>
        <w:t xml:space="preserve">Şekil </w:t>
      </w:r>
      <w:proofErr w:type="gramStart"/>
      <w:r>
        <w:t>2.5’t</w:t>
      </w:r>
      <w:r w:rsidR="009E6F94">
        <w:t>e</w:t>
      </w:r>
      <w:proofErr w:type="gramEnd"/>
      <w:r w:rsidR="009E6F94">
        <w:t xml:space="preserve"> görüldüğü gibi düşük nükleer enerji senaryosunda, yeni politikalar senaryosuna göre daha fazla sayıda reaktör devre dışı bırakıldığı ve inşaat hızı daha az olduğu için 2010-2035 döneminde nükleer enerjiden elektrik üretim kapasitesi %15 azalmaktadır. </w:t>
      </w:r>
    </w:p>
    <w:p w:rsidR="00BF3E38" w:rsidRPr="009A5DC8" w:rsidRDefault="00BF3E38" w:rsidP="00296237">
      <w:pPr>
        <w:autoSpaceDE w:val="0"/>
        <w:autoSpaceDN w:val="0"/>
        <w:adjustRightInd w:val="0"/>
        <w:spacing w:before="240" w:after="240" w:line="360" w:lineRule="auto"/>
        <w:jc w:val="both"/>
      </w:pPr>
      <w:r w:rsidRPr="009A5DC8">
        <w:tab/>
      </w:r>
      <w:r w:rsidR="009A5DC8">
        <w:t>Enerji verimliliği,</w:t>
      </w:r>
      <w:r w:rsidRPr="009A5DC8">
        <w:t xml:space="preserve"> enerji güvenliğini sağlaması, ekonomik kalkınmayı desteklemesi ve ç</w:t>
      </w:r>
      <w:r w:rsidR="009A5DC8" w:rsidRPr="009A5DC8">
        <w:t>evre kirl</w:t>
      </w:r>
      <w:r w:rsidR="009A5DC8">
        <w:t>iliğini azaltmasında oldukça önemli politikadır. Birçok ana enerji tüketicisi ülke (Çin, ABD, Japonya, vb.) yeni enerji verimliliği politikalarını devreye sokmuştur. Bu politikaların uygulamalarındaki ilerlemeler sonucu Yeni Politikalar Senaryosu uyarınca küresel enerji yoğunluğu (GSYH’nin birim başına düşen enerji tü</w:t>
      </w:r>
      <w:r w:rsidR="009B2840">
        <w:t xml:space="preserve">ketimi) 2035’e kadar yıllık % </w:t>
      </w:r>
      <w:proofErr w:type="gramStart"/>
      <w:r w:rsidR="009B2840">
        <w:t>1.</w:t>
      </w:r>
      <w:r w:rsidR="009A5DC8">
        <w:t>8’lik</w:t>
      </w:r>
      <w:proofErr w:type="gramEnd"/>
      <w:r w:rsidR="009A5DC8">
        <w:t xml:space="preserve"> azalma olacağını öngörmektedir. </w:t>
      </w:r>
    </w:p>
    <w:p w:rsidR="00BF3E38" w:rsidRDefault="00E63D94" w:rsidP="00296237">
      <w:pPr>
        <w:autoSpaceDE w:val="0"/>
        <w:autoSpaceDN w:val="0"/>
        <w:adjustRightInd w:val="0"/>
        <w:spacing w:before="240" w:after="240" w:line="360" w:lineRule="auto"/>
        <w:ind w:firstLine="708"/>
        <w:jc w:val="both"/>
      </w:pPr>
      <w:r>
        <w:t xml:space="preserve">Şekil </w:t>
      </w:r>
      <w:proofErr w:type="gramStart"/>
      <w:r>
        <w:t>2.6</w:t>
      </w:r>
      <w:r w:rsidR="009A5DC8" w:rsidRPr="00296237">
        <w:t>’</w:t>
      </w:r>
      <w:r>
        <w:t>da</w:t>
      </w:r>
      <w:proofErr w:type="gramEnd"/>
      <w:r w:rsidR="00A215DC">
        <w:t xml:space="preserve"> Yeni Politikalar Senaryosu’na göre</w:t>
      </w:r>
      <w:r w:rsidR="009A5DC8" w:rsidRPr="00296237">
        <w:t xml:space="preserve"> </w:t>
      </w:r>
      <w:r w:rsidR="00296237" w:rsidRPr="00296237">
        <w:t>450 senaryosu</w:t>
      </w:r>
      <w:r w:rsidR="00A215DC">
        <w:t>nda</w:t>
      </w:r>
      <w:r>
        <w:t>,</w:t>
      </w:r>
      <w:r w:rsidR="00296237" w:rsidRPr="00296237">
        <w:t xml:space="preserve"> </w:t>
      </w:r>
      <w:r w:rsidR="009A5DC8" w:rsidRPr="00296237">
        <w:t xml:space="preserve">gerçekleşmesi beklenen emisyon azaltımının OECD ülkelerinde %42’si ve OECD dışı ülkelerde %54’ü enerji verimliliğinden gelecektir. OECD ülkelerinin yüzdesinin düşük olmasının en </w:t>
      </w:r>
      <w:r w:rsidR="00A165C6">
        <w:t>önemli</w:t>
      </w:r>
      <w:r w:rsidR="009A5DC8" w:rsidRPr="00296237">
        <w:t xml:space="preserve"> sebebi</w:t>
      </w:r>
      <w:r w:rsidR="00D937B3">
        <w:t>,</w:t>
      </w:r>
      <w:r w:rsidR="009A5DC8" w:rsidRPr="00296237">
        <w:t xml:space="preserve"> gelişmekte olan ülkelerde enerjiye uygulanan sübvansiyonların </w:t>
      </w:r>
      <w:r w:rsidR="00D937B3">
        <w:t>enerji verimliliği tedbirlerinin</w:t>
      </w:r>
      <w:r w:rsidR="009A5DC8" w:rsidRPr="00296237">
        <w:t xml:space="preserve"> alınmasını</w:t>
      </w:r>
      <w:r w:rsidR="00A165C6">
        <w:t xml:space="preserve"> engelle</w:t>
      </w:r>
      <w:r w:rsidR="00D937B3">
        <w:t>mesidir</w:t>
      </w:r>
      <w:r w:rsidR="009A5DC8" w:rsidRPr="00296237">
        <w:t>. (WEO, 2011</w:t>
      </w:r>
      <w:r w:rsidR="00D937B3">
        <w:t>: 214</w:t>
      </w:r>
      <w:r w:rsidR="009A5DC8" w:rsidRPr="00296237">
        <w:t>)</w:t>
      </w:r>
    </w:p>
    <w:p w:rsidR="00E63D94" w:rsidRPr="006957D0" w:rsidRDefault="00E63D94" w:rsidP="00B11F2A">
      <w:pPr>
        <w:pStyle w:val="stil1"/>
        <w:spacing w:before="120" w:after="120"/>
      </w:pPr>
      <w:bookmarkStart w:id="121" w:name="_Toc382298156"/>
      <w:r w:rsidRPr="006957D0">
        <w:rPr>
          <w:bCs/>
        </w:rPr>
        <w:t xml:space="preserve">Şekil </w:t>
      </w:r>
      <w:proofErr w:type="gramStart"/>
      <w:r w:rsidRPr="006957D0">
        <w:rPr>
          <w:bCs/>
        </w:rPr>
        <w:t>2.6</w:t>
      </w:r>
      <w:proofErr w:type="gramEnd"/>
      <w:r w:rsidRPr="006957D0">
        <w:rPr>
          <w:bCs/>
        </w:rPr>
        <w:t xml:space="preserve">: </w:t>
      </w:r>
      <w:r w:rsidR="006957D0" w:rsidRPr="006957D0">
        <w:t>Yeni Politikalar Senaryosuna Göre 450 Senaryosunda Dünya CO</w:t>
      </w:r>
      <w:r w:rsidR="006957D0" w:rsidRPr="006957D0">
        <w:rPr>
          <w:vertAlign w:val="subscript"/>
        </w:rPr>
        <w:t>2</w:t>
      </w:r>
      <w:r w:rsidR="006957D0" w:rsidRPr="006957D0">
        <w:t xml:space="preserve"> Emisyon Azaltımları</w:t>
      </w:r>
      <w:bookmarkEnd w:id="121"/>
    </w:p>
    <w:p w:rsidR="00F91306" w:rsidRDefault="00F91306" w:rsidP="00B11F2A">
      <w:pPr>
        <w:autoSpaceDE w:val="0"/>
        <w:autoSpaceDN w:val="0"/>
        <w:adjustRightInd w:val="0"/>
        <w:spacing w:before="120" w:after="120"/>
        <w:jc w:val="both"/>
      </w:pPr>
      <w:r>
        <w:rPr>
          <w:rFonts w:ascii="Lucida Sans Unicode" w:hAnsi="Lucida Sans Unicode" w:cs="Lucida Sans Unicode"/>
          <w:noProof/>
          <w:color w:val="838383"/>
          <w:sz w:val="17"/>
          <w:szCs w:val="17"/>
          <w:lang w:eastAsia="tr-TR"/>
        </w:rPr>
        <w:drawing>
          <wp:inline distT="0" distB="0" distL="0" distR="0" wp14:anchorId="4BBAB11C" wp14:editId="54294BD3">
            <wp:extent cx="5240020" cy="2337435"/>
            <wp:effectExtent l="0" t="0" r="0" b="5715"/>
            <wp:docPr id="32" name="Resim 32" descr="http://www.eie.gov.tr/images/az_son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ie.gov.tr/images/az_son_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0020" cy="2337435"/>
                    </a:xfrm>
                    <a:prstGeom prst="rect">
                      <a:avLst/>
                    </a:prstGeom>
                    <a:noFill/>
                    <a:ln>
                      <a:noFill/>
                    </a:ln>
                  </pic:spPr>
                </pic:pic>
              </a:graphicData>
            </a:graphic>
          </wp:inline>
        </w:drawing>
      </w:r>
    </w:p>
    <w:p w:rsidR="00F91306" w:rsidRPr="00463693" w:rsidRDefault="00F91306" w:rsidP="00B11F2A">
      <w:pPr>
        <w:autoSpaceDE w:val="0"/>
        <w:autoSpaceDN w:val="0"/>
        <w:adjustRightInd w:val="0"/>
        <w:spacing w:before="120" w:after="120"/>
        <w:jc w:val="both"/>
        <w:rPr>
          <w:sz w:val="20"/>
          <w:szCs w:val="20"/>
        </w:rPr>
      </w:pPr>
      <w:r w:rsidRPr="007E415C">
        <w:rPr>
          <w:b/>
          <w:sz w:val="20"/>
          <w:szCs w:val="20"/>
        </w:rPr>
        <w:t>Kaynak:</w:t>
      </w:r>
      <w:r w:rsidRPr="00463693">
        <w:rPr>
          <w:sz w:val="20"/>
          <w:szCs w:val="20"/>
        </w:rPr>
        <w:t xml:space="preserve"> </w:t>
      </w:r>
      <w:r w:rsidR="00463693">
        <w:rPr>
          <w:sz w:val="20"/>
          <w:szCs w:val="20"/>
        </w:rPr>
        <w:t>World Energy Outlook 2011: 214</w:t>
      </w:r>
    </w:p>
    <w:p w:rsidR="00B2456B" w:rsidRDefault="00B2456B" w:rsidP="00EE51A5">
      <w:pPr>
        <w:spacing w:before="240" w:after="240" w:line="360" w:lineRule="auto"/>
        <w:ind w:firstLine="708"/>
        <w:jc w:val="both"/>
      </w:pPr>
      <w:r>
        <w:t xml:space="preserve">Enerji verimliliği çerçevesinin geliştirilmesi, </w:t>
      </w:r>
      <w:r w:rsidR="006B2576">
        <w:t xml:space="preserve">hem </w:t>
      </w:r>
      <w:r>
        <w:t>küresel i</w:t>
      </w:r>
      <w:r w:rsidR="006B2576">
        <w:t>klim değişikliği taahhütlerinin hem</w:t>
      </w:r>
      <w:r w:rsidR="00595AC1">
        <w:t xml:space="preserve"> </w:t>
      </w:r>
      <w:r w:rsidR="006B2576">
        <w:t xml:space="preserve">de enerji arz güvenliğinin güçlendirilmesi bakımından uluslararası ve ulusal enerji politikaları her geçen gün daha önem arz etmektedir. Enerji verimliliği AB ve OECD ülkeleri açısından önemli bir politika olup, enerji verimliliği, kaynakların </w:t>
      </w:r>
      <w:r w:rsidR="006B2576">
        <w:lastRenderedPageBreak/>
        <w:t>optimal kullanılması, ekonomik büyümenin hızlanması, yaşam koşulların iyileştirilmesi ve sürdürülebilir kalkınmanın gerçekleşmesi de önem arz etmektedir.</w:t>
      </w:r>
    </w:p>
    <w:p w:rsidR="00AA01F9" w:rsidRDefault="00595AC1" w:rsidP="006736D9">
      <w:pPr>
        <w:spacing w:before="240" w:after="240" w:line="360" w:lineRule="auto"/>
        <w:ind w:firstLine="708"/>
        <w:jc w:val="both"/>
      </w:pPr>
      <w:r>
        <w:t xml:space="preserve">Avrupa Birliği </w:t>
      </w:r>
      <w:r w:rsidR="003463A8">
        <w:t>sera gazı</w:t>
      </w:r>
      <w:r w:rsidR="00CF3666">
        <w:t xml:space="preserve"> emisyonlarını</w:t>
      </w:r>
      <w:r w:rsidR="006213BA">
        <w:t>n</w:t>
      </w:r>
      <w:r w:rsidR="00CF3666" w:rsidRPr="00CF3666">
        <w:t xml:space="preserve"> 1990 yılına göre en az yüzde 20 azaltılması, enerji tüketiminde yenilenebilir enerjinin payının yüzde 20 artırılması ve enerji verimliliğinin yüzde 20 artırılması enerji boyutunda diğer hedeflerdir</w:t>
      </w:r>
      <w:r w:rsidR="00C35790">
        <w:rPr>
          <w:rStyle w:val="DipnotBavurusu"/>
        </w:rPr>
        <w:footnoteReference w:id="11"/>
      </w:r>
      <w:r w:rsidR="00CF3666" w:rsidRPr="00CF3666">
        <w:t>.</w:t>
      </w:r>
      <w:r w:rsidR="00CF3666">
        <w:t xml:space="preserve"> </w:t>
      </w:r>
      <w:r w:rsidR="00CF3666" w:rsidRPr="00CF3666">
        <w:t>Sürdürülebilir büyüme önceliğinin altında daha verimli, daha çevreci ve daha rekabetçi bir ekonomi yaratma gayretleri var. Bu yaklaşım AB’nin düşük karbon gayretlerine, çevresel düşüşün engellenmesine, biyolojik çeşitliliğin kaybolmasının önlenmesine ve kaynakların sürdürülebilir kullanımına katkı sağlayacaktır. Böylece ekonomik, sosyal ve çevresel dayanışma desteklenmiş olacaktır.</w:t>
      </w:r>
    </w:p>
    <w:p w:rsidR="00EE51A5" w:rsidRDefault="00306600" w:rsidP="006736D9">
      <w:pPr>
        <w:spacing w:before="240" w:after="240" w:line="360" w:lineRule="auto"/>
        <w:ind w:firstLine="708"/>
        <w:jc w:val="both"/>
      </w:pPr>
      <w:r>
        <w:t>Günümüzde AB toplam enerji tüketiminin %50’sini ithal ederken, 2030 yılında bu ithalatı %65’e yaklaşacağı varsayılmaktadır. Ayrıca doğal gaz ithalatının da %57’den 2030 yılında %84</w:t>
      </w:r>
      <w:r w:rsidR="006213BA">
        <w:t xml:space="preserve">’e yükseleceği </w:t>
      </w:r>
      <w:r>
        <w:t>ve petrol ithalatının %82’den %93’e çıkacağı tahmin edilmektedir.</w:t>
      </w:r>
      <w:r>
        <w:rPr>
          <w:rStyle w:val="DipnotBavurusu"/>
        </w:rPr>
        <w:footnoteReference w:id="12"/>
      </w:r>
      <w:r>
        <w:t xml:space="preserve"> </w:t>
      </w:r>
      <w:r w:rsidR="003E367C">
        <w:t>AB enerji verimliliğini arttırmak ve CO</w:t>
      </w:r>
      <w:r w:rsidR="003E367C">
        <w:rPr>
          <w:vertAlign w:val="subscript"/>
        </w:rPr>
        <w:t>2</w:t>
      </w:r>
      <w:r w:rsidR="003E367C">
        <w:t xml:space="preserve"> emisyonlarını azaltmak için birtakım güvenlik tedbirleri almıştır. Bu güvenlik tedbirlerine göre 2030 yılında doğal gaz ve petrol ithalatını %20 azaltarak çevre kirlenmesini azaltmak istemektedir. </w:t>
      </w:r>
    </w:p>
    <w:p w:rsidR="00425C40" w:rsidRDefault="00425C40" w:rsidP="006736D9">
      <w:pPr>
        <w:spacing w:before="240" w:after="240" w:line="360" w:lineRule="auto"/>
        <w:ind w:firstLine="708"/>
        <w:jc w:val="both"/>
      </w:pPr>
    </w:p>
    <w:p w:rsidR="002872B7" w:rsidRPr="002872B7" w:rsidRDefault="00B363F0" w:rsidP="00B11F2A">
      <w:pPr>
        <w:pStyle w:val="stil1"/>
        <w:spacing w:before="120" w:after="120"/>
      </w:pPr>
      <w:bookmarkStart w:id="122" w:name="_Toc382298157"/>
      <w:r>
        <w:lastRenderedPageBreak/>
        <w:t xml:space="preserve">Şekil </w:t>
      </w:r>
      <w:proofErr w:type="gramStart"/>
      <w:r>
        <w:t>2.7</w:t>
      </w:r>
      <w:proofErr w:type="gramEnd"/>
      <w:r w:rsidR="002872B7" w:rsidRPr="002872B7">
        <w:t xml:space="preserve">: </w:t>
      </w:r>
      <w:r w:rsidR="002872B7">
        <w:t>Dünyada Enerji Verimliliği Konusunda Alınan Ö</w:t>
      </w:r>
      <w:r w:rsidR="002872B7" w:rsidRPr="002872B7">
        <w:t>nlemler</w:t>
      </w:r>
      <w:bookmarkEnd w:id="122"/>
    </w:p>
    <w:p w:rsidR="00EE51A5" w:rsidRDefault="00EE51A5" w:rsidP="00B11F2A">
      <w:pPr>
        <w:autoSpaceDE w:val="0"/>
        <w:autoSpaceDN w:val="0"/>
        <w:adjustRightInd w:val="0"/>
        <w:spacing w:before="120" w:after="120"/>
        <w:rPr>
          <w:sz w:val="20"/>
          <w:szCs w:val="20"/>
        </w:rPr>
      </w:pPr>
      <w:r>
        <w:rPr>
          <w:rFonts w:ascii="TimesNewRomanPSMT" w:hAnsi="TimesNewRomanPSMT" w:cs="TimesNewRomanPSMT"/>
          <w:noProof/>
          <w:sz w:val="22"/>
          <w:szCs w:val="22"/>
          <w:lang w:eastAsia="tr-TR"/>
        </w:rPr>
        <w:drawing>
          <wp:inline distT="0" distB="0" distL="0" distR="0" wp14:anchorId="4F4EB086" wp14:editId="18D6DA7A">
            <wp:extent cx="5400040" cy="3175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400040" cy="3175000"/>
                    </a:xfrm>
                    <a:prstGeom prst="rect">
                      <a:avLst/>
                    </a:prstGeom>
                    <a:noFill/>
                    <a:ln w="9525">
                      <a:noFill/>
                      <a:miter lim="800000"/>
                      <a:headEnd/>
                      <a:tailEnd/>
                    </a:ln>
                  </pic:spPr>
                </pic:pic>
              </a:graphicData>
            </a:graphic>
          </wp:inline>
        </w:drawing>
      </w:r>
      <w:r w:rsidRPr="00EE51A5">
        <w:rPr>
          <w:sz w:val="20"/>
          <w:szCs w:val="20"/>
        </w:rPr>
        <w:t xml:space="preserve"> </w:t>
      </w:r>
    </w:p>
    <w:p w:rsidR="00EE51A5" w:rsidRPr="002872B7" w:rsidRDefault="007E415C" w:rsidP="00B11F2A">
      <w:pPr>
        <w:autoSpaceDE w:val="0"/>
        <w:autoSpaceDN w:val="0"/>
        <w:adjustRightInd w:val="0"/>
        <w:spacing w:before="120" w:after="120"/>
        <w:rPr>
          <w:rFonts w:ascii="TimesNewRomanPSMT" w:hAnsi="TimesNewRomanPSMT" w:cs="TimesNewRomanPSMT"/>
          <w:sz w:val="20"/>
          <w:szCs w:val="20"/>
        </w:rPr>
      </w:pPr>
      <w:r>
        <w:rPr>
          <w:rFonts w:ascii="TimesNewRomanPSMT" w:hAnsi="TimesNewRomanPSMT" w:cs="TimesNewRomanPSMT"/>
          <w:b/>
          <w:sz w:val="20"/>
          <w:szCs w:val="20"/>
        </w:rPr>
        <w:t>Kaynak</w:t>
      </w:r>
      <w:r w:rsidR="002872B7" w:rsidRPr="007E415C">
        <w:rPr>
          <w:rFonts w:ascii="TimesNewRomanPSMT" w:hAnsi="TimesNewRomanPSMT" w:cs="TimesNewRomanPSMT"/>
          <w:b/>
          <w:sz w:val="20"/>
          <w:szCs w:val="20"/>
        </w:rPr>
        <w:t>:</w:t>
      </w:r>
      <w:r w:rsidR="002872B7" w:rsidRPr="002872B7">
        <w:rPr>
          <w:rFonts w:ascii="TimesNewRomanPSMT" w:hAnsi="TimesNewRomanPSMT" w:cs="TimesNewRomanPSMT"/>
          <w:sz w:val="20"/>
          <w:szCs w:val="20"/>
        </w:rPr>
        <w:t xml:space="preserve"> </w:t>
      </w:r>
      <w:r w:rsidR="00EE51A5" w:rsidRPr="002872B7">
        <w:rPr>
          <w:rFonts w:ascii="TimesNewRomanPSMT" w:hAnsi="TimesNewRomanPSMT" w:cs="TimesNewRomanPSMT"/>
          <w:sz w:val="20"/>
          <w:szCs w:val="20"/>
        </w:rPr>
        <w:t>WEC, Energy Efficiency: A Reci</w:t>
      </w:r>
      <w:r w:rsidR="002872B7" w:rsidRPr="002872B7">
        <w:rPr>
          <w:rFonts w:ascii="TimesNewRomanPSMT" w:hAnsi="TimesNewRomanPSMT" w:cs="TimesNewRomanPSMT"/>
          <w:sz w:val="20"/>
          <w:szCs w:val="20"/>
        </w:rPr>
        <w:t>pe For Success, 2010;</w:t>
      </w:r>
      <w:r w:rsidR="002872B7">
        <w:rPr>
          <w:rFonts w:ascii="TimesNewRomanPSMT" w:hAnsi="TimesNewRomanPSMT" w:cs="TimesNewRomanPSMT"/>
          <w:sz w:val="20"/>
          <w:szCs w:val="20"/>
        </w:rPr>
        <w:t xml:space="preserve"> </w:t>
      </w:r>
      <w:r w:rsidR="002872B7">
        <w:rPr>
          <w:sz w:val="20"/>
          <w:szCs w:val="20"/>
        </w:rPr>
        <w:t>TMMOB Enerji Verimliliği Raporu, 2012.</w:t>
      </w:r>
    </w:p>
    <w:p w:rsidR="002872B7" w:rsidRDefault="00AE6132" w:rsidP="000470FE">
      <w:pPr>
        <w:autoSpaceDE w:val="0"/>
        <w:autoSpaceDN w:val="0"/>
        <w:adjustRightInd w:val="0"/>
        <w:spacing w:before="240" w:after="240" w:line="360" w:lineRule="auto"/>
        <w:jc w:val="both"/>
        <w:rPr>
          <w:rFonts w:ascii="TimesNewRomanPSMT" w:hAnsi="TimesNewRomanPSMT" w:cs="TimesNewRomanPSMT"/>
        </w:rPr>
      </w:pPr>
      <w:r>
        <w:rPr>
          <w:rFonts w:ascii="TimesNewRomanPSMT" w:hAnsi="TimesNewRomanPSMT" w:cs="TimesNewRomanPSMT"/>
        </w:rPr>
        <w:tab/>
        <w:t xml:space="preserve">Enerji verimliliği için pek çok alanda değişik programlar uygulanarak farklı tedbirler almak mümkündür. </w:t>
      </w:r>
      <w:r w:rsidR="00056A16">
        <w:rPr>
          <w:rFonts w:ascii="TimesNewRomanPSMT" w:hAnsi="TimesNewRomanPSMT" w:cs="TimesNewRomanPSMT"/>
        </w:rPr>
        <w:t xml:space="preserve">Şekil </w:t>
      </w:r>
      <w:proofErr w:type="gramStart"/>
      <w:r w:rsidR="00056A16">
        <w:rPr>
          <w:rFonts w:ascii="TimesNewRomanPSMT" w:hAnsi="TimesNewRomanPSMT" w:cs="TimesNewRomanPSMT"/>
        </w:rPr>
        <w:t>2.7’de</w:t>
      </w:r>
      <w:proofErr w:type="gramEnd"/>
      <w:r w:rsidR="00056A16">
        <w:rPr>
          <w:rFonts w:ascii="TimesNewRomanPSMT" w:hAnsi="TimesNewRomanPSMT" w:cs="TimesNewRomanPSMT"/>
        </w:rPr>
        <w:t xml:space="preserve"> dünyada enerji verimliliği konusunda alınan önlemler gösterilmektedir. Enerji verimliliği arttırmada kullanılan en etkili yöntemin etiketleme olduğu görülmektedir. </w:t>
      </w:r>
    </w:p>
    <w:p w:rsidR="00EE51A5" w:rsidRDefault="007F6F5D" w:rsidP="000470FE">
      <w:pPr>
        <w:autoSpaceDE w:val="0"/>
        <w:autoSpaceDN w:val="0"/>
        <w:adjustRightInd w:val="0"/>
        <w:spacing w:before="240" w:after="240" w:line="360" w:lineRule="auto"/>
        <w:ind w:firstLine="708"/>
        <w:jc w:val="both"/>
      </w:pPr>
      <w:r>
        <w:t>Enerji verimliliğiyle ilgili</w:t>
      </w:r>
      <w:r w:rsidR="00EE51A5" w:rsidRPr="00144DE8">
        <w:t xml:space="preserve"> bugüne kadarki deneyimler göstermektedir ki; en önemli konu devletin</w:t>
      </w:r>
      <w:r w:rsidR="00846E15">
        <w:t xml:space="preserve"> </w:t>
      </w:r>
      <w:r w:rsidR="00EE51A5" w:rsidRPr="00144DE8">
        <w:t>[minimum enerji verimliliği (performans) standartlar</w:t>
      </w:r>
      <w:r w:rsidR="00846E15">
        <w:t xml:space="preserve">ı, etiketleme, zorunlu etütler, </w:t>
      </w:r>
      <w:r w:rsidR="00EE51A5" w:rsidRPr="00144DE8">
        <w:t>enerji yöneticisi bulundurma, tüketimlerin bildiri</w:t>
      </w:r>
      <w:r w:rsidR="00846E15">
        <w:t xml:space="preserve">lmesi gibi konularda] düzenleme </w:t>
      </w:r>
      <w:r w:rsidR="00EE51A5" w:rsidRPr="00144DE8">
        <w:t>yapmasının yanı sıra, enerji verimliliği uygulamala</w:t>
      </w:r>
      <w:r w:rsidR="00846E15">
        <w:t xml:space="preserve">rını ekonomik ve mali konularda </w:t>
      </w:r>
      <w:r w:rsidR="00EE51A5" w:rsidRPr="00144DE8">
        <w:t>(teşvik, vergi indirimi, düşük faizli kredilerle) desteklemesi ve öncülük etmesidir.</w:t>
      </w:r>
      <w:r w:rsidR="00846E15">
        <w:rPr>
          <w:rStyle w:val="DipnotBavurusu"/>
        </w:rPr>
        <w:footnoteReference w:id="13"/>
      </w:r>
    </w:p>
    <w:p w:rsidR="00EE51A5" w:rsidRDefault="00EE51A5" w:rsidP="000470FE">
      <w:pPr>
        <w:autoSpaceDE w:val="0"/>
        <w:autoSpaceDN w:val="0"/>
        <w:adjustRightInd w:val="0"/>
        <w:spacing w:before="240" w:after="240" w:line="360" w:lineRule="auto"/>
        <w:ind w:firstLine="708"/>
        <w:jc w:val="both"/>
      </w:pPr>
      <w:r w:rsidRPr="007A7B82">
        <w:t xml:space="preserve">Amerika Birleşik Devletleri </w:t>
      </w:r>
      <w:r>
        <w:t xml:space="preserve">(ABD) </w:t>
      </w:r>
      <w:r w:rsidRPr="007A7B82">
        <w:t>enerji verimliliğ</w:t>
      </w:r>
      <w:r>
        <w:t xml:space="preserve">i konusunda diğer ülkelere öncülük eden bir ülke olmuştur. </w:t>
      </w:r>
      <w:r w:rsidRPr="007A7B82">
        <w:t>ABD enerji verimliliği konusunda elde ettiği başarıyı yeterli görmeyerek</w:t>
      </w:r>
      <w:r>
        <w:t xml:space="preserve"> </w:t>
      </w:r>
      <w:r w:rsidRPr="007A7B82">
        <w:t>“Vision 2025” isimli bir Ulusal Eylem Planı hazırlamıştır. Bu plan</w:t>
      </w:r>
      <w:r>
        <w:t>da enerji verimliliği ile ilgili birçok madde hazırlayarak diğer ülkelere örnek teşkil etmiştir.</w:t>
      </w:r>
      <w:r w:rsidRPr="007A7B82">
        <w:t xml:space="preserve"> </w:t>
      </w:r>
    </w:p>
    <w:p w:rsidR="00EE51A5" w:rsidRDefault="00EE51A5" w:rsidP="000470FE">
      <w:pPr>
        <w:pStyle w:val="ListeParagraf"/>
        <w:spacing w:before="240" w:after="200" w:line="360" w:lineRule="auto"/>
        <w:ind w:left="0" w:firstLine="709"/>
        <w:jc w:val="both"/>
      </w:pPr>
      <w:r w:rsidRPr="00964253">
        <w:lastRenderedPageBreak/>
        <w:t xml:space="preserve">Enerji verimliliğinin artması </w:t>
      </w:r>
      <w:r>
        <w:t>uluslar</w:t>
      </w:r>
      <w:r w:rsidRPr="00964253">
        <w:t>arası enerji tüketimini azaltmaktadır. Enerji tüketiminin azalması ise uluslar arası CO</w:t>
      </w:r>
      <w:r w:rsidRPr="00964253">
        <w:rPr>
          <w:vertAlign w:val="subscript"/>
        </w:rPr>
        <w:t>2</w:t>
      </w:r>
      <w:r w:rsidRPr="00964253">
        <w:t xml:space="preserve"> emisyonunu azaltacaktır (</w:t>
      </w:r>
      <w:proofErr w:type="gramStart"/>
      <w:r w:rsidRPr="00964253">
        <w:t>Herring , 2006</w:t>
      </w:r>
      <w:proofErr w:type="gramEnd"/>
      <w:r w:rsidRPr="00964253">
        <w:t>:10).</w:t>
      </w:r>
      <w:r>
        <w:t xml:space="preserve"> Enerji verimliliğinin geliştirilmesi yönünde AB komisyonu tarafından 2005 yılında “Yeşil Kitap”</w:t>
      </w:r>
      <w:r w:rsidRPr="001E3205">
        <w:rPr>
          <w:rFonts w:ascii="Arial" w:hAnsi="Arial" w:cs="Arial"/>
        </w:rPr>
        <w:t xml:space="preserve"> </w:t>
      </w:r>
      <w:r>
        <w:rPr>
          <w:rFonts w:ascii="Arial" w:hAnsi="Arial" w:cs="Arial"/>
        </w:rPr>
        <w:t>(</w:t>
      </w:r>
      <w:r w:rsidRPr="001E3205">
        <w:t>Green Paper</w:t>
      </w:r>
      <w:r>
        <w:t>) yayınlanmıştır. Bu kitapta enerji politikalarına, enerji verimliliğinin geliştirilmesine ve binaların ener</w:t>
      </w:r>
      <w:r w:rsidR="00AE6132">
        <w:t>j</w:t>
      </w:r>
      <w:r>
        <w:t xml:space="preserve">i performansların geliştirilmesi üzerinde durulmuştur. </w:t>
      </w:r>
    </w:p>
    <w:p w:rsidR="00AE6132" w:rsidRPr="00FE2B9A" w:rsidRDefault="00AE6132" w:rsidP="00B11F2A">
      <w:pPr>
        <w:pStyle w:val="stil1"/>
        <w:spacing w:before="120" w:after="120"/>
      </w:pPr>
      <w:bookmarkStart w:id="123" w:name="_Toc382298158"/>
      <w:r>
        <w:t xml:space="preserve">Şekil </w:t>
      </w:r>
      <w:proofErr w:type="gramStart"/>
      <w:r>
        <w:t>2.8</w:t>
      </w:r>
      <w:proofErr w:type="gramEnd"/>
      <w:r w:rsidRPr="00FE2B9A">
        <w:t xml:space="preserve">: Avrupa Birliği’nin Enerji Verimliliği Hedefleri </w:t>
      </w:r>
      <w:r w:rsidRPr="00FE2B9A">
        <w:rPr>
          <w:rStyle w:val="DipnotBavurusu"/>
        </w:rPr>
        <w:footnoteReference w:id="14"/>
      </w:r>
      <w:bookmarkEnd w:id="123"/>
    </w:p>
    <w:p w:rsidR="00AE6132" w:rsidRDefault="00AE6132" w:rsidP="00B11F2A">
      <w:pPr>
        <w:spacing w:before="120" w:after="120"/>
      </w:pPr>
      <w:r>
        <w:rPr>
          <w:noProof/>
          <w:lang w:eastAsia="tr-TR"/>
        </w:rPr>
        <w:drawing>
          <wp:inline distT="0" distB="0" distL="0" distR="0" wp14:anchorId="05882CFA" wp14:editId="54321E34">
            <wp:extent cx="5400040" cy="303403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5400040" cy="3034030"/>
                    </a:xfrm>
                    <a:prstGeom prst="rect">
                      <a:avLst/>
                    </a:prstGeom>
                    <a:noFill/>
                    <a:ln w="9525">
                      <a:noFill/>
                      <a:miter lim="800000"/>
                      <a:headEnd/>
                      <a:tailEnd/>
                    </a:ln>
                  </pic:spPr>
                </pic:pic>
              </a:graphicData>
            </a:graphic>
          </wp:inline>
        </w:drawing>
      </w:r>
    </w:p>
    <w:p w:rsidR="00AE6132" w:rsidRDefault="00AE6132" w:rsidP="00B11F2A">
      <w:pPr>
        <w:spacing w:before="120" w:after="120"/>
        <w:jc w:val="both"/>
      </w:pPr>
      <w:r w:rsidRPr="00FE2B9A">
        <w:rPr>
          <w:b/>
          <w:sz w:val="20"/>
          <w:szCs w:val="20"/>
        </w:rPr>
        <w:t>Kaynak:</w:t>
      </w:r>
      <w:r>
        <w:rPr>
          <w:sz w:val="20"/>
          <w:szCs w:val="20"/>
        </w:rPr>
        <w:t xml:space="preserve"> TMMOB Enerji Verimliliği Raporu, 2012.</w:t>
      </w:r>
    </w:p>
    <w:p w:rsidR="00EE51A5" w:rsidRDefault="00EE51A5" w:rsidP="00AE6132">
      <w:pPr>
        <w:autoSpaceDE w:val="0"/>
        <w:autoSpaceDN w:val="0"/>
        <w:adjustRightInd w:val="0"/>
        <w:spacing w:before="240" w:after="240" w:line="360" w:lineRule="auto"/>
        <w:ind w:firstLine="708"/>
        <w:jc w:val="both"/>
      </w:pPr>
      <w:r w:rsidRPr="00F75B47">
        <w:t>AB ülkelerinde 2020’ye kadar sera gazlarında %20 düşüş sağlanması, enerji</w:t>
      </w:r>
      <w:r>
        <w:t xml:space="preserve"> </w:t>
      </w:r>
      <w:r w:rsidRPr="00F75B47">
        <w:t xml:space="preserve">tüketiminde yenilenebilir kaynakların oranının %20’ye </w:t>
      </w:r>
      <w:r w:rsidR="006213BA">
        <w:t>arttırılması</w:t>
      </w:r>
      <w:r w:rsidRPr="00F75B47">
        <w:t>, enerji tüketiminde</w:t>
      </w:r>
      <w:r w:rsidR="006213BA">
        <w:t>;</w:t>
      </w:r>
      <w:r>
        <w:t xml:space="preserve"> </w:t>
      </w:r>
      <w:r w:rsidRPr="00F75B47">
        <w:t xml:space="preserve">1990 tüketiminin %20 altına inilmesi hedeflenmişken, </w:t>
      </w:r>
      <w:r w:rsidR="00B363F0">
        <w:t xml:space="preserve">Şekil </w:t>
      </w:r>
      <w:proofErr w:type="gramStart"/>
      <w:r w:rsidR="00B363F0">
        <w:t>2.8’d</w:t>
      </w:r>
      <w:r w:rsidR="000C6BD0">
        <w:t>e</w:t>
      </w:r>
      <w:proofErr w:type="gramEnd"/>
      <w:r w:rsidRPr="00F75B47">
        <w:t xml:space="preserve"> görüleceği</w:t>
      </w:r>
      <w:r>
        <w:t xml:space="preserve"> </w:t>
      </w:r>
      <w:r w:rsidRPr="00F75B47">
        <w:t>üzere enerji tüketimi yönünden hedefin tutturulamayacağı (hesaplanan oran %9–10)</w:t>
      </w:r>
      <w:r>
        <w:t xml:space="preserve"> </w:t>
      </w:r>
      <w:r w:rsidRPr="00F75B47">
        <w:t>belirlenmiştir.</w:t>
      </w:r>
      <w:r>
        <w:rPr>
          <w:rStyle w:val="DipnotBavurusu"/>
        </w:rPr>
        <w:footnoteReference w:id="15"/>
      </w:r>
    </w:p>
    <w:p w:rsidR="00AA01F9" w:rsidRDefault="00376C0F" w:rsidP="0031716B">
      <w:pPr>
        <w:pStyle w:val="Balk3"/>
        <w:numPr>
          <w:ilvl w:val="0"/>
          <w:numId w:val="0"/>
        </w:numPr>
      </w:pPr>
      <w:bookmarkStart w:id="124" w:name="_Toc384823995"/>
      <w:r>
        <w:t>2.1.3</w:t>
      </w:r>
      <w:r w:rsidR="00AA01F9" w:rsidRPr="00623121">
        <w:t xml:space="preserve">. Karbon Yakalama ve Depolama </w:t>
      </w:r>
      <w:r w:rsidR="00B22373">
        <w:t>(</w:t>
      </w:r>
      <w:r w:rsidR="00C87FCF">
        <w:t xml:space="preserve">CCS - </w:t>
      </w:r>
      <w:r w:rsidR="00B22373" w:rsidRPr="000368D6">
        <w:t>Carbon Capture and Storage</w:t>
      </w:r>
      <w:r w:rsidR="00B22373">
        <w:t>)</w:t>
      </w:r>
      <w:bookmarkEnd w:id="124"/>
      <w:r w:rsidR="00B22373" w:rsidRPr="000368D6">
        <w:t xml:space="preserve"> </w:t>
      </w:r>
    </w:p>
    <w:p w:rsidR="004F5808" w:rsidRDefault="001473AA" w:rsidP="00AE6132">
      <w:pPr>
        <w:pStyle w:val="aperex2"/>
        <w:spacing w:before="240" w:after="240" w:line="360" w:lineRule="auto"/>
        <w:ind w:firstLine="708"/>
        <w:rPr>
          <w:b w:val="0"/>
        </w:rPr>
      </w:pPr>
      <w:r>
        <w:rPr>
          <w:b w:val="0"/>
        </w:rPr>
        <w:t xml:space="preserve">Gelişen teknoloji, küresel ısınmaya neden olan sera gazlarının yok edilmesi sistemleri üzerinde çalışmaktadır. </w:t>
      </w:r>
      <w:r w:rsidR="00362916" w:rsidRPr="009210EF">
        <w:rPr>
          <w:b w:val="0"/>
          <w:color w:val="auto"/>
        </w:rPr>
        <w:t>Bu bağlamda en kapsamlı</w:t>
      </w:r>
      <w:r w:rsidR="009210EF" w:rsidRPr="009210EF">
        <w:rPr>
          <w:b w:val="0"/>
          <w:color w:val="auto"/>
        </w:rPr>
        <w:t xml:space="preserve"> </w:t>
      </w:r>
      <w:r w:rsidR="00182D3E">
        <w:rPr>
          <w:b w:val="0"/>
        </w:rPr>
        <w:t>teknikler</w:t>
      </w:r>
      <w:r w:rsidR="004F5808" w:rsidRPr="005D58F3">
        <w:rPr>
          <w:b w:val="0"/>
        </w:rPr>
        <w:t xml:space="preserve"> arasında karbon tutma ve depolama (</w:t>
      </w:r>
      <w:r w:rsidR="00182D3E">
        <w:rPr>
          <w:b w:val="0"/>
        </w:rPr>
        <w:t xml:space="preserve">CCS - </w:t>
      </w:r>
      <w:r w:rsidR="004F5808" w:rsidRPr="005D58F3">
        <w:rPr>
          <w:b w:val="0"/>
        </w:rPr>
        <w:t xml:space="preserve">carbon capture and storage) </w:t>
      </w:r>
      <w:r w:rsidR="00182D3E">
        <w:rPr>
          <w:b w:val="0"/>
        </w:rPr>
        <w:t>kullanılmaktadır</w:t>
      </w:r>
      <w:r w:rsidR="00381F2E" w:rsidRPr="005D58F3">
        <w:rPr>
          <w:b w:val="0"/>
        </w:rPr>
        <w:t xml:space="preserve">. </w:t>
      </w:r>
      <w:r w:rsidR="00182D3E">
        <w:rPr>
          <w:b w:val="0"/>
        </w:rPr>
        <w:t>F</w:t>
      </w:r>
      <w:r w:rsidR="004F5808" w:rsidRPr="005D58F3">
        <w:rPr>
          <w:b w:val="0"/>
        </w:rPr>
        <w:t xml:space="preserve">osil yakıt kaynaklı termik santraller </w:t>
      </w:r>
      <w:r w:rsidR="00182D3E">
        <w:rPr>
          <w:b w:val="0"/>
        </w:rPr>
        <w:t xml:space="preserve">tarafından salınan </w:t>
      </w:r>
      <w:r w:rsidR="004F5808" w:rsidRPr="005D58F3">
        <w:rPr>
          <w:b w:val="0"/>
        </w:rPr>
        <w:t>karbondioksitin tutulmasında kullan</w:t>
      </w:r>
      <w:r w:rsidR="00182D3E">
        <w:rPr>
          <w:b w:val="0"/>
        </w:rPr>
        <w:t xml:space="preserve">ılması </w:t>
      </w:r>
      <w:r w:rsidR="00182D3E">
        <w:rPr>
          <w:b w:val="0"/>
        </w:rPr>
        <w:lastRenderedPageBreak/>
        <w:t xml:space="preserve">önerilen </w:t>
      </w:r>
      <w:r w:rsidR="004F5808" w:rsidRPr="005D58F3">
        <w:rPr>
          <w:b w:val="0"/>
        </w:rPr>
        <w:t xml:space="preserve">karbon yakalama ve karbon depolama CCS teknolojisi </w:t>
      </w:r>
      <w:r w:rsidR="00182D3E">
        <w:rPr>
          <w:b w:val="0"/>
        </w:rPr>
        <w:t xml:space="preserve">yeni bir teknolojidir. </w:t>
      </w:r>
      <w:r w:rsidR="004F5808" w:rsidRPr="005D58F3">
        <w:rPr>
          <w:b w:val="0"/>
        </w:rPr>
        <w:t>Ancak şimdilik CCS teknolojisi maliyeti son derece pahalıdır.</w:t>
      </w:r>
      <w:r w:rsidR="00A55D31">
        <w:rPr>
          <w:rStyle w:val="DipnotBavurusu"/>
          <w:b w:val="0"/>
        </w:rPr>
        <w:footnoteReference w:id="16"/>
      </w:r>
    </w:p>
    <w:p w:rsidR="00262D99" w:rsidRPr="005D58F3" w:rsidRDefault="00262D99" w:rsidP="001D3A0B">
      <w:pPr>
        <w:pStyle w:val="aperex2"/>
        <w:spacing w:before="240" w:after="240" w:line="360" w:lineRule="auto"/>
        <w:ind w:firstLine="708"/>
        <w:rPr>
          <w:b w:val="0"/>
        </w:rPr>
      </w:pPr>
      <w:r w:rsidRPr="00262D99">
        <w:rPr>
          <w:b w:val="0"/>
        </w:rPr>
        <w:t>Dünyada artan enerji talebi sonucunda fosil yakıt kullanımının artması atmosferde karbondioksit yoğunluğunda önemli artışlara sebep olmaktadır. Bu artış yavaşlama eğilimi göstermektedir. Ancak Uluslararası Enerji Ajansı’nın (IEA) 2010 ana tahmin senaryosuna göre, enerji talebinin artmasıyla 2008-2035 döneminde CO</w:t>
      </w:r>
      <w:r w:rsidRPr="00A62083">
        <w:rPr>
          <w:b w:val="0"/>
          <w:vertAlign w:val="subscript"/>
        </w:rPr>
        <w:t>2</w:t>
      </w:r>
      <w:r w:rsidRPr="00262D99">
        <w:rPr>
          <w:b w:val="0"/>
        </w:rPr>
        <w:t xml:space="preserve"> emisyonu % 21 oranında artış gösterecektir. Bu artışa en önemli katkıyı gelişmekte olan ülkeler yapacaklardır. </w:t>
      </w:r>
      <w:r w:rsidR="003463A8">
        <w:rPr>
          <w:b w:val="0"/>
        </w:rPr>
        <w:t>Sera gazı</w:t>
      </w:r>
      <w:r w:rsidRPr="00262D99">
        <w:rPr>
          <w:b w:val="0"/>
        </w:rPr>
        <w:t xml:space="preserve"> emisyonlarındaki bu artış miktarı, küresel iklim değişikliği sıcaklık miktarını 2</w:t>
      </w:r>
      <w:r w:rsidR="00907AE3">
        <w:rPr>
          <w:b w:val="0"/>
        </w:rPr>
        <w:t xml:space="preserve"> </w:t>
      </w:r>
      <w:r w:rsidRPr="00262D99">
        <w:rPr>
          <w:b w:val="0"/>
        </w:rPr>
        <w:t>ºC çıkardığında birçok şey için geç kalınmış olacaktır.</w:t>
      </w:r>
      <w:r w:rsidR="001C0BDF">
        <w:rPr>
          <w:rStyle w:val="DipnotBavurusu"/>
          <w:b w:val="0"/>
        </w:rPr>
        <w:footnoteReference w:id="17"/>
      </w:r>
    </w:p>
    <w:p w:rsidR="00C87FCF" w:rsidRPr="005D58F3" w:rsidRDefault="00C87FCF" w:rsidP="001D3A0B">
      <w:pPr>
        <w:pStyle w:val="aperex2"/>
        <w:spacing w:before="240" w:after="240" w:line="360" w:lineRule="auto"/>
        <w:ind w:firstLine="708"/>
        <w:rPr>
          <w:b w:val="0"/>
        </w:rPr>
      </w:pPr>
      <w:r w:rsidRPr="005D58F3">
        <w:rPr>
          <w:b w:val="0"/>
        </w:rPr>
        <w:t>Karbon yakalama ve depolama teknolojisi Avrupa Birliğinin (AB) 2020 yılı sonrası için gördüğü en etkili karbondioksit azaltım teknolojisi olarak d</w:t>
      </w:r>
      <w:r w:rsidR="001D3A0B" w:rsidRPr="005D58F3">
        <w:rPr>
          <w:b w:val="0"/>
        </w:rPr>
        <w:t xml:space="preserve">eğerlendirilmektedir. Fosil </w:t>
      </w:r>
      <w:r w:rsidR="00D379E0" w:rsidRPr="005D58F3">
        <w:rPr>
          <w:b w:val="0"/>
        </w:rPr>
        <w:t xml:space="preserve">yakıtların yoğun kullanıldığı enerji santrallerine entegre etmek üzere atmosfere salınacak sera gazlarının çeşitli formatlarla depolamayı içermektedir. </w:t>
      </w:r>
    </w:p>
    <w:p w:rsidR="001D3A0B" w:rsidRDefault="00E3513E" w:rsidP="00E3513E">
      <w:pPr>
        <w:pStyle w:val="aperex2"/>
        <w:spacing w:before="240" w:after="240" w:line="360" w:lineRule="auto"/>
        <w:rPr>
          <w:b w:val="0"/>
        </w:rPr>
      </w:pPr>
      <w:r>
        <w:rPr>
          <w:b w:val="0"/>
          <w:lang w:val="en"/>
        </w:rPr>
        <w:tab/>
      </w:r>
      <w:r w:rsidRPr="004905E7">
        <w:rPr>
          <w:b w:val="0"/>
        </w:rPr>
        <w:t>CO</w:t>
      </w:r>
      <w:r w:rsidRPr="004905E7">
        <w:rPr>
          <w:b w:val="0"/>
          <w:vertAlign w:val="subscript"/>
        </w:rPr>
        <w:t>2</w:t>
      </w:r>
      <w:r w:rsidRPr="004905E7">
        <w:rPr>
          <w:b w:val="0"/>
        </w:rPr>
        <w:t>’nin yeraltı katmanında depolanması konusunda Avrupa Mükemmeliyet Ağı (CO</w:t>
      </w:r>
      <w:r w:rsidRPr="004905E7">
        <w:rPr>
          <w:b w:val="0"/>
          <w:vertAlign w:val="subscript"/>
        </w:rPr>
        <w:t>2</w:t>
      </w:r>
      <w:r w:rsidRPr="004905E7">
        <w:rPr>
          <w:b w:val="0"/>
        </w:rPr>
        <w:t xml:space="preserve">GeoNet) kurulmuştur. Bu </w:t>
      </w:r>
      <w:r w:rsidR="00FA67C6" w:rsidRPr="004905E7">
        <w:rPr>
          <w:b w:val="0"/>
        </w:rPr>
        <w:t xml:space="preserve">ağ, </w:t>
      </w:r>
      <w:r w:rsidR="004905E7" w:rsidRPr="004905E7">
        <w:rPr>
          <w:b w:val="0"/>
        </w:rPr>
        <w:t>Avrupa Bili</w:t>
      </w:r>
      <w:r w:rsidRPr="004905E7">
        <w:rPr>
          <w:b w:val="0"/>
        </w:rPr>
        <w:t>msel Topluluğu Avrupa Komisyonu tarafından 6. Taslak Programı (EC FP6 anlaşması 2004-2009) altında Mükemmeliyet Ağı olarak başlamıştır. CO2GeoNet,</w:t>
      </w:r>
      <w:r w:rsidR="00FA67C6" w:rsidRPr="004905E7">
        <w:rPr>
          <w:b w:val="0"/>
        </w:rPr>
        <w:t xml:space="preserve"> </w:t>
      </w:r>
      <w:r w:rsidRPr="004905E7">
        <w:rPr>
          <w:b w:val="0"/>
        </w:rPr>
        <w:t xml:space="preserve"> Avrupa</w:t>
      </w:r>
      <w:r w:rsidR="00FA67C6" w:rsidRPr="004905E7">
        <w:rPr>
          <w:b w:val="0"/>
        </w:rPr>
        <w:t>’</w:t>
      </w:r>
      <w:r w:rsidRPr="004905E7">
        <w:rPr>
          <w:b w:val="0"/>
        </w:rPr>
        <w:t>nın 7 ülkesinden 13 bilimsel kuru</w:t>
      </w:r>
      <w:r w:rsidR="00FA67C6" w:rsidRPr="004905E7">
        <w:rPr>
          <w:b w:val="0"/>
        </w:rPr>
        <w:t xml:space="preserve">mundan oluşmaktadır. Bu ülkeler Almanya, Birleşik Krallık, Fransa, Danimarka, Norveç, İtalya ve Hollanda’dır. </w:t>
      </w:r>
      <w:r w:rsidR="006A0F9A" w:rsidRPr="004905E7">
        <w:rPr>
          <w:b w:val="0"/>
        </w:rPr>
        <w:t>Avrupa Birliği bu topluluğu Pan-Avrupa’ya hitap etmesi için büyütme kararı almıştır. CGS Europe projesi EC FP/ (2010-2013) tarafından finanse edilen bir çalışmadır. CGS Europe, CO</w:t>
      </w:r>
      <w:r w:rsidR="006A0F9A" w:rsidRPr="004905E7">
        <w:rPr>
          <w:b w:val="0"/>
          <w:vertAlign w:val="subscript"/>
        </w:rPr>
        <w:t>2</w:t>
      </w:r>
      <w:r w:rsidR="006A0F9A" w:rsidRPr="004905E7">
        <w:rPr>
          <w:b w:val="0"/>
        </w:rPr>
        <w:t>GeoNet Derneği’nin çekirdek yapısı ile 21 araştırma kurumunu bir araya getirmektedir. Bu proje (CGS Europe) Türkiye’nin de aralarında bulunduğu 28 Avrupa ülkesini (24 Üye Devlet ve 4 Ortak Ülke) bir araya getirmektedir.</w:t>
      </w:r>
      <w:r w:rsidR="00FA0F6F" w:rsidRPr="004905E7">
        <w:rPr>
          <w:b w:val="0"/>
        </w:rPr>
        <w:t xml:space="preserve"> CGS Europe’nin amacı, birçok bilim adamının bir araya geldiği havuzda, CO</w:t>
      </w:r>
      <w:r w:rsidR="00FA0F6F" w:rsidRPr="004905E7">
        <w:rPr>
          <w:b w:val="0"/>
          <w:vertAlign w:val="subscript"/>
        </w:rPr>
        <w:t>2</w:t>
      </w:r>
      <w:r w:rsidR="00FA0F6F" w:rsidRPr="004905E7">
        <w:rPr>
          <w:b w:val="0"/>
        </w:rPr>
        <w:t>’nin yeraltı katmanları arasında depolanması konusunda bilimsel bilgiler sağlamaktır.</w:t>
      </w:r>
      <w:r w:rsidR="00FA0F6F" w:rsidRPr="004905E7">
        <w:rPr>
          <w:rStyle w:val="DipnotBavurusu"/>
          <w:b w:val="0"/>
        </w:rPr>
        <w:footnoteReference w:id="18"/>
      </w:r>
    </w:p>
    <w:p w:rsidR="008A70CB" w:rsidRPr="004905E7" w:rsidRDefault="008A70CB" w:rsidP="00E3513E">
      <w:pPr>
        <w:pStyle w:val="aperex2"/>
        <w:spacing w:before="240" w:after="240" w:line="360" w:lineRule="auto"/>
        <w:rPr>
          <w:b w:val="0"/>
        </w:rPr>
      </w:pPr>
      <w:r>
        <w:rPr>
          <w:b w:val="0"/>
        </w:rPr>
        <w:tab/>
        <w:t>IPCC 3. Değerlendirme Raporu (TAR), hiçbir teknoloji seçeneğinin tek başına stabilizasyon sağlamak için gerekli emisyon indirgemelerinin tümünü başaramayacağını, yine de önlem amacıyla</w:t>
      </w:r>
      <w:r w:rsidR="00F77AEF">
        <w:rPr>
          <w:b w:val="0"/>
        </w:rPr>
        <w:t xml:space="preserve"> tedbirlerin gerektiğini belirtmektedir.</w:t>
      </w:r>
    </w:p>
    <w:p w:rsidR="00A04556" w:rsidRPr="0074444D" w:rsidRDefault="00376C0F" w:rsidP="00126FA4">
      <w:pPr>
        <w:pStyle w:val="Balk4"/>
      </w:pPr>
      <w:bookmarkStart w:id="125" w:name="_Toc384823996"/>
      <w:r w:rsidRPr="0074444D">
        <w:lastRenderedPageBreak/>
        <w:t>2.1.3</w:t>
      </w:r>
      <w:r w:rsidR="00A04556" w:rsidRPr="0074444D">
        <w:t xml:space="preserve">.1. </w:t>
      </w:r>
      <w:r w:rsidR="00B076A7" w:rsidRPr="00B042D0">
        <w:t>Karbon Yakalama ve Depolama Nedir?</w:t>
      </w:r>
      <w:bookmarkEnd w:id="125"/>
    </w:p>
    <w:p w:rsidR="00EB1F7A" w:rsidRDefault="00EB1F7A" w:rsidP="00EB1F7A">
      <w:pPr>
        <w:spacing w:before="240" w:after="240" w:line="360" w:lineRule="auto"/>
        <w:ind w:firstLine="709"/>
        <w:jc w:val="both"/>
      </w:pPr>
      <w:r>
        <w:t>CO</w:t>
      </w:r>
      <w:r>
        <w:rPr>
          <w:vertAlign w:val="subscript"/>
        </w:rPr>
        <w:t>2</w:t>
      </w:r>
      <w:r>
        <w:t xml:space="preserve">'nin endüstriyel veya enerji ile ilgili kaynaklardan ayrılmasından, depolama yerine taşınmasından ve atmosferden uzun süreli olarak </w:t>
      </w:r>
      <w:r w:rsidR="001F47BA">
        <w:t>izolasyonundan oluşan sürece denir. CO</w:t>
      </w:r>
      <w:r w:rsidR="001F47BA">
        <w:rPr>
          <w:vertAlign w:val="subscript"/>
        </w:rPr>
        <w:t>2</w:t>
      </w:r>
      <w:r>
        <w:t xml:space="preserve"> eski petrol ve gaz sahalarında, ticari olmayan kömür sahalarında ve tuz akiferlerinde</w:t>
      </w:r>
      <w:r w:rsidR="001F47BA">
        <w:rPr>
          <w:rStyle w:val="DipnotBavurusu"/>
        </w:rPr>
        <w:footnoteReference w:id="19"/>
      </w:r>
      <w:r>
        <w:t xml:space="preserve"> yer altında depolanabilir. Ayrıca okyanusa enjekte edilebilir. Aynı zamanda karbon yakalama ve coğrafi depolama (CCGS) olarak da bilinmektedir.</w:t>
      </w:r>
      <w:r>
        <w:rPr>
          <w:rStyle w:val="DipnotBavurusu"/>
        </w:rPr>
        <w:footnoteReference w:id="20"/>
      </w:r>
    </w:p>
    <w:p w:rsidR="0072673A" w:rsidRDefault="0072673A" w:rsidP="00EB1F7A">
      <w:pPr>
        <w:spacing w:before="240" w:after="240" w:line="360" w:lineRule="auto"/>
        <w:ind w:firstLine="709"/>
        <w:jc w:val="both"/>
      </w:pPr>
      <w:r>
        <w:t xml:space="preserve">Aynı zamanda </w:t>
      </w:r>
      <w:r w:rsidR="008A70CB">
        <w:t>k</w:t>
      </w:r>
      <w:r>
        <w:t>arbondioksit yak</w:t>
      </w:r>
      <w:r w:rsidR="008A70CB">
        <w:t>a</w:t>
      </w:r>
      <w:r>
        <w:t>lama ve depolaması, karbondioksitin endüstriden ve enerjiye ilişkin kaynaklardan alınarak depo bölgesine ve atmosferden uzun vadede ayırma işlemini içeren bir uygulamadır</w:t>
      </w:r>
      <w:r w:rsidR="00B82284">
        <w:rPr>
          <w:rStyle w:val="DipnotBavurusu"/>
        </w:rPr>
        <w:footnoteReference w:id="21"/>
      </w:r>
      <w:r>
        <w:t>.</w:t>
      </w:r>
    </w:p>
    <w:p w:rsidR="004977B7" w:rsidRDefault="002F02ED" w:rsidP="002F02ED">
      <w:pPr>
        <w:spacing w:before="240" w:after="240" w:line="360" w:lineRule="auto"/>
        <w:ind w:firstLine="709"/>
        <w:jc w:val="both"/>
      </w:pPr>
      <w:r w:rsidRPr="00B22373">
        <w:t xml:space="preserve">Küresel iklim değişikliği mücadelesi kapsamında karbon emisyonlarının yakalanması, tutulması ve depolanması teknolojileri konularında </w:t>
      </w:r>
      <w:r w:rsidR="004977B7">
        <w:t xml:space="preserve">bilimsel çalışmalar her geçen gün artmaktadır. Bu teknolojik gelişmelerle </w:t>
      </w:r>
      <w:r w:rsidRPr="00B22373">
        <w:t>karbondioksiti yakalayıp depola</w:t>
      </w:r>
      <w:r w:rsidR="004977B7">
        <w:t>mak ve muhafaza etmek mümkün hale gelmiştir.</w:t>
      </w:r>
      <w:r w:rsidRPr="00B22373">
        <w:t xml:space="preserve"> </w:t>
      </w:r>
      <w:r w:rsidR="004977B7">
        <w:t xml:space="preserve">Bu gelişmelerle </w:t>
      </w:r>
      <w:r w:rsidR="003463A8">
        <w:t>sera gazı</w:t>
      </w:r>
      <w:r w:rsidR="004977B7">
        <w:t xml:space="preserve"> </w:t>
      </w:r>
      <w:r w:rsidR="003463A8">
        <w:t xml:space="preserve">emisyonlarının </w:t>
      </w:r>
      <w:r w:rsidR="004977B7">
        <w:t>azaltılması ve küresel ısınmanın yavaşlatılması mümkün hale gelebilmektedir.</w:t>
      </w:r>
    </w:p>
    <w:p w:rsidR="002F02ED" w:rsidRPr="00B22373" w:rsidRDefault="002F02ED" w:rsidP="002F02ED">
      <w:pPr>
        <w:spacing w:before="240" w:after="240" w:line="360" w:lineRule="auto"/>
        <w:ind w:firstLine="709"/>
        <w:jc w:val="both"/>
      </w:pPr>
      <w:r w:rsidRPr="00B22373">
        <w:t>Bü</w:t>
      </w:r>
      <w:r w:rsidR="00F238D4">
        <w:t>tün fosil yakıtlar karbon içermektedir</w:t>
      </w:r>
      <w:r w:rsidRPr="00B22373">
        <w:t>. Yakıtın yanması sırasında</w:t>
      </w:r>
      <w:r>
        <w:t xml:space="preserve"> karbon oksijenle birleşerek CO</w:t>
      </w:r>
      <w:r>
        <w:rPr>
          <w:vertAlign w:val="subscript"/>
        </w:rPr>
        <w:t>2</w:t>
      </w:r>
      <w:r w:rsidRPr="00B22373">
        <w:t xml:space="preserve"> oluşturur. Karbonun yanma işleminden önce veya sonra </w:t>
      </w:r>
      <w:r w:rsidR="00F238D4">
        <w:t xml:space="preserve">bileşenlerine </w:t>
      </w:r>
      <w:r w:rsidRPr="00B22373">
        <w:t xml:space="preserve">ayırmak, elektrik santrallerinde olduğu gibi, </w:t>
      </w:r>
      <w:r>
        <w:t>CO</w:t>
      </w:r>
      <w:r>
        <w:rPr>
          <w:vertAlign w:val="subscript"/>
        </w:rPr>
        <w:t>2</w:t>
      </w:r>
      <w:r w:rsidRPr="00B22373">
        <w:t xml:space="preserve">’in atmosfere yayılımını önler. Bunun sonucunda </w:t>
      </w:r>
      <w:r w:rsidR="001C0BDF">
        <w:t>CO</w:t>
      </w:r>
      <w:r w:rsidR="001C0BDF">
        <w:rPr>
          <w:vertAlign w:val="subscript"/>
        </w:rPr>
        <w:t>2</w:t>
      </w:r>
      <w:r w:rsidRPr="00B22373">
        <w:t xml:space="preserve"> gazı tutulur ve uygun yeraltı depolama rezervlerine taşınır. Bu rezervler terk edilmiş petrol ve gaz sahaları, kömür yatakları veya akiferlerden oluşur.</w:t>
      </w:r>
    </w:p>
    <w:p w:rsidR="00A04556" w:rsidRPr="00B076A7" w:rsidRDefault="00376C0F" w:rsidP="00126FA4">
      <w:pPr>
        <w:pStyle w:val="Balk4"/>
      </w:pPr>
      <w:bookmarkStart w:id="126" w:name="_Toc384823997"/>
      <w:r>
        <w:t>2.1.3</w:t>
      </w:r>
      <w:r w:rsidR="00A04556" w:rsidRPr="00A04556">
        <w:t xml:space="preserve">.2. </w:t>
      </w:r>
      <w:r w:rsidR="00B076A7">
        <w:t>CO</w:t>
      </w:r>
      <w:r w:rsidR="00B076A7">
        <w:rPr>
          <w:vertAlign w:val="subscript"/>
        </w:rPr>
        <w:t>2</w:t>
      </w:r>
      <w:r w:rsidR="00B076A7">
        <w:t xml:space="preserve"> Neden Tutulur ve Depolanır?</w:t>
      </w:r>
      <w:bookmarkEnd w:id="126"/>
    </w:p>
    <w:p w:rsidR="00363B55" w:rsidRPr="008146D7" w:rsidRDefault="00363B55" w:rsidP="005840B3">
      <w:pPr>
        <w:spacing w:before="240" w:after="240" w:line="360" w:lineRule="auto"/>
        <w:ind w:firstLine="708"/>
        <w:jc w:val="both"/>
      </w:pPr>
      <w:r w:rsidRPr="00363B55">
        <w:t>Küresel ısınmanın temel sebebinin insan kaynaklı (antropojenik) olduğu binlerce bilim adamı tarafından ortaya konmaktadır. Her geçen gün de bu kanıtlar artarak devam etmektedir. Sanayi faaliyetlerinden en çok kullanılan f</w:t>
      </w:r>
      <w:r w:rsidR="00A04556" w:rsidRPr="00363B55">
        <w:t xml:space="preserve">osil yakıtların devamlı artan </w:t>
      </w:r>
      <w:r w:rsidR="00A04556" w:rsidRPr="008146D7">
        <w:t>tüket</w:t>
      </w:r>
      <w:r w:rsidRPr="008146D7">
        <w:t>imi sonucu atmosfere yayılan CO</w:t>
      </w:r>
      <w:r w:rsidRPr="008146D7">
        <w:rPr>
          <w:vertAlign w:val="subscript"/>
        </w:rPr>
        <w:t>2</w:t>
      </w:r>
      <w:r w:rsidR="00A04556" w:rsidRPr="008146D7">
        <w:t xml:space="preserve"> gazı küresel ısınmanın temel sebebidir. </w:t>
      </w:r>
      <w:r w:rsidRPr="008146D7">
        <w:t>1997’de Kyoto Protokolü’nde karbondioksit</w:t>
      </w:r>
      <w:r w:rsidR="005840B3" w:rsidRPr="008146D7">
        <w:t xml:space="preserve"> yoğunluğunun sabitlenmesi </w:t>
      </w:r>
      <w:proofErr w:type="gramStart"/>
      <w:r w:rsidR="005840B3" w:rsidRPr="008146D7">
        <w:t>ve  CO</w:t>
      </w:r>
      <w:r w:rsidR="005840B3" w:rsidRPr="008146D7">
        <w:rPr>
          <w:vertAlign w:val="subscript"/>
        </w:rPr>
        <w:t>2</w:t>
      </w:r>
      <w:proofErr w:type="gramEnd"/>
      <w:r w:rsidR="003463A8">
        <w:t xml:space="preserve"> emisyonları</w:t>
      </w:r>
      <w:r w:rsidR="005840B3" w:rsidRPr="008146D7">
        <w:t>nın bugünküne kıyasla % 50 oranında azaltılması gerekliliği vurgulanmaktadır. Ayrıca 1997 yılı Kyoto Protokolü’nde 2012 yılında salınan CO</w:t>
      </w:r>
      <w:r w:rsidR="005840B3" w:rsidRPr="008146D7">
        <w:rPr>
          <w:vertAlign w:val="subscript"/>
        </w:rPr>
        <w:t>2</w:t>
      </w:r>
      <w:r w:rsidR="005840B3" w:rsidRPr="008146D7">
        <w:t xml:space="preserve"> miktarı 1990 yılındakine kıyasla </w:t>
      </w:r>
      <w:r w:rsidR="005840B3" w:rsidRPr="008146D7">
        <w:lastRenderedPageBreak/>
        <w:t xml:space="preserve">daha düşük bir emisyon salma kararı alındı. Gerekli azaltımlar 3 farklı ölçüm metoduyla </w:t>
      </w:r>
      <w:r w:rsidR="00A04556" w:rsidRPr="008146D7">
        <w:t>incelenebilir:</w:t>
      </w:r>
      <w:r w:rsidR="009C22FC">
        <w:rPr>
          <w:rStyle w:val="DipnotBavurusu"/>
        </w:rPr>
        <w:footnoteReference w:id="22"/>
      </w:r>
    </w:p>
    <w:p w:rsidR="00A04556" w:rsidRPr="008146D7" w:rsidRDefault="00A04556" w:rsidP="00363B55">
      <w:pPr>
        <w:spacing w:before="240" w:after="240" w:line="360" w:lineRule="auto"/>
        <w:jc w:val="both"/>
      </w:pPr>
      <w:r w:rsidRPr="008146D7">
        <w:t>• Enerji verimliliği artışları ve enerji talebindeki azalış</w:t>
      </w:r>
    </w:p>
    <w:p w:rsidR="00A04556" w:rsidRPr="008146D7" w:rsidRDefault="00A04556" w:rsidP="00A04556">
      <w:pPr>
        <w:spacing w:before="240" w:after="240" w:line="360" w:lineRule="auto"/>
        <w:jc w:val="both"/>
      </w:pPr>
      <w:r w:rsidRPr="008146D7">
        <w:t>• Yenilenebilir enerji kaynaklarının kullanımı</w:t>
      </w:r>
    </w:p>
    <w:p w:rsidR="00A04556" w:rsidRDefault="00A16FE6" w:rsidP="00A04556">
      <w:pPr>
        <w:spacing w:before="240" w:after="240" w:line="360" w:lineRule="auto"/>
        <w:jc w:val="both"/>
      </w:pPr>
      <w:r>
        <w:t>• Açığa çıkan CO</w:t>
      </w:r>
      <w:r>
        <w:rPr>
          <w:vertAlign w:val="subscript"/>
        </w:rPr>
        <w:t>2</w:t>
      </w:r>
      <w:r w:rsidR="00A04556" w:rsidRPr="008146D7">
        <w:t xml:space="preserve"> gazının tutulması ve depolanması</w:t>
      </w:r>
    </w:p>
    <w:p w:rsidR="00A16FE6" w:rsidRPr="00383F2F" w:rsidRDefault="00383F2F" w:rsidP="00B11F2A">
      <w:pPr>
        <w:pStyle w:val="stil1"/>
        <w:spacing w:before="120" w:after="120"/>
      </w:pPr>
      <w:bookmarkStart w:id="127" w:name="_Toc382298159"/>
      <w:r>
        <w:rPr>
          <w:noProof/>
          <w:lang w:eastAsia="tr-TR"/>
        </w:rPr>
        <w:drawing>
          <wp:anchor distT="0" distB="0" distL="114300" distR="114300" simplePos="0" relativeHeight="251671040" behindDoc="1" locked="0" layoutInCell="1" allowOverlap="1" wp14:anchorId="21BD9140" wp14:editId="007A0E5C">
            <wp:simplePos x="0" y="0"/>
            <wp:positionH relativeFrom="column">
              <wp:posOffset>-1270</wp:posOffset>
            </wp:positionH>
            <wp:positionV relativeFrom="paragraph">
              <wp:posOffset>491490</wp:posOffset>
            </wp:positionV>
            <wp:extent cx="5400040" cy="3141980"/>
            <wp:effectExtent l="19050" t="19050" r="10160" b="20320"/>
            <wp:wrapTight wrapText="bothSides">
              <wp:wrapPolygon edited="0">
                <wp:start x="-76" y="-131"/>
                <wp:lineTo x="-76" y="21609"/>
                <wp:lineTo x="21564" y="21609"/>
                <wp:lineTo x="21564" y="-131"/>
                <wp:lineTo x="-76" y="-131"/>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400040" cy="3141980"/>
                    </a:xfrm>
                    <a:prstGeom prst="rect">
                      <a:avLst/>
                    </a:prstGeom>
                    <a:ln>
                      <a:solidFill>
                        <a:schemeClr val="tx1"/>
                      </a:solidFill>
                      <a:prstDash val="solid"/>
                    </a:ln>
                  </pic:spPr>
                </pic:pic>
              </a:graphicData>
            </a:graphic>
            <wp14:sizeRelH relativeFrom="page">
              <wp14:pctWidth>0</wp14:pctWidth>
            </wp14:sizeRelH>
            <wp14:sizeRelV relativeFrom="page">
              <wp14:pctHeight>0</wp14:pctHeight>
            </wp14:sizeRelV>
          </wp:anchor>
        </w:drawing>
      </w:r>
      <w:r w:rsidR="002F5803">
        <w:t xml:space="preserve">Şekil </w:t>
      </w:r>
      <w:proofErr w:type="gramStart"/>
      <w:r w:rsidR="002F5803">
        <w:t>2.9</w:t>
      </w:r>
      <w:proofErr w:type="gramEnd"/>
      <w:r w:rsidR="00A16FE6">
        <w:t xml:space="preserve">: </w:t>
      </w:r>
      <w:r>
        <w:t>1997 Yılında, Yeryüzü ve Atmosfer Arasındaki CO</w:t>
      </w:r>
      <w:r>
        <w:rPr>
          <w:vertAlign w:val="subscript"/>
        </w:rPr>
        <w:t>2</w:t>
      </w:r>
      <w:r>
        <w:t xml:space="preserve"> Akısı (milyar ton karbon/yıl)</w:t>
      </w:r>
      <w:bookmarkEnd w:id="127"/>
    </w:p>
    <w:p w:rsidR="00A16FE6" w:rsidRDefault="00A16FE6" w:rsidP="00B11F2A">
      <w:pPr>
        <w:spacing w:before="120" w:after="120"/>
        <w:jc w:val="both"/>
        <w:rPr>
          <w:sz w:val="20"/>
          <w:szCs w:val="20"/>
        </w:rPr>
      </w:pPr>
      <w:r w:rsidRPr="00A16FE6">
        <w:rPr>
          <w:b/>
          <w:sz w:val="20"/>
          <w:szCs w:val="20"/>
        </w:rPr>
        <w:t xml:space="preserve">Kaynak: </w:t>
      </w:r>
      <w:r w:rsidRPr="00A16FE6">
        <w:rPr>
          <w:sz w:val="20"/>
          <w:szCs w:val="20"/>
        </w:rPr>
        <w:t>http://www.co2geonet.com</w:t>
      </w:r>
      <w:r w:rsidRPr="00A16FE6">
        <w:rPr>
          <w:b/>
          <w:sz w:val="20"/>
          <w:szCs w:val="20"/>
        </w:rPr>
        <w:t xml:space="preserve"> </w:t>
      </w:r>
      <w:r>
        <w:rPr>
          <w:sz w:val="20"/>
          <w:szCs w:val="20"/>
        </w:rPr>
        <w:t>(15</w:t>
      </w:r>
      <w:r w:rsidRPr="00A16FE6">
        <w:rPr>
          <w:sz w:val="20"/>
          <w:szCs w:val="20"/>
        </w:rPr>
        <w:t>)</w:t>
      </w:r>
    </w:p>
    <w:p w:rsidR="00A16FE6" w:rsidRPr="00FB431E" w:rsidRDefault="002F5803" w:rsidP="00FB431E">
      <w:pPr>
        <w:spacing w:before="240" w:after="240" w:line="360" w:lineRule="auto"/>
        <w:ind w:firstLine="708"/>
        <w:jc w:val="both"/>
      </w:pPr>
      <w:r>
        <w:t xml:space="preserve">Şekil </w:t>
      </w:r>
      <w:proofErr w:type="gramStart"/>
      <w:r>
        <w:t>2.9’da</w:t>
      </w:r>
      <w:proofErr w:type="gramEnd"/>
      <w:r w:rsidR="00383F2F" w:rsidRPr="00383F2F">
        <w:t xml:space="preserve"> insanların faaliyetlerine bağlı olan küresel CO</w:t>
      </w:r>
      <w:r w:rsidR="00383F2F" w:rsidRPr="00383F2F">
        <w:rPr>
          <w:vertAlign w:val="subscript"/>
        </w:rPr>
        <w:t>2</w:t>
      </w:r>
      <w:r w:rsidR="00383F2F" w:rsidRPr="00383F2F">
        <w:t xml:space="preserve"> </w:t>
      </w:r>
      <w:r w:rsidR="003463A8">
        <w:t>emisyonu</w:t>
      </w:r>
      <w:r w:rsidR="00383F2F" w:rsidRPr="00383F2F">
        <w:t xml:space="preserve"> yıllık 30 mily</w:t>
      </w:r>
      <w:r w:rsidR="00940C8B">
        <w:t>ar tona çıkmıştır. Bu miktar</w:t>
      </w:r>
      <w:r w:rsidR="00F238D4">
        <w:t>ın</w:t>
      </w:r>
      <w:r w:rsidR="00940C8B">
        <w:t xml:space="preserve">, </w:t>
      </w:r>
      <w:proofErr w:type="gramStart"/>
      <w:r w:rsidR="00940C8B">
        <w:t>6.</w:t>
      </w:r>
      <w:r w:rsidR="00F238D4">
        <w:t>5</w:t>
      </w:r>
      <w:proofErr w:type="gramEnd"/>
      <w:r w:rsidR="00F238D4">
        <w:t xml:space="preserve"> milyar tonu</w:t>
      </w:r>
      <w:r w:rsidR="00383F2F" w:rsidRPr="00383F2F">
        <w:t xml:space="preserve"> fosil yakıtların yanmasından v</w:t>
      </w:r>
      <w:r w:rsidR="00F238D4">
        <w:t>e 1,6 milyar tonu</w:t>
      </w:r>
      <w:r w:rsidR="00383F2F" w:rsidRPr="00383F2F">
        <w:t xml:space="preserve"> ağaçların yok edilmesi ve tarımsal uygulamalardan oluşan 8,1 milyar ton karbona karşılık </w:t>
      </w:r>
      <w:r w:rsidR="0072673A">
        <w:t xml:space="preserve">gelmektedir. </w:t>
      </w:r>
      <w:r w:rsidR="00BB4BBC">
        <w:t>Geçtiğimiz 250 yıl içinde, enerji üretimi, ısınma, sanayi, ulaşım için hızla artan fosil yakıtlar, atmosferdeki karbondioksit yoğunluğunu arttırmıştır. İnsan kaynaklı olan bu artışın yarısı bitkiler tarafından emilmiş ve okyanuslarda çözülmüştür. Okyanuslardaki çözünme asitlenmeye ve okyanuslarda yaşayan canlı ve bitki türlerine zarar vermiştir. Sanayi öncesine göre % 38 artış gösteren atmosferdeki CO</w:t>
      </w:r>
      <w:r w:rsidR="00BB4BBC">
        <w:rPr>
          <w:vertAlign w:val="subscript"/>
        </w:rPr>
        <w:t xml:space="preserve">2 </w:t>
      </w:r>
      <w:r w:rsidR="00BB4BBC">
        <w:t xml:space="preserve">yoğunluğu bugün 387 ppm iken bu değerin gelecek yıllarda 450 </w:t>
      </w:r>
      <w:r w:rsidR="00BB4BBC">
        <w:lastRenderedPageBreak/>
        <w:t>ppm’e yüksel</w:t>
      </w:r>
      <w:r w:rsidR="00F238D4">
        <w:t>mesi tahmin edilmektedir.</w:t>
      </w:r>
      <w:r w:rsidR="00BB4BBC">
        <w:t xml:space="preserve"> Bilim adamları bu artışı engellemek için </w:t>
      </w:r>
      <w:r w:rsidR="0072673A">
        <w:t>köklü çözümler önermektedirler</w:t>
      </w:r>
      <w:r w:rsidR="0072673A" w:rsidRPr="00383F2F">
        <w:t>.</w:t>
      </w:r>
      <w:r w:rsidR="0072673A">
        <w:rPr>
          <w:rStyle w:val="DipnotBavurusu"/>
        </w:rPr>
        <w:footnoteReference w:id="23"/>
      </w:r>
    </w:p>
    <w:p w:rsidR="00A04556" w:rsidRDefault="00376C0F" w:rsidP="00126FA4">
      <w:pPr>
        <w:pStyle w:val="Balk4"/>
      </w:pPr>
      <w:bookmarkStart w:id="128" w:name="_Toc384823998"/>
      <w:r>
        <w:t>2.1.3</w:t>
      </w:r>
      <w:r w:rsidR="00A04556" w:rsidRPr="00A04556">
        <w:t>.3. CO</w:t>
      </w:r>
      <w:r w:rsidR="00A04556" w:rsidRPr="00A04556">
        <w:rPr>
          <w:vertAlign w:val="subscript"/>
        </w:rPr>
        <w:t>2</w:t>
      </w:r>
      <w:r w:rsidR="00A04556" w:rsidRPr="00A04556">
        <w:t xml:space="preserve"> </w:t>
      </w:r>
      <w:r w:rsidR="00B076A7">
        <w:t>Gazı Nerede ve Nasıl Deoplanır?</w:t>
      </w:r>
      <w:bookmarkEnd w:id="128"/>
    </w:p>
    <w:p w:rsidR="00482037" w:rsidRPr="00C444CE" w:rsidRDefault="00482037" w:rsidP="00C444CE">
      <w:pPr>
        <w:spacing w:before="240" w:after="240" w:line="360" w:lineRule="auto"/>
        <w:jc w:val="both"/>
        <w:rPr>
          <w:rFonts w:eastAsia="Calibri"/>
        </w:rPr>
      </w:pPr>
      <w:r>
        <w:rPr>
          <w:rFonts w:eastAsia="Calibri"/>
        </w:rPr>
        <w:tab/>
        <w:t>CO</w:t>
      </w:r>
      <w:r>
        <w:rPr>
          <w:rFonts w:eastAsia="Calibri"/>
          <w:vertAlign w:val="subscript"/>
        </w:rPr>
        <w:t xml:space="preserve">2 </w:t>
      </w:r>
      <w:r w:rsidR="003463A8">
        <w:rPr>
          <w:rFonts w:eastAsia="Calibri"/>
        </w:rPr>
        <w:t>emisyonları</w:t>
      </w:r>
      <w:r w:rsidR="00C444CE">
        <w:rPr>
          <w:rFonts w:eastAsia="Calibri"/>
        </w:rPr>
        <w:t>nın çoğunu</w:t>
      </w:r>
      <w:r>
        <w:rPr>
          <w:rFonts w:eastAsia="Calibri"/>
        </w:rPr>
        <w:t xml:space="preserve"> fosil yakıtları ya</w:t>
      </w:r>
      <w:r w:rsidR="00C444CE">
        <w:rPr>
          <w:rFonts w:eastAsia="Calibri"/>
        </w:rPr>
        <w:t xml:space="preserve"> </w:t>
      </w:r>
      <w:r w:rsidR="00A53DCA">
        <w:rPr>
          <w:rFonts w:eastAsia="Calibri"/>
        </w:rPr>
        <w:t>da bi</w:t>
      </w:r>
      <w:r>
        <w:rPr>
          <w:rFonts w:eastAsia="Calibri"/>
        </w:rPr>
        <w:t>okütle enerji işlemleri, yüksek CO</w:t>
      </w:r>
      <w:r>
        <w:rPr>
          <w:rFonts w:eastAsia="Calibri"/>
          <w:vertAlign w:val="subscript"/>
        </w:rPr>
        <w:t>2</w:t>
      </w:r>
      <w:r>
        <w:rPr>
          <w:rFonts w:eastAsia="Calibri"/>
        </w:rPr>
        <w:t xml:space="preserve"> </w:t>
      </w:r>
      <w:r w:rsidR="003463A8">
        <w:rPr>
          <w:rFonts w:eastAsia="Calibri"/>
        </w:rPr>
        <w:t>emisyonlu</w:t>
      </w:r>
      <w:r>
        <w:rPr>
          <w:rFonts w:eastAsia="Calibri"/>
        </w:rPr>
        <w:t xml:space="preserve"> endüstriler, doğal gaz üretimi</w:t>
      </w:r>
      <w:r w:rsidR="003463A8">
        <w:rPr>
          <w:rFonts w:eastAsia="Calibri"/>
        </w:rPr>
        <w:t>, sentetik yakıt ensti</w:t>
      </w:r>
      <w:r w:rsidR="00C444CE">
        <w:rPr>
          <w:rFonts w:eastAsia="Calibri"/>
        </w:rPr>
        <w:t>tüleri ve fosil yakıt bazlı hidrojen üretim işletmeleri gerçekleştirir. Bu CO</w:t>
      </w:r>
      <w:r w:rsidR="00C444CE">
        <w:rPr>
          <w:rFonts w:eastAsia="Calibri"/>
          <w:vertAlign w:val="subscript"/>
        </w:rPr>
        <w:t>2</w:t>
      </w:r>
      <w:r w:rsidR="00C444CE">
        <w:rPr>
          <w:rFonts w:eastAsia="Calibri"/>
        </w:rPr>
        <w:t xml:space="preserve"> salımlarının teknik depolama metotları, jeopolitik depolama (petrol ve gaz arazileri ile işletilmeyen kömür yatakları ve derin tuz formasyonları gibi jeopolitik formasyonlar), okyanusal depolama (okyanusta su sütununa yada derin deniz zeminine direkt olarak bırakma) ile CO</w:t>
      </w:r>
      <w:r w:rsidR="00C444CE">
        <w:rPr>
          <w:rFonts w:eastAsia="Calibri"/>
          <w:vertAlign w:val="subscript"/>
        </w:rPr>
        <w:t>2</w:t>
      </w:r>
      <w:r w:rsidR="00C444CE">
        <w:rPr>
          <w:rFonts w:eastAsia="Calibri"/>
        </w:rPr>
        <w:t>’in inorganik karbonatlar içinde işleyimsel yerleşimidir.</w:t>
      </w:r>
      <w:r w:rsidR="00C444CE">
        <w:rPr>
          <w:rStyle w:val="DipnotBavurusu"/>
          <w:rFonts w:eastAsia="Calibri"/>
        </w:rPr>
        <w:footnoteReference w:id="24"/>
      </w:r>
    </w:p>
    <w:p w:rsidR="00FB431E" w:rsidRDefault="00FB431E" w:rsidP="00856876">
      <w:pPr>
        <w:spacing w:before="240" w:after="240" w:line="360" w:lineRule="auto"/>
        <w:ind w:firstLine="708"/>
        <w:jc w:val="both"/>
        <w:rPr>
          <w:color w:val="943634" w:themeColor="accent2" w:themeShade="BF"/>
        </w:rPr>
      </w:pPr>
      <w:r w:rsidRPr="00FB431E">
        <w:t>İnsan kaynaklı CO</w:t>
      </w:r>
      <w:r w:rsidRPr="00FB431E">
        <w:rPr>
          <w:vertAlign w:val="subscript"/>
        </w:rPr>
        <w:t>2</w:t>
      </w:r>
      <w:r w:rsidRPr="00FB431E">
        <w:t xml:space="preserve"> </w:t>
      </w:r>
      <w:r w:rsidR="003463A8">
        <w:t>emisyonlarının</w:t>
      </w:r>
      <w:r w:rsidRPr="00FB431E">
        <w:t xml:space="preserve"> büyük bir çoğunluğu </w:t>
      </w:r>
      <w:r w:rsidR="00A04556" w:rsidRPr="00FB431E">
        <w:t>elektrik santralleri, rafineriler, gaz işletme tesisleri ve endüstriyel fabrikalar gibi büyük</w:t>
      </w:r>
      <w:r w:rsidRPr="00FB431E">
        <w:t xml:space="preserve"> </w:t>
      </w:r>
      <w:r w:rsidR="00A04556" w:rsidRPr="00FB431E">
        <w:t xml:space="preserve">tesislerde gerçekleşir. </w:t>
      </w:r>
      <w:r w:rsidRPr="00FB431E">
        <w:t>Bu tesislerin çoğunda</w:t>
      </w:r>
      <w:r w:rsidR="00A04556" w:rsidRPr="00FB431E">
        <w:t>, çık</w:t>
      </w:r>
      <w:r w:rsidR="00F238D4">
        <w:t>an egs</w:t>
      </w:r>
      <w:r w:rsidRPr="00FB431E">
        <w:t>oz dumanı seyreltilmiş CO</w:t>
      </w:r>
      <w:r w:rsidRPr="00FB431E">
        <w:rPr>
          <w:vertAlign w:val="subscript"/>
        </w:rPr>
        <w:t>2</w:t>
      </w:r>
      <w:r w:rsidRPr="00FB431E">
        <w:t xml:space="preserve"> </w:t>
      </w:r>
      <w:r w:rsidR="00A04556" w:rsidRPr="00FB431E">
        <w:t xml:space="preserve">içerir. </w:t>
      </w:r>
      <w:r w:rsidRPr="00FB431E">
        <w:t>CO</w:t>
      </w:r>
      <w:r w:rsidRPr="00FB431E">
        <w:rPr>
          <w:vertAlign w:val="subscript"/>
        </w:rPr>
        <w:t>2</w:t>
      </w:r>
      <w:r w:rsidRPr="00FB431E">
        <w:t xml:space="preserve">’yi diğer gazlardan ayırmanın iki yöntemi vardır. Birinci yöntem diğer gazların içinden ayırmaktır. İkinci yöntem ise </w:t>
      </w:r>
      <w:r w:rsidR="00A04556" w:rsidRPr="00FB431E">
        <w:t>karbonu yanmadan önce</w:t>
      </w:r>
      <w:r w:rsidRPr="00FB431E">
        <w:t xml:space="preserve"> sistemden uzaklaştırmaktır. CO</w:t>
      </w:r>
      <w:r w:rsidRPr="00FB431E">
        <w:rPr>
          <w:vertAlign w:val="subscript"/>
        </w:rPr>
        <w:t>2</w:t>
      </w:r>
      <w:r w:rsidRPr="00FB431E">
        <w:t xml:space="preserve"> yakalanması, CO</w:t>
      </w:r>
      <w:r w:rsidRPr="00FB431E">
        <w:rPr>
          <w:vertAlign w:val="subscript"/>
        </w:rPr>
        <w:t>2</w:t>
      </w:r>
      <w:r w:rsidRPr="00FB431E">
        <w:t>’y</w:t>
      </w:r>
      <w:r w:rsidR="00A04556" w:rsidRPr="00FB431E">
        <w:t xml:space="preserve">i diğer gazlardan ayrıştıran farklı endüstri sektörlerinde bilinen bir teknolojidir. </w:t>
      </w:r>
    </w:p>
    <w:p w:rsidR="00F96A3D" w:rsidRDefault="00A04556" w:rsidP="00F96A3D">
      <w:pPr>
        <w:spacing w:before="240" w:after="240" w:line="360" w:lineRule="auto"/>
        <w:ind w:firstLine="708"/>
        <w:jc w:val="both"/>
      </w:pPr>
      <w:r w:rsidRPr="00F00715">
        <w:t xml:space="preserve">Dünyadaki birçok ülkede </w:t>
      </w:r>
      <w:r w:rsidR="00E50D8E" w:rsidRPr="00F00715">
        <w:t xml:space="preserve">bilim adamları yeni teknikler üzerinde çalışarak, mevcut durumdaki teknolojiyi geliştirerek düşük maliyet ve enerji tüketimini sağlayacak yenilikler gerçekleştirmektedirler. </w:t>
      </w:r>
    </w:p>
    <w:p w:rsidR="00940C8B" w:rsidRDefault="00940C8B" w:rsidP="00F96A3D">
      <w:pPr>
        <w:spacing w:before="240" w:after="240" w:line="360" w:lineRule="auto"/>
        <w:ind w:firstLine="708"/>
        <w:jc w:val="both"/>
      </w:pPr>
    </w:p>
    <w:p w:rsidR="00940C8B" w:rsidRDefault="00940C8B" w:rsidP="00F96A3D">
      <w:pPr>
        <w:spacing w:before="240" w:after="240" w:line="360" w:lineRule="auto"/>
        <w:ind w:firstLine="708"/>
        <w:jc w:val="both"/>
      </w:pPr>
    </w:p>
    <w:p w:rsidR="00940C8B" w:rsidRDefault="00940C8B" w:rsidP="00F96A3D">
      <w:pPr>
        <w:spacing w:before="240" w:after="240" w:line="360" w:lineRule="auto"/>
        <w:ind w:firstLine="708"/>
        <w:jc w:val="both"/>
      </w:pPr>
    </w:p>
    <w:p w:rsidR="00940C8B" w:rsidRDefault="00940C8B" w:rsidP="00F96A3D">
      <w:pPr>
        <w:spacing w:before="240" w:after="240" w:line="360" w:lineRule="auto"/>
        <w:ind w:firstLine="708"/>
        <w:jc w:val="both"/>
      </w:pPr>
    </w:p>
    <w:p w:rsidR="00940C8B" w:rsidRDefault="00940C8B" w:rsidP="00F96A3D">
      <w:pPr>
        <w:spacing w:before="240" w:after="240" w:line="360" w:lineRule="auto"/>
        <w:ind w:firstLine="708"/>
        <w:jc w:val="both"/>
      </w:pPr>
    </w:p>
    <w:p w:rsidR="00940C8B" w:rsidRPr="00F00715" w:rsidRDefault="00940C8B" w:rsidP="00F96A3D">
      <w:pPr>
        <w:spacing w:before="240" w:after="240" w:line="360" w:lineRule="auto"/>
        <w:ind w:firstLine="708"/>
        <w:jc w:val="both"/>
      </w:pPr>
    </w:p>
    <w:p w:rsidR="00135F0D" w:rsidRDefault="002F5803" w:rsidP="00B11F2A">
      <w:pPr>
        <w:pStyle w:val="stil1"/>
        <w:spacing w:before="120" w:after="120"/>
        <w:rPr>
          <w:shd w:val="clear" w:color="auto" w:fill="FFFFFF"/>
        </w:rPr>
      </w:pPr>
      <w:bookmarkStart w:id="129" w:name="_Toc382298160"/>
      <w:r>
        <w:rPr>
          <w:bCs/>
        </w:rPr>
        <w:lastRenderedPageBreak/>
        <w:t>Şekil 2.10</w:t>
      </w:r>
      <w:r w:rsidR="00135F0D">
        <w:rPr>
          <w:bCs/>
        </w:rPr>
        <w:t xml:space="preserve">: </w:t>
      </w:r>
      <w:r w:rsidR="00135F0D" w:rsidRPr="00135F0D">
        <w:rPr>
          <w:shd w:val="clear" w:color="auto" w:fill="FFFFFF"/>
        </w:rPr>
        <w:t xml:space="preserve">Karbon </w:t>
      </w:r>
      <w:r w:rsidR="005B5E85">
        <w:rPr>
          <w:shd w:val="clear" w:color="auto" w:fill="FFFFFF"/>
        </w:rPr>
        <w:t>Y</w:t>
      </w:r>
      <w:r w:rsidR="00135F0D" w:rsidRPr="00135F0D">
        <w:rPr>
          <w:shd w:val="clear" w:color="auto" w:fill="FFFFFF"/>
        </w:rPr>
        <w:t xml:space="preserve">akalama ve </w:t>
      </w:r>
      <w:r w:rsidR="005B5E85">
        <w:rPr>
          <w:shd w:val="clear" w:color="auto" w:fill="FFFFFF"/>
        </w:rPr>
        <w:t>D</w:t>
      </w:r>
      <w:r w:rsidR="00135F0D" w:rsidRPr="00135F0D">
        <w:rPr>
          <w:shd w:val="clear" w:color="auto" w:fill="FFFFFF"/>
        </w:rPr>
        <w:t xml:space="preserve">epolama </w:t>
      </w:r>
      <w:r w:rsidR="005B5E85">
        <w:rPr>
          <w:shd w:val="clear" w:color="auto" w:fill="FFFFFF"/>
        </w:rPr>
        <w:t>A</w:t>
      </w:r>
      <w:r w:rsidR="00135F0D" w:rsidRPr="00135F0D">
        <w:rPr>
          <w:shd w:val="clear" w:color="auto" w:fill="FFFFFF"/>
        </w:rPr>
        <w:t xml:space="preserve">kış </w:t>
      </w:r>
      <w:r w:rsidR="005B5E85">
        <w:rPr>
          <w:shd w:val="clear" w:color="auto" w:fill="FFFFFF"/>
        </w:rPr>
        <w:t>Ş</w:t>
      </w:r>
      <w:r w:rsidR="00135F0D" w:rsidRPr="00135F0D">
        <w:rPr>
          <w:shd w:val="clear" w:color="auto" w:fill="FFFFFF"/>
        </w:rPr>
        <w:t>eması</w:t>
      </w:r>
      <w:bookmarkEnd w:id="129"/>
    </w:p>
    <w:p w:rsidR="00135F0D" w:rsidRDefault="009C2257" w:rsidP="00B11F2A">
      <w:pPr>
        <w:spacing w:before="120" w:after="120"/>
        <w:jc w:val="both"/>
        <w:rPr>
          <w:sz w:val="20"/>
          <w:szCs w:val="20"/>
        </w:rPr>
      </w:pPr>
      <w:r w:rsidRPr="00135F0D">
        <w:rPr>
          <w:b/>
          <w:noProof/>
          <w:sz w:val="20"/>
          <w:szCs w:val="20"/>
          <w:lang w:eastAsia="tr-TR"/>
        </w:rPr>
        <w:drawing>
          <wp:anchor distT="0" distB="0" distL="114300" distR="114300" simplePos="0" relativeHeight="251672064" behindDoc="1" locked="0" layoutInCell="1" allowOverlap="1" wp14:anchorId="6585852F" wp14:editId="4E534AE5">
            <wp:simplePos x="0" y="0"/>
            <wp:positionH relativeFrom="column">
              <wp:posOffset>7620</wp:posOffset>
            </wp:positionH>
            <wp:positionV relativeFrom="paragraph">
              <wp:posOffset>59690</wp:posOffset>
            </wp:positionV>
            <wp:extent cx="4150360" cy="2672080"/>
            <wp:effectExtent l="19050" t="19050" r="21590" b="13970"/>
            <wp:wrapTopAndBottom/>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bondepolama.jpg"/>
                    <pic:cNvPicPr/>
                  </pic:nvPicPr>
                  <pic:blipFill>
                    <a:blip r:embed="rId38">
                      <a:extLst>
                        <a:ext uri="{28A0092B-C50C-407E-A947-70E740481C1C}">
                          <a14:useLocalDpi xmlns:a14="http://schemas.microsoft.com/office/drawing/2010/main" val="0"/>
                        </a:ext>
                      </a:extLst>
                    </a:blip>
                    <a:stretch>
                      <a:fillRect/>
                    </a:stretch>
                  </pic:blipFill>
                  <pic:spPr>
                    <a:xfrm>
                      <a:off x="0" y="0"/>
                      <a:ext cx="4150360" cy="2672080"/>
                    </a:xfrm>
                    <a:prstGeom prst="rect">
                      <a:avLst/>
                    </a:prstGeom>
                    <a:ln cmpd="sng">
                      <a:solidFill>
                        <a:schemeClr val="tx1"/>
                      </a:solidFill>
                    </a:ln>
                  </pic:spPr>
                </pic:pic>
              </a:graphicData>
            </a:graphic>
            <wp14:sizeRelH relativeFrom="page">
              <wp14:pctWidth>0</wp14:pctWidth>
            </wp14:sizeRelH>
            <wp14:sizeRelV relativeFrom="page">
              <wp14:pctHeight>0</wp14:pctHeight>
            </wp14:sizeRelV>
          </wp:anchor>
        </w:drawing>
      </w:r>
      <w:r w:rsidR="00135F0D" w:rsidRPr="00135F0D">
        <w:rPr>
          <w:b/>
          <w:sz w:val="20"/>
          <w:szCs w:val="20"/>
        </w:rPr>
        <w:t xml:space="preserve">Kaynak: </w:t>
      </w:r>
      <w:r w:rsidR="00135F0D" w:rsidRPr="00135F0D">
        <w:rPr>
          <w:sz w:val="20"/>
          <w:szCs w:val="20"/>
        </w:rPr>
        <w:t>wri.org (18)</w:t>
      </w:r>
    </w:p>
    <w:p w:rsidR="00F96A3D" w:rsidRDefault="00F96A3D" w:rsidP="00940C8B">
      <w:pPr>
        <w:spacing w:before="240" w:after="240" w:line="360" w:lineRule="auto"/>
        <w:ind w:firstLine="709"/>
        <w:jc w:val="both"/>
        <w:rPr>
          <w:color w:val="000000"/>
          <w:shd w:val="clear" w:color="auto" w:fill="FFFFFF"/>
        </w:rPr>
      </w:pPr>
      <w:r w:rsidRPr="00F96A3D">
        <w:rPr>
          <w:color w:val="000000"/>
          <w:shd w:val="clear" w:color="auto" w:fill="FFFFFF"/>
        </w:rPr>
        <w:t xml:space="preserve">Dünyanın önde gelen bilim adamları, </w:t>
      </w:r>
      <w:r>
        <w:rPr>
          <w:color w:val="000000"/>
          <w:shd w:val="clear" w:color="auto" w:fill="FFFFFF"/>
        </w:rPr>
        <w:t xml:space="preserve">küresel iklim değişikliğinin tehlikeli etkilerine maruz kalmamak için </w:t>
      </w:r>
      <w:r w:rsidR="003463A8">
        <w:rPr>
          <w:color w:val="000000"/>
          <w:shd w:val="clear" w:color="auto" w:fill="FFFFFF"/>
        </w:rPr>
        <w:t>sera gazı</w:t>
      </w:r>
      <w:r>
        <w:rPr>
          <w:color w:val="000000"/>
          <w:shd w:val="clear" w:color="auto" w:fill="FFFFFF"/>
        </w:rPr>
        <w:t xml:space="preserve"> emisyonlarını % 60-80 arası</w:t>
      </w:r>
      <w:r w:rsidR="00DB1938">
        <w:rPr>
          <w:color w:val="000000"/>
          <w:shd w:val="clear" w:color="auto" w:fill="FFFFFF"/>
        </w:rPr>
        <w:t>nda düşürülmesi gerektiğini savunmaktadır.</w:t>
      </w:r>
      <w:r>
        <w:rPr>
          <w:color w:val="000000"/>
          <w:shd w:val="clear" w:color="auto" w:fill="FFFFFF"/>
        </w:rPr>
        <w:t xml:space="preserve"> İklim değişikliği toplantıları </w:t>
      </w:r>
      <w:r w:rsidR="003463A8">
        <w:rPr>
          <w:color w:val="000000"/>
          <w:shd w:val="clear" w:color="auto" w:fill="FFFFFF"/>
        </w:rPr>
        <w:t>sera gazı</w:t>
      </w:r>
      <w:r w:rsidR="00F00715">
        <w:rPr>
          <w:color w:val="000000"/>
          <w:shd w:val="clear" w:color="auto" w:fill="FFFFFF"/>
        </w:rPr>
        <w:t xml:space="preserve"> emisyonlarının tablosunu</w:t>
      </w:r>
      <w:r w:rsidR="00DB1938">
        <w:rPr>
          <w:color w:val="000000"/>
          <w:shd w:val="clear" w:color="auto" w:fill="FFFFFF"/>
        </w:rPr>
        <w:t>n</w:t>
      </w:r>
      <w:r w:rsidR="00F00715">
        <w:rPr>
          <w:color w:val="000000"/>
          <w:shd w:val="clear" w:color="auto" w:fill="FFFFFF"/>
        </w:rPr>
        <w:t xml:space="preserve"> </w:t>
      </w:r>
      <w:r w:rsidR="00DB1938">
        <w:rPr>
          <w:color w:val="000000"/>
          <w:shd w:val="clear" w:color="auto" w:fill="FFFFFF"/>
        </w:rPr>
        <w:t>görülmesi açısından</w:t>
      </w:r>
      <w:r w:rsidR="00F00715">
        <w:rPr>
          <w:color w:val="000000"/>
          <w:shd w:val="clear" w:color="auto" w:fill="FFFFFF"/>
        </w:rPr>
        <w:t xml:space="preserve"> önem arz etmektedir.</w:t>
      </w:r>
    </w:p>
    <w:p w:rsidR="00981FFC" w:rsidRPr="003E3D6F" w:rsidRDefault="002F5803" w:rsidP="00940C8B">
      <w:pPr>
        <w:spacing w:before="240" w:after="240" w:line="360" w:lineRule="auto"/>
        <w:ind w:firstLine="709"/>
        <w:jc w:val="both"/>
        <w:rPr>
          <w:color w:val="000000"/>
          <w:shd w:val="clear" w:color="auto" w:fill="FFFFFF"/>
        </w:rPr>
      </w:pPr>
      <w:r>
        <w:rPr>
          <w:color w:val="000000"/>
          <w:shd w:val="clear" w:color="auto" w:fill="FFFFFF"/>
        </w:rPr>
        <w:t>Şekil 2.10’da</w:t>
      </w:r>
      <w:r w:rsidR="00132403">
        <w:rPr>
          <w:color w:val="000000"/>
          <w:shd w:val="clear" w:color="auto" w:fill="FFFFFF"/>
        </w:rPr>
        <w:t xml:space="preserve"> görüldüğü gibi </w:t>
      </w:r>
      <w:r w:rsidR="00DB1938">
        <w:rPr>
          <w:color w:val="000000"/>
          <w:shd w:val="clear" w:color="auto" w:fill="FFFFFF"/>
        </w:rPr>
        <w:t>CCS</w:t>
      </w:r>
      <w:r w:rsidR="005A5B55">
        <w:rPr>
          <w:color w:val="000000"/>
          <w:shd w:val="clear" w:color="auto" w:fill="FFFFFF"/>
        </w:rPr>
        <w:t>, CO</w:t>
      </w:r>
      <w:r w:rsidR="005A5B55">
        <w:rPr>
          <w:color w:val="000000"/>
          <w:shd w:val="clear" w:color="auto" w:fill="FFFFFF"/>
          <w:vertAlign w:val="subscript"/>
        </w:rPr>
        <w:t>2</w:t>
      </w:r>
      <w:r w:rsidR="005A5B55">
        <w:rPr>
          <w:color w:val="000000"/>
          <w:shd w:val="clear" w:color="auto" w:fill="FFFFFF"/>
        </w:rPr>
        <w:t xml:space="preserve">’in </w:t>
      </w:r>
      <w:r w:rsidR="00981FFC">
        <w:rPr>
          <w:color w:val="000000"/>
          <w:shd w:val="clear" w:color="auto" w:fill="FFFFFF"/>
        </w:rPr>
        <w:t xml:space="preserve">büyük sanayi tesislerinden ve güç santrallerinden alınarak, </w:t>
      </w:r>
      <w:r w:rsidR="005A5B55">
        <w:rPr>
          <w:color w:val="000000"/>
          <w:shd w:val="clear" w:color="auto" w:fill="FFFFFF"/>
        </w:rPr>
        <w:t>yerin derinliklerinde uzun dönem depolanması ve uygun</w:t>
      </w:r>
      <w:r w:rsidR="00981FFC">
        <w:rPr>
          <w:color w:val="000000"/>
          <w:shd w:val="clear" w:color="auto" w:fill="FFFFFF"/>
        </w:rPr>
        <w:t xml:space="preserve"> yerlere taşınması işlemlerini kapsar. </w:t>
      </w:r>
      <w:r w:rsidR="00DB1938">
        <w:rPr>
          <w:color w:val="000000"/>
          <w:shd w:val="clear" w:color="auto" w:fill="FFFFFF"/>
        </w:rPr>
        <w:t>CCS</w:t>
      </w:r>
      <w:r w:rsidR="002D3733" w:rsidRPr="002D3733">
        <w:rPr>
          <w:color w:val="000000"/>
          <w:shd w:val="clear" w:color="auto" w:fill="FFFFFF"/>
        </w:rPr>
        <w:t>, biz</w:t>
      </w:r>
      <w:r w:rsidR="00981FFC">
        <w:rPr>
          <w:color w:val="000000"/>
          <w:shd w:val="clear" w:color="auto" w:fill="FFFFFF"/>
        </w:rPr>
        <w:t>e</w:t>
      </w:r>
      <w:r w:rsidR="002D3733" w:rsidRPr="002D3733">
        <w:rPr>
          <w:color w:val="000000"/>
          <w:shd w:val="clear" w:color="auto" w:fill="FFFFFF"/>
        </w:rPr>
        <w:t xml:space="preserve"> aynı zamanda yenilenebilir ener</w:t>
      </w:r>
      <w:r w:rsidR="00981FFC">
        <w:rPr>
          <w:color w:val="000000"/>
          <w:shd w:val="clear" w:color="auto" w:fill="FFFFFF"/>
        </w:rPr>
        <w:t>ji kapasitesini genişletmek ve enerji verimliliğini artırmada</w:t>
      </w:r>
      <w:r w:rsidR="00132403">
        <w:rPr>
          <w:color w:val="000000"/>
          <w:shd w:val="clear" w:color="auto" w:fill="FFFFFF"/>
        </w:rPr>
        <w:t>,  e</w:t>
      </w:r>
      <w:r w:rsidR="00981FFC">
        <w:rPr>
          <w:color w:val="000000"/>
          <w:shd w:val="clear" w:color="auto" w:fill="FFFFFF"/>
        </w:rPr>
        <w:t xml:space="preserve">lektrik üretiminden </w:t>
      </w:r>
      <w:r w:rsidR="00F238D4">
        <w:rPr>
          <w:color w:val="000000"/>
          <w:shd w:val="clear" w:color="auto" w:fill="FFFFFF"/>
        </w:rPr>
        <w:t xml:space="preserve">elde edilen </w:t>
      </w:r>
      <w:r w:rsidR="00981FFC">
        <w:rPr>
          <w:color w:val="000000"/>
          <w:shd w:val="clear" w:color="auto" w:fill="FFFFFF"/>
        </w:rPr>
        <w:t xml:space="preserve">karbon emisyonlarını azaltmak için </w:t>
      </w:r>
      <w:r w:rsidR="00F238D4">
        <w:rPr>
          <w:color w:val="000000"/>
          <w:shd w:val="clear" w:color="auto" w:fill="FFFFFF"/>
        </w:rPr>
        <w:t xml:space="preserve">farklı </w:t>
      </w:r>
      <w:r w:rsidR="00981FFC">
        <w:rPr>
          <w:color w:val="000000"/>
          <w:shd w:val="clear" w:color="auto" w:fill="FFFFFF"/>
        </w:rPr>
        <w:t>b</w:t>
      </w:r>
      <w:r w:rsidR="00132403">
        <w:rPr>
          <w:color w:val="000000"/>
          <w:shd w:val="clear" w:color="auto" w:fill="FFFFFF"/>
        </w:rPr>
        <w:t xml:space="preserve">ir </w:t>
      </w:r>
      <w:r w:rsidR="00F238D4">
        <w:rPr>
          <w:color w:val="000000"/>
          <w:shd w:val="clear" w:color="auto" w:fill="FFFFFF"/>
        </w:rPr>
        <w:t>seçenek sunmaktadır</w:t>
      </w:r>
      <w:r w:rsidR="00132403">
        <w:rPr>
          <w:color w:val="000000"/>
          <w:shd w:val="clear" w:color="auto" w:fill="FFFFFF"/>
        </w:rPr>
        <w:t>.</w:t>
      </w:r>
      <w:r w:rsidR="00132403">
        <w:rPr>
          <w:rStyle w:val="DipnotBavurusu"/>
          <w:color w:val="000000"/>
          <w:shd w:val="clear" w:color="auto" w:fill="FFFFFF"/>
        </w:rPr>
        <w:footnoteReference w:id="25"/>
      </w:r>
    </w:p>
    <w:p w:rsidR="00A04556" w:rsidRPr="00B7661E" w:rsidRDefault="0085140F" w:rsidP="00940C8B">
      <w:pPr>
        <w:spacing w:before="240" w:after="240" w:line="360" w:lineRule="auto"/>
        <w:ind w:firstLine="709"/>
        <w:jc w:val="both"/>
      </w:pPr>
      <w:r w:rsidRPr="00B7661E">
        <w:t>Sanayi devriminden sonra artan CO</w:t>
      </w:r>
      <w:r w:rsidRPr="00B7661E">
        <w:rPr>
          <w:vertAlign w:val="subscript"/>
        </w:rPr>
        <w:t>2</w:t>
      </w:r>
      <w:r w:rsidRPr="00B7661E">
        <w:t xml:space="preserve"> yoğunluğu atmosferde belirli bir konsantrasyona ulaştığından, ortaya çıkan CO</w:t>
      </w:r>
      <w:r w:rsidRPr="00B7661E">
        <w:rPr>
          <w:vertAlign w:val="subscript"/>
        </w:rPr>
        <w:t>2</w:t>
      </w:r>
      <w:r w:rsidR="00A04556" w:rsidRPr="00B7661E">
        <w:t xml:space="preserve"> gazının büyük mi</w:t>
      </w:r>
      <w:r w:rsidR="001D0AF1" w:rsidRPr="00B7661E">
        <w:t>ktarı depolanmak zorundadır. CO</w:t>
      </w:r>
      <w:r w:rsidR="001D0AF1" w:rsidRPr="00B7661E">
        <w:rPr>
          <w:vertAlign w:val="subscript"/>
        </w:rPr>
        <w:t>2</w:t>
      </w:r>
      <w:r w:rsidR="00A04556" w:rsidRPr="00B7661E">
        <w:t xml:space="preserve"> boşaltılmış petrol ve doğal gaz rezervleri, derin tuzlu akiferler ve kazılamaz kömür tabakaları gibi jeolojik yapılarda depola</w:t>
      </w:r>
      <w:r w:rsidR="00827634" w:rsidRPr="00B7661E">
        <w:t xml:space="preserve">nabilir. </w:t>
      </w:r>
      <w:r w:rsidR="00B7661E">
        <w:t>Ayrıca</w:t>
      </w:r>
      <w:r w:rsidR="00827634" w:rsidRPr="00B7661E">
        <w:t>, CO</w:t>
      </w:r>
      <w:r w:rsidR="00827634" w:rsidRPr="00B7661E">
        <w:rPr>
          <w:vertAlign w:val="subscript"/>
        </w:rPr>
        <w:t>2</w:t>
      </w:r>
      <w:r w:rsidR="00A04556" w:rsidRPr="00B7661E">
        <w:t xml:space="preserve"> mineral formunda </w:t>
      </w:r>
      <w:r w:rsidR="00B7661E">
        <w:t xml:space="preserve">da </w:t>
      </w:r>
      <w:r w:rsidR="00A04556" w:rsidRPr="00B7661E">
        <w:t xml:space="preserve">katılaştırılabilir. Jeolojik formasyonlar </w:t>
      </w:r>
      <w:r w:rsidR="00214A2E">
        <w:t>çok iyi</w:t>
      </w:r>
      <w:r w:rsidR="00A04556" w:rsidRPr="00B7661E">
        <w:t xml:space="preserve"> depolama kapasitesi sağlar. </w:t>
      </w:r>
      <w:r w:rsidR="00214A2E">
        <w:t xml:space="preserve">Yüksek kapasiteli depolama oranları olsa da insan kaynaklı </w:t>
      </w:r>
      <w:r w:rsidR="00214A2E" w:rsidRPr="00B7661E">
        <w:t>CO</w:t>
      </w:r>
      <w:r w:rsidR="00214A2E" w:rsidRPr="00B7661E">
        <w:rPr>
          <w:vertAlign w:val="subscript"/>
        </w:rPr>
        <w:t>2</w:t>
      </w:r>
      <w:r w:rsidR="00214A2E">
        <w:t xml:space="preserve"> emisyonun belirli bir kısmı depolanabilir.  </w:t>
      </w:r>
    </w:p>
    <w:p w:rsidR="00A04556" w:rsidRPr="00214A2E" w:rsidRDefault="00827634" w:rsidP="00940C8B">
      <w:pPr>
        <w:spacing w:before="120" w:after="120" w:line="360" w:lineRule="auto"/>
        <w:ind w:firstLine="708"/>
        <w:jc w:val="both"/>
      </w:pPr>
      <w:r w:rsidRPr="00214A2E">
        <w:t>CO</w:t>
      </w:r>
      <w:r w:rsidRPr="00214A2E">
        <w:rPr>
          <w:vertAlign w:val="subscript"/>
        </w:rPr>
        <w:t>2</w:t>
      </w:r>
      <w:r w:rsidR="00A04556" w:rsidRPr="00214A2E">
        <w:t xml:space="preserve"> aşağıda sıralanmış olan yöntemler ile depolanır</w:t>
      </w:r>
      <w:r w:rsidR="00214A2E" w:rsidRPr="00214A2E">
        <w:rPr>
          <w:rStyle w:val="DipnotBavurusu"/>
        </w:rPr>
        <w:footnoteReference w:id="26"/>
      </w:r>
      <w:r w:rsidR="00A04556" w:rsidRPr="00214A2E">
        <w:t>;</w:t>
      </w:r>
    </w:p>
    <w:p w:rsidR="00A04556" w:rsidRPr="00214A2E" w:rsidRDefault="00A04556" w:rsidP="00940C8B">
      <w:pPr>
        <w:spacing w:before="120" w:after="120" w:line="360" w:lineRule="auto"/>
        <w:jc w:val="both"/>
      </w:pPr>
      <w:r w:rsidRPr="00214A2E">
        <w:lastRenderedPageBreak/>
        <w:t>• Petrol kuyularında üretim verimini artırma (Enhan</w:t>
      </w:r>
      <w:r w:rsidR="00214A2E">
        <w:t xml:space="preserve">ced oil recovery-EOR) Bu yöntem </w:t>
      </w:r>
      <w:r w:rsidRPr="00214A2E">
        <w:t>Türkiye de dahil uzun yıllardır petrol üretiminde uygulanmaktadır.</w:t>
      </w:r>
    </w:p>
    <w:p w:rsidR="00A04556" w:rsidRPr="00214A2E" w:rsidRDefault="00A04556" w:rsidP="00940C8B">
      <w:pPr>
        <w:spacing w:before="120" w:after="120" w:line="360" w:lineRule="auto"/>
        <w:jc w:val="both"/>
      </w:pPr>
      <w:r w:rsidRPr="00214A2E">
        <w:t>• Doğalgaz kuyularında üretim verimini artırma (Enhanced gas recovery-EGR)</w:t>
      </w:r>
    </w:p>
    <w:p w:rsidR="00A04556" w:rsidRPr="00214A2E" w:rsidRDefault="00A04556" w:rsidP="00940C8B">
      <w:pPr>
        <w:spacing w:before="120" w:after="120" w:line="360" w:lineRule="auto"/>
        <w:jc w:val="both"/>
      </w:pPr>
      <w:r w:rsidRPr="00214A2E">
        <w:t>• Tükenmiş petrol ve doğalgaz kuyuları</w:t>
      </w:r>
    </w:p>
    <w:p w:rsidR="00A04556" w:rsidRPr="00214A2E" w:rsidRDefault="00A04556" w:rsidP="00940C8B">
      <w:pPr>
        <w:spacing w:before="120" w:after="120" w:line="360" w:lineRule="auto"/>
        <w:jc w:val="both"/>
      </w:pPr>
      <w:r w:rsidRPr="00214A2E">
        <w:t>• Tuz oluşumlarına depolama</w:t>
      </w:r>
    </w:p>
    <w:p w:rsidR="00A04556" w:rsidRPr="00214A2E" w:rsidRDefault="00A04556" w:rsidP="00940C8B">
      <w:pPr>
        <w:spacing w:before="120" w:after="120" w:line="360" w:lineRule="auto"/>
        <w:jc w:val="both"/>
      </w:pPr>
      <w:r w:rsidRPr="00214A2E">
        <w:t>• Kömür yataklarında metan çkışının artırılması(Enhanced Coal Bed Methane Recovery – ECBM)</w:t>
      </w:r>
    </w:p>
    <w:p w:rsidR="00A04556" w:rsidRPr="00214A2E" w:rsidRDefault="00A04556" w:rsidP="00940C8B">
      <w:pPr>
        <w:spacing w:before="120" w:after="120" w:line="360" w:lineRule="auto"/>
        <w:jc w:val="both"/>
      </w:pPr>
      <w:r w:rsidRPr="00214A2E">
        <w:t>• Okyanuslara depolama</w:t>
      </w:r>
    </w:p>
    <w:p w:rsidR="00A04556" w:rsidRPr="00026FE1" w:rsidRDefault="00F433E3" w:rsidP="000F09AA">
      <w:pPr>
        <w:spacing w:before="240" w:after="240" w:line="360" w:lineRule="auto"/>
        <w:ind w:firstLine="708"/>
        <w:jc w:val="both"/>
      </w:pPr>
      <w:r w:rsidRPr="00026FE1">
        <w:t>Petrol ve gaz rezervleri yüzyıllardır kullanıldıkları için, boşalan alanlara CO</w:t>
      </w:r>
      <w:r w:rsidRPr="00026FE1">
        <w:rPr>
          <w:vertAlign w:val="subscript"/>
        </w:rPr>
        <w:t>2</w:t>
      </w:r>
      <w:r w:rsidR="002D2456">
        <w:t xml:space="preserve"> enjeksiyonu (Şekil 2.10</w:t>
      </w:r>
      <w:r w:rsidRPr="00026FE1">
        <w:t xml:space="preserve">) güvenilir bir depolama biçimidir. Derin tuzlu akifler tuzlu su barındırdıklarından </w:t>
      </w:r>
      <w:r w:rsidR="000F09AA" w:rsidRPr="00026FE1">
        <w:t>depolama kapasiteleri yüksektir. Günümüzde karbon yakalama maliyeti (1 ton CO</w:t>
      </w:r>
      <w:r w:rsidR="000F09AA" w:rsidRPr="00026FE1">
        <w:rPr>
          <w:vertAlign w:val="subscript"/>
        </w:rPr>
        <w:t xml:space="preserve">2 </w:t>
      </w:r>
      <w:r w:rsidR="000F09AA" w:rsidRPr="00026FE1">
        <w:t>25-60 €</w:t>
      </w:r>
      <w:r w:rsidR="00026FE1">
        <w:t>), karbon taşıma maliyetinde</w:t>
      </w:r>
      <w:r w:rsidR="000F09AA" w:rsidRPr="00026FE1">
        <w:t>n (1 ton CO</w:t>
      </w:r>
      <w:r w:rsidR="000F09AA" w:rsidRPr="00026FE1">
        <w:rPr>
          <w:vertAlign w:val="subscript"/>
        </w:rPr>
        <w:t xml:space="preserve">2 </w:t>
      </w:r>
      <w:r w:rsidR="000F09AA" w:rsidRPr="00026FE1">
        <w:t xml:space="preserve">1-4 €) yüksektir. Depolama maliyetleri ise </w:t>
      </w:r>
      <w:r w:rsidR="00A04556" w:rsidRPr="00026FE1">
        <w:t xml:space="preserve">ağırlıkla </w:t>
      </w:r>
      <w:r w:rsidR="007D6360" w:rsidRPr="00026FE1">
        <w:t>basımın yapılacağı rezervuarın çeşidine</w:t>
      </w:r>
      <w:r w:rsidR="00A04556" w:rsidRPr="00026FE1">
        <w:t xml:space="preserve"> bağlıdır. Akiferler</w:t>
      </w:r>
      <w:r w:rsidR="00026FE1">
        <w:t>’</w:t>
      </w:r>
      <w:r w:rsidR="00A04556" w:rsidRPr="00026FE1">
        <w:t>de ve tüketilmiş petrol ve gaz rezervuarlarında, maliyet 1 ton CO</w:t>
      </w:r>
      <w:r w:rsidR="00827634" w:rsidRPr="00026FE1">
        <w:rPr>
          <w:vertAlign w:val="subscript"/>
        </w:rPr>
        <w:t>2</w:t>
      </w:r>
      <w:r w:rsidR="00A04556" w:rsidRPr="00026FE1">
        <w:t xml:space="preserve"> </w:t>
      </w:r>
      <w:r w:rsidR="00827634" w:rsidRPr="00026FE1">
        <w:t>başına 10 ila 20 € arasıdır. CO</w:t>
      </w:r>
      <w:r w:rsidR="00827634" w:rsidRPr="00026FE1">
        <w:rPr>
          <w:vertAlign w:val="subscript"/>
        </w:rPr>
        <w:t>2</w:t>
      </w:r>
      <w:r w:rsidR="00A04556" w:rsidRPr="00026FE1">
        <w:t xml:space="preserve"> basımında ilave petrol</w:t>
      </w:r>
      <w:r w:rsidR="00827634" w:rsidRPr="00026FE1">
        <w:t xml:space="preserve"> ve gaz üretimi varsa, 1 ton CO</w:t>
      </w:r>
      <w:r w:rsidR="00827634" w:rsidRPr="00026FE1">
        <w:rPr>
          <w:vertAlign w:val="subscript"/>
        </w:rPr>
        <w:t>2</w:t>
      </w:r>
      <w:r w:rsidR="00A04556" w:rsidRPr="00026FE1">
        <w:t xml:space="preserve"> başına maliyet 10 € </w:t>
      </w:r>
      <w:r w:rsidR="007D6360" w:rsidRPr="00026FE1">
        <w:t>altına düşebilir.</w:t>
      </w:r>
      <w:r w:rsidR="007D6360" w:rsidRPr="00026FE1">
        <w:rPr>
          <w:rStyle w:val="DipnotBavurusu"/>
        </w:rPr>
        <w:footnoteReference w:id="27"/>
      </w:r>
    </w:p>
    <w:p w:rsidR="00A04556" w:rsidRPr="00B076A7" w:rsidRDefault="00376C0F" w:rsidP="00126FA4">
      <w:pPr>
        <w:pStyle w:val="Balk4"/>
      </w:pPr>
      <w:bookmarkStart w:id="130" w:name="_Toc384823999"/>
      <w:r>
        <w:t>2.1.3</w:t>
      </w:r>
      <w:r w:rsidR="00A04556" w:rsidRPr="00A04556">
        <w:t xml:space="preserve">.4. </w:t>
      </w:r>
      <w:r w:rsidR="00B076A7">
        <w:t>Karbon Yakalama ve Depolama Teknolojileri</w:t>
      </w:r>
      <w:bookmarkEnd w:id="130"/>
    </w:p>
    <w:p w:rsidR="00986690" w:rsidRDefault="00986690" w:rsidP="0027693C">
      <w:pPr>
        <w:pStyle w:val="ListeParagraf"/>
        <w:shd w:val="clear" w:color="auto" w:fill="FFFFFF"/>
        <w:spacing w:before="240" w:after="240" w:line="360" w:lineRule="auto"/>
        <w:ind w:left="0" w:firstLine="708"/>
        <w:jc w:val="both"/>
      </w:pPr>
      <w:r>
        <w:t xml:space="preserve">IPCC’nin </w:t>
      </w:r>
      <w:r w:rsidRPr="00986690">
        <w:t xml:space="preserve">(TAR) </w:t>
      </w:r>
      <w:r>
        <w:t>özel raporuna göre</w:t>
      </w:r>
      <w:r w:rsidR="00EC0266">
        <w:rPr>
          <w:rStyle w:val="DipnotBavurusu"/>
        </w:rPr>
        <w:footnoteReference w:id="28"/>
      </w:r>
      <w:r>
        <w:t xml:space="preserve"> farklı tipte CO</w:t>
      </w:r>
      <w:r>
        <w:rPr>
          <w:vertAlign w:val="subscript"/>
        </w:rPr>
        <w:t>2</w:t>
      </w:r>
      <w:r>
        <w:t xml:space="preserve"> tutma sistemleri mevcuttur. Yakma sonrası (post-combustion), yakma öncesi (pre-combustion) ve oxy </w:t>
      </w:r>
      <w:r w:rsidR="00236E6D">
        <w:t>y</w:t>
      </w:r>
      <w:r>
        <w:t xml:space="preserve">akıt yakma (oxy fuel combustion). </w:t>
      </w:r>
      <w:r w:rsidR="0027693C">
        <w:t>Gaz akımındaki CO</w:t>
      </w:r>
      <w:r w:rsidR="0027693C">
        <w:rPr>
          <w:vertAlign w:val="subscript"/>
        </w:rPr>
        <w:t>2</w:t>
      </w:r>
      <w:r w:rsidR="0027693C">
        <w:t xml:space="preserve"> yoğunluğunu, gaz akımının basıncı ve yakıt türü (katı veya) belirler. Santrallerdeki yakma sonrası tutma ekonomik olarak daha uygundur. Bu yöntem daha çok elektrik santrallerinin baca gazlarından elde edilen CO</w:t>
      </w:r>
      <w:r w:rsidR="0027693C">
        <w:rPr>
          <w:vertAlign w:val="subscript"/>
        </w:rPr>
        <w:t>2</w:t>
      </w:r>
      <w:r w:rsidR="0027693C">
        <w:t xml:space="preserve"> tutumu için kullanışlıdır. Yakma öncesi tutma ekonomik olarak daha pahalıdır. Gaz akımında daha yüksek CO</w:t>
      </w:r>
      <w:r w:rsidR="0027693C">
        <w:rPr>
          <w:vertAlign w:val="subscript"/>
        </w:rPr>
        <w:t>2</w:t>
      </w:r>
      <w:r w:rsidR="0027693C">
        <w:t xml:space="preserve"> yoğunluğunu ve yüksek basıncı kolayca ayrıştırır. Oxy yakıt yakma ise henüz deneme aşamasındadır ve yüksek saf oksijen kullanılır. </w:t>
      </w:r>
    </w:p>
    <w:p w:rsidR="00FA36AE" w:rsidRPr="00213F31" w:rsidRDefault="00FA36AE" w:rsidP="00213F31">
      <w:pPr>
        <w:pStyle w:val="ListeParagraf"/>
        <w:shd w:val="clear" w:color="auto" w:fill="FFFFFF"/>
        <w:spacing w:before="240" w:after="240" w:line="360" w:lineRule="auto"/>
        <w:ind w:left="0" w:firstLine="708"/>
        <w:jc w:val="both"/>
        <w:rPr>
          <w:color w:val="000000"/>
        </w:rPr>
      </w:pPr>
      <w:r>
        <w:t>Yakma sonra CCS teknolojileri amin bazlı kimyasal solventler</w:t>
      </w:r>
      <w:r w:rsidR="00965A62">
        <w:t xml:space="preserve"> </w:t>
      </w:r>
      <w:r>
        <w:t>kullanılarak atık gazdan çıkan CO</w:t>
      </w:r>
      <w:r>
        <w:rPr>
          <w:vertAlign w:val="subscript"/>
        </w:rPr>
        <w:t>2</w:t>
      </w:r>
      <w:r>
        <w:t xml:space="preserve">’yi yakalama ilkesine dayanır. Örnek olarak ABD Warrior Run Enerji </w:t>
      </w:r>
      <w:r>
        <w:lastRenderedPageBreak/>
        <w:t xml:space="preserve">Tesisi bu yöntemle çalışan bir kuruluştur. Yakma öncesi CCS teknolojilerine Hollanda’daki Gazlaştırma IGCC Tesisi iyi bir örnektir. </w:t>
      </w:r>
      <w:r w:rsidR="00E322D7">
        <w:t>Bu tesis kömürü oksijence zengin yakarak, saf CO</w:t>
      </w:r>
      <w:r w:rsidR="00E322D7">
        <w:rPr>
          <w:vertAlign w:val="subscript"/>
        </w:rPr>
        <w:t>2</w:t>
      </w:r>
      <w:r w:rsidR="00E322D7">
        <w:t xml:space="preserve"> elde etme prensibine dayanır. Kaliforniya’daki 5MW CES Tesisi Oxy yakıt yakma teknolojisine dayanır. </w:t>
      </w:r>
      <w:r w:rsidRPr="00FA36AE">
        <w:rPr>
          <w:color w:val="000000"/>
        </w:rPr>
        <w:t>Bu teknolojiler, son zamanlarda, akademik araştırmalar içerisinde en popüler olanlardır. Yapılan çok çeşitli araştırmalar aras</w:t>
      </w:r>
      <w:r w:rsidR="00A53DCA">
        <w:rPr>
          <w:color w:val="000000"/>
        </w:rPr>
        <w:t>ında en çok göze çarpan ise, bi</w:t>
      </w:r>
      <w:r w:rsidRPr="00FA36AE">
        <w:rPr>
          <w:color w:val="000000"/>
        </w:rPr>
        <w:t>okütle ve kömürü harmanlayarak kullanan enerji üretim tesisleri üzerindeki çalışmalardır; gene bu araştırmalarda kömür kullanımı korkunç düzeyde olan Çin, en çok mercek altına alınan ülkelerdendir.</w:t>
      </w:r>
      <w:r w:rsidR="00E322D7">
        <w:rPr>
          <w:rStyle w:val="DipnotBavurusu"/>
          <w:color w:val="000000"/>
        </w:rPr>
        <w:footnoteReference w:id="29"/>
      </w:r>
    </w:p>
    <w:p w:rsidR="00255336" w:rsidRDefault="00965A62" w:rsidP="0027693C">
      <w:pPr>
        <w:shd w:val="clear" w:color="auto" w:fill="FFFFFF"/>
        <w:spacing w:before="240" w:after="240" w:line="360" w:lineRule="auto"/>
        <w:ind w:firstLine="708"/>
        <w:jc w:val="both"/>
      </w:pPr>
      <w:r>
        <w:t>Yenilenebilir Enerji Genel Müdürlüğü’nün verilerine göre</w:t>
      </w:r>
      <w:r>
        <w:rPr>
          <w:rStyle w:val="DipnotBavurusu"/>
        </w:rPr>
        <w:footnoteReference w:id="30"/>
      </w:r>
      <w:r>
        <w:t xml:space="preserve"> </w:t>
      </w:r>
      <w:r w:rsidR="00F14F92">
        <w:t>k</w:t>
      </w:r>
      <w:r w:rsidR="00BD042C" w:rsidRPr="00986690">
        <w:t>arbon yakalama ve depolama tek bir teknoloji olmayıp, karbon tutma, s</w:t>
      </w:r>
      <w:r w:rsidR="00A1625A" w:rsidRPr="00986690">
        <w:t xml:space="preserve">ıkıştırma, taşıma ve depolama </w:t>
      </w:r>
      <w:r w:rsidR="00F14F92">
        <w:t xml:space="preserve">gibi çeşitli işlemleri </w:t>
      </w:r>
      <w:r w:rsidR="00BD042C" w:rsidRPr="00986690">
        <w:t xml:space="preserve">kapsayan bir dizi teknolojinin kombinasyonundan oluşmaktadır. </w:t>
      </w:r>
      <w:r w:rsidR="00D9319C">
        <w:t xml:space="preserve">Fosil yakıt kullanılarak elektrik üretim tesisleri, </w:t>
      </w:r>
      <w:r w:rsidR="00BD042C" w:rsidRPr="00986690">
        <w:t>rafineriler, hidrojen üretim tesisleri, çimento, demir-çelik, petro-kimya endüstrileri gibi alanl</w:t>
      </w:r>
      <w:r w:rsidR="00D9319C">
        <w:t xml:space="preserve">arda uygulanabilmektedirler. </w:t>
      </w:r>
      <w:r w:rsidR="00255336" w:rsidRPr="00255336">
        <w:t xml:space="preserve">Kömür, doğalgaz, petrol gibi fosil yakıtlar kullanımı </w:t>
      </w:r>
      <w:r w:rsidR="00255336">
        <w:t>her geçen gün</w:t>
      </w:r>
      <w:r w:rsidR="00255336" w:rsidRPr="00255336">
        <w:t xml:space="preserve"> hızla artmaktadır. Fosil kaynaklı elektrik santralleri, demir çelik, çimento, alüminyum </w:t>
      </w:r>
      <w:r w:rsidR="00255336">
        <w:t>gibi</w:t>
      </w:r>
      <w:r w:rsidR="00255336" w:rsidRPr="00255336">
        <w:t xml:space="preserve"> ağır sanayi tesisleri, hava, deniz taşıtları ve kara nakil araçları, ev ve iş yerleri ısınma, soğutma ve diğer enerji gereksinimleri büyük oranlarda küresel fosil yakıt yakılması suretiyle karşılanmaktadır. </w:t>
      </w:r>
    </w:p>
    <w:p w:rsidR="00A04556" w:rsidRPr="00986690" w:rsidRDefault="00D9319C" w:rsidP="0027693C">
      <w:pPr>
        <w:shd w:val="clear" w:color="auto" w:fill="FFFFFF"/>
        <w:spacing w:before="240" w:after="240" w:line="360" w:lineRule="auto"/>
        <w:ind w:firstLine="708"/>
        <w:jc w:val="both"/>
      </w:pPr>
      <w:r>
        <w:t>CO</w:t>
      </w:r>
      <w:r>
        <w:rPr>
          <w:vertAlign w:val="subscript"/>
        </w:rPr>
        <w:t>2</w:t>
      </w:r>
      <w:r>
        <w:t xml:space="preserve"> tutma</w:t>
      </w:r>
      <w:r w:rsidR="00255336">
        <w:t xml:space="preserve"> işlemleri</w:t>
      </w:r>
      <w:r>
        <w:t>, baca gazından CO</w:t>
      </w:r>
      <w:r>
        <w:rPr>
          <w:vertAlign w:val="subscript"/>
        </w:rPr>
        <w:t>2</w:t>
      </w:r>
      <w:r w:rsidR="00BD042C" w:rsidRPr="00986690">
        <w:t>’in ayr</w:t>
      </w:r>
      <w:r w:rsidR="00255336">
        <w:t>ıştırılması</w:t>
      </w:r>
      <w:r w:rsidR="00BD042C" w:rsidRPr="00986690">
        <w:t>, sıkıştırılması, kurut</w:t>
      </w:r>
      <w:r w:rsidR="00255336">
        <w:t>ulması, taşınması ve depolanmasından ibarettir</w:t>
      </w:r>
      <w:r w:rsidR="00BD042C" w:rsidRPr="00986690">
        <w:t xml:space="preserve">. Elektrik enerjisi üretimi için karbon tutma başlıca, yanma sonrası, yanma öncesi </w:t>
      </w:r>
      <w:r w:rsidR="009F6C64">
        <w:t>ve oxy</w:t>
      </w:r>
      <w:r w:rsidR="00215E26">
        <w:t xml:space="preserve">-yakıt yakma </w:t>
      </w:r>
      <w:r w:rsidR="00BD042C" w:rsidRPr="00986690">
        <w:t xml:space="preserve">teknolojileri kullanılmaktadır. </w:t>
      </w:r>
    </w:p>
    <w:p w:rsidR="00BD042C" w:rsidRDefault="009F6C64" w:rsidP="00986690">
      <w:pPr>
        <w:spacing w:before="240" w:after="240" w:line="360" w:lineRule="auto"/>
        <w:ind w:firstLine="708"/>
        <w:jc w:val="both"/>
      </w:pPr>
      <w:r>
        <w:t>Oxy</w:t>
      </w:r>
      <w:r w:rsidR="00BD042C" w:rsidRPr="00986690">
        <w:t>-yakıt yakma yönteminde, yakıtın yakılmasında hava yerine oksijen kullanılır. Bu nedenle, hava ayrıştırma ünitesi bulunmaktadır. Ba</w:t>
      </w:r>
      <w:r w:rsidR="00215E26">
        <w:t>ca gazında su buharı sıkıştırıla</w:t>
      </w:r>
      <w:r w:rsidR="00BD042C" w:rsidRPr="00986690">
        <w:t>rak ve soğutularak ayrılır. Baca gazındaki kirletici emisy</w:t>
      </w:r>
      <w:r w:rsidR="008A41A8" w:rsidRPr="00986690">
        <w:t>onlar arıtılır. Geride kalan CO</w:t>
      </w:r>
      <w:r w:rsidR="008A41A8" w:rsidRPr="00986690">
        <w:rPr>
          <w:vertAlign w:val="subscript"/>
        </w:rPr>
        <w:t>2</w:t>
      </w:r>
      <w:r w:rsidR="00BD042C" w:rsidRPr="00986690">
        <w:t xml:space="preserve"> sıkıştırılarak depolanmaya hazır hale getirilir. Hava ayrıştığından ve yanma öncesinde azot ayrıldığından dolayı azot oksitler için arıtma sistemi gerektirmez.</w:t>
      </w:r>
    </w:p>
    <w:p w:rsidR="00215E26" w:rsidRDefault="00215E26" w:rsidP="00BB2C8E">
      <w:pPr>
        <w:spacing w:before="240" w:after="240" w:line="360" w:lineRule="auto"/>
        <w:ind w:firstLine="709"/>
        <w:jc w:val="both"/>
      </w:pPr>
      <w:r w:rsidRPr="00BB2C8E">
        <w:t xml:space="preserve">Dünyanın en büyük gelişmiş karbon yakalama </w:t>
      </w:r>
      <w:r w:rsidRPr="00215E26">
        <w:t>te</w:t>
      </w:r>
      <w:r w:rsidR="00BB2C8E" w:rsidRPr="00BB2C8E">
        <w:t>sti merkezi</w:t>
      </w:r>
      <w:r w:rsidRPr="00215E26">
        <w:t xml:space="preserve"> </w:t>
      </w:r>
      <w:r w:rsidRPr="00BB2C8E">
        <w:t xml:space="preserve">Norveç’in </w:t>
      </w:r>
      <w:r w:rsidR="006113D7" w:rsidRPr="006113D7">
        <w:t xml:space="preserve">Mongstad </w:t>
      </w:r>
      <w:r w:rsidRPr="00BB2C8E">
        <w:t>kentinde bulunmaktadır.</w:t>
      </w:r>
      <w:r w:rsidR="00BB2C8E" w:rsidRPr="00BB2C8E">
        <w:t xml:space="preserve"> Norveç Hükümeti ve Norveç Devlet Şirketi Statoil bu projeye 2006 yılında </w:t>
      </w:r>
      <w:r w:rsidR="00624A64">
        <w:t>başlatmış, 2012 yılında tamamlamıştır</w:t>
      </w:r>
      <w:r w:rsidR="00BB2C8E" w:rsidRPr="00BB2C8E">
        <w:t xml:space="preserve">. </w:t>
      </w:r>
      <w:r w:rsidR="00702035">
        <w:t xml:space="preserve">Mongstad’taki karbon </w:t>
      </w:r>
      <w:r w:rsidR="00702035">
        <w:lastRenderedPageBreak/>
        <w:t>yakalama projesi (CO</w:t>
      </w:r>
      <w:r w:rsidR="00702035" w:rsidRPr="00D534FD">
        <w:rPr>
          <w:vertAlign w:val="subscript"/>
        </w:rPr>
        <w:t>2</w:t>
      </w:r>
      <w:r w:rsidR="00702035">
        <w:t xml:space="preserve"> Capture </w:t>
      </w:r>
      <w:proofErr w:type="gramStart"/>
      <w:r w:rsidR="00702035">
        <w:t>Mongstad , CCM</w:t>
      </w:r>
      <w:proofErr w:type="gramEnd"/>
      <w:r w:rsidR="00702035">
        <w:t xml:space="preserve">) </w:t>
      </w:r>
      <w:r w:rsidR="00BB2C8E">
        <w:t>Norveç’</w:t>
      </w:r>
      <w:r w:rsidR="00624A64">
        <w:t>e</w:t>
      </w:r>
      <w:r w:rsidR="00BB2C8E">
        <w:t xml:space="preserve"> 1 milyar dolara</w:t>
      </w:r>
      <w:r w:rsidR="00624A64">
        <w:t xml:space="preserve"> mal olmuştur.</w:t>
      </w:r>
      <w:r w:rsidR="00BB2C8E">
        <w:t xml:space="preserve"> </w:t>
      </w:r>
      <w:r w:rsidRPr="00215E26">
        <w:t xml:space="preserve">Shell yöneticisi Andy Brown </w:t>
      </w:r>
      <w:r w:rsidR="00702035" w:rsidRPr="00702035">
        <w:t>CCM</w:t>
      </w:r>
      <w:r w:rsidR="00A53E45">
        <w:t xml:space="preserve"> tesisin açılışında </w:t>
      </w:r>
      <w:r w:rsidRPr="00215E26">
        <w:t>''Bu merkez sayesinde atık gazlarda ve rafin</w:t>
      </w:r>
      <w:r w:rsidR="00A53E45">
        <w:t>eri atıklarında bulunan karbon</w:t>
      </w:r>
      <w:r w:rsidRPr="00215E26">
        <w:t>dioksit gazını ucuza ve etkili bir biçimde nasıl yakal</w:t>
      </w:r>
      <w:r w:rsidR="00A53E45">
        <w:t>ayabileceğimizi bulacağız'' ifade etmiştir</w:t>
      </w:r>
      <w:r w:rsidRPr="00215E26">
        <w:t>.</w:t>
      </w:r>
      <w:r w:rsidR="00BB2C8E">
        <w:rPr>
          <w:rStyle w:val="DipnotBavurusu"/>
        </w:rPr>
        <w:footnoteReference w:id="31"/>
      </w:r>
    </w:p>
    <w:p w:rsidR="00CC578F" w:rsidRPr="00215E26" w:rsidRDefault="00CC578F" w:rsidP="00CC578F">
      <w:pPr>
        <w:spacing w:before="240" w:after="240" w:line="360" w:lineRule="auto"/>
        <w:ind w:firstLine="708"/>
        <w:jc w:val="both"/>
      </w:pPr>
      <w:r>
        <w:t>Norveç</w:t>
      </w:r>
      <w:r w:rsidR="000B6E9E">
        <w:t xml:space="preserve"> Hükümeti,</w:t>
      </w:r>
      <w:r w:rsidR="006113D7">
        <w:t xml:space="preserve"> Mongstad şehrinde </w:t>
      </w:r>
      <w:r>
        <w:t xml:space="preserve">kurulan </w:t>
      </w:r>
      <w:r w:rsidRPr="00215E26">
        <w:t>yeni tesiste</w:t>
      </w:r>
      <w:r w:rsidR="00702035">
        <w:t xml:space="preserve"> (</w:t>
      </w:r>
      <w:r w:rsidR="000A3A8C">
        <w:t>CCM</w:t>
      </w:r>
      <w:r w:rsidR="00702035">
        <w:t>)</w:t>
      </w:r>
      <w:r w:rsidR="00702035" w:rsidRPr="00702035">
        <w:t xml:space="preserve"> </w:t>
      </w:r>
      <w:r w:rsidRPr="00215E26">
        <w:t>yapılacak araştırmalar sayesinde</w:t>
      </w:r>
      <w:r w:rsidR="000B6E9E">
        <w:t>,</w:t>
      </w:r>
      <w:r w:rsidRPr="00215E26">
        <w:t xml:space="preserve"> karbon kontrolü bulunan santrallerin verimliliğini %</w:t>
      </w:r>
      <w:r w:rsidR="006113D7">
        <w:t xml:space="preserve"> </w:t>
      </w:r>
      <w:r w:rsidRPr="00215E26">
        <w:t>54 civarında tutabilmeyi</w:t>
      </w:r>
      <w:r w:rsidR="006113D7">
        <w:t xml:space="preserve"> hedeflemektedir</w:t>
      </w:r>
      <w:r w:rsidRPr="00215E26">
        <w:t>.</w:t>
      </w:r>
      <w:r w:rsidRPr="00CC578F">
        <w:t xml:space="preserve"> </w:t>
      </w:r>
      <w:r w:rsidR="000B6E9E">
        <w:t>CCM tesisi</w:t>
      </w:r>
      <w:r w:rsidRPr="00215E26">
        <w:t xml:space="preserve"> sıvı bazlı teknolojiler</w:t>
      </w:r>
      <w:r w:rsidR="009A1B6C">
        <w:t xml:space="preserve">in de test edilebileceği vurgulanmaktadır. </w:t>
      </w:r>
      <w:r w:rsidR="000B6E9E">
        <w:t xml:space="preserve">Ayrıca </w:t>
      </w:r>
      <w:r w:rsidRPr="00215E26">
        <w:t xml:space="preserve">Bu yeni tesis yeni teknolojiler kullanmak isteyen tüm santraller ve </w:t>
      </w:r>
      <w:r w:rsidR="000B6E9E">
        <w:t>fabrikalar için deneyler yapma potansiyeline sahip olduğu vurgulanmaktadır</w:t>
      </w:r>
      <w:r w:rsidRPr="00215E26">
        <w:t>.</w:t>
      </w:r>
      <w:r w:rsidR="00C4251F">
        <w:rPr>
          <w:rStyle w:val="DipnotBavurusu"/>
        </w:rPr>
        <w:footnoteReference w:id="32"/>
      </w:r>
    </w:p>
    <w:p w:rsidR="00CC578F" w:rsidRPr="00215E26" w:rsidRDefault="00215E26" w:rsidP="00CC578F">
      <w:pPr>
        <w:spacing w:before="240" w:after="240" w:line="360" w:lineRule="auto"/>
        <w:ind w:firstLine="708"/>
        <w:jc w:val="both"/>
      </w:pPr>
      <w:r w:rsidRPr="00215E26">
        <w:t xml:space="preserve">Uluslararası Enerji Ajansı </w:t>
      </w:r>
      <w:r w:rsidR="000620A1">
        <w:t xml:space="preserve">Norveç’teki dünyanın en büyük karbon yakalama ve depolama tesisi için, </w:t>
      </w:r>
      <w:r w:rsidRPr="00215E26">
        <w:t>bur</w:t>
      </w:r>
      <w:r w:rsidR="00CC578F">
        <w:t>a</w:t>
      </w:r>
      <w:r w:rsidRPr="00215E26">
        <w:t>da edinilecek bilgilerin küresel ısınma ile savaşta önemli adımlar atılmasını sağl</w:t>
      </w:r>
      <w:r w:rsidR="000620A1">
        <w:t>ayacağını belirtmiştir. Norveç d</w:t>
      </w:r>
      <w:r w:rsidRPr="00215E26">
        <w:t xml:space="preserve">oğaya bırakılan karbon miktarının vergiye bağlanması kararının ardından dünyanın en gelişmiş karbon yakalama projesini </w:t>
      </w:r>
      <w:r w:rsidR="00CC578F">
        <w:t>bitirerek küresel ısınmaya karşı mücadelede dünyanın en duyarlı ülkeleri arasındadır.</w:t>
      </w:r>
    </w:p>
    <w:p w:rsidR="00EB59C1" w:rsidRDefault="00EB59C1" w:rsidP="0031716B">
      <w:pPr>
        <w:pStyle w:val="Balk3"/>
        <w:numPr>
          <w:ilvl w:val="0"/>
          <w:numId w:val="0"/>
        </w:numPr>
      </w:pPr>
      <w:bookmarkStart w:id="131" w:name="_Toc384824000"/>
      <w:r>
        <w:t>2.1.</w:t>
      </w:r>
      <w:r w:rsidR="00376C0F">
        <w:t>4</w:t>
      </w:r>
      <w:r>
        <w:t xml:space="preserve">. </w:t>
      </w:r>
      <w:r w:rsidR="00376C0F">
        <w:t>Karbon Yutakları</w:t>
      </w:r>
      <w:bookmarkEnd w:id="131"/>
    </w:p>
    <w:p w:rsidR="00B847CC" w:rsidRDefault="00B847CC" w:rsidP="006F1FBA">
      <w:pPr>
        <w:spacing w:before="240" w:after="240" w:line="360" w:lineRule="auto"/>
        <w:ind w:firstLine="709"/>
        <w:jc w:val="both"/>
      </w:pPr>
      <w:r>
        <w:t>Karbon yutakları, karbon emisyonlarını absorbe eden yutaklardır. Bu yutaklar, okyanus, orman ve toprak gibi karbon emisyonlarını absorbe eden mekanizmalardır. Fosil yakı</w:t>
      </w:r>
      <w:r w:rsidR="00236E6D">
        <w:t>tlar kullanılmadan önce dünyada d</w:t>
      </w:r>
      <w:r>
        <w:t>oğal</w:t>
      </w:r>
      <w:r w:rsidR="00236E6D">
        <w:t xml:space="preserve"> bir</w:t>
      </w:r>
      <w:r>
        <w:t xml:space="preserve"> karbon döngüsü mevcut olup yeryüzünde değişik şekillerde meydana gelen karbon emisyonları, okyanus, orman ve toprakla doğal bir şekilde absorbe </w:t>
      </w:r>
      <w:r w:rsidR="00236E6D">
        <w:t>ediliyordu</w:t>
      </w:r>
      <w:r>
        <w:t xml:space="preserve">. Son yüzyılda fosil yakıtların enerji üretimi için kullanılmaya başlamasıyla mevcut yutaklar karbon emisyonlarını absorbe etmeye yetmemektedir. </w:t>
      </w:r>
    </w:p>
    <w:p w:rsidR="00B847CC" w:rsidRDefault="00B847CC" w:rsidP="006F1FBA">
      <w:pPr>
        <w:spacing w:before="240" w:after="240" w:line="360" w:lineRule="auto"/>
        <w:ind w:firstLine="709"/>
        <w:jc w:val="both"/>
      </w:pPr>
      <w:r>
        <w:t>İnsanoğlu her yıl (insan kaynaklı)</w:t>
      </w:r>
      <w:r w:rsidRPr="00F46994">
        <w:t xml:space="preserve"> </w:t>
      </w:r>
      <w:proofErr w:type="gramStart"/>
      <w:r w:rsidRPr="00F46994">
        <w:t>3</w:t>
      </w:r>
      <w:r w:rsidR="006F1FBA">
        <w:t>.</w:t>
      </w:r>
      <w:r w:rsidRPr="00F46994">
        <w:t>2</w:t>
      </w:r>
      <w:proofErr w:type="gramEnd"/>
      <w:r w:rsidRPr="00F46994">
        <w:t xml:space="preserve"> milyar ton (Gt) karbon</w:t>
      </w:r>
      <w:r>
        <w:t>u</w:t>
      </w:r>
      <w:r w:rsidRPr="00F46994">
        <w:t xml:space="preserve"> atmosfere </w:t>
      </w:r>
      <w:r>
        <w:t>bocalamaktadır</w:t>
      </w:r>
      <w:r w:rsidRPr="00F46994">
        <w:t xml:space="preserve">. </w:t>
      </w:r>
      <w:r>
        <w:t xml:space="preserve">Bocalanan bu karbon emisyonlarındaki </w:t>
      </w:r>
      <w:r w:rsidRPr="00F46994">
        <w:t>en büyük pay</w:t>
      </w:r>
      <w:r>
        <w:t>ı</w:t>
      </w:r>
      <w:r w:rsidRPr="00F46994">
        <w:t>, enerji üretimi için fosil yakıt kullanılmasın</w:t>
      </w:r>
      <w:r>
        <w:t>dan kaynaklanmaktadır.</w:t>
      </w:r>
      <w:r w:rsidRPr="00F46994">
        <w:t xml:space="preserve"> Son 150 yıl içerisinde fosil yakıt kullanılması ve çimento üretiminden 265 Gt, arazi kullanım deği</w:t>
      </w:r>
      <w:r>
        <w:t>ş</w:t>
      </w:r>
      <w:r w:rsidRPr="00F46994">
        <w:t>ikliğinden 124 Gt olmak üzere toplam 389 Gt karbon atmosfere salınmı</w:t>
      </w:r>
      <w:r>
        <w:t>ş</w:t>
      </w:r>
      <w:r w:rsidRPr="00F46994">
        <w:t>tır. Bunun 214 Gt'si kara eko-</w:t>
      </w:r>
      <w:r w:rsidRPr="00F46994">
        <w:lastRenderedPageBreak/>
        <w:t>sistemleri ve okyanuslar tarafından geri alınmı</w:t>
      </w:r>
      <w:r>
        <w:t>ş</w:t>
      </w:r>
      <w:r w:rsidRPr="00F46994">
        <w:t>, atmosferde 175 Gt karbon fazlalığı ortaya çıkmı</w:t>
      </w:r>
      <w:r>
        <w:t>ş</w:t>
      </w:r>
      <w:r w:rsidRPr="00F46994">
        <w:t>tır</w:t>
      </w:r>
      <w:r>
        <w:t xml:space="preserve"> (Anonim, 2001; 2)</w:t>
      </w:r>
      <w:r w:rsidRPr="00F46994">
        <w:t>. </w:t>
      </w:r>
    </w:p>
    <w:p w:rsidR="00B847CC" w:rsidRPr="00EF41B7" w:rsidRDefault="00B847CC" w:rsidP="006F1FBA">
      <w:pPr>
        <w:spacing w:before="240" w:after="240" w:line="360" w:lineRule="auto"/>
        <w:ind w:firstLine="709"/>
        <w:jc w:val="both"/>
      </w:pPr>
      <w:r>
        <w:t>Okyanuslar çok büyük ve önemli karbon yutaklarıdır. Karbon yutağı olma özelliğini iki şekilde yerine getirirler. Birincisi biyolojik olmayan bir süreçle CO</w:t>
      </w:r>
      <w:r>
        <w:rPr>
          <w:vertAlign w:val="subscript"/>
        </w:rPr>
        <w:t>2</w:t>
      </w:r>
      <w:r>
        <w:t xml:space="preserve"> okyanusta çözünmüş halde bulunur ve okyanusun diplerine kadar taşınır. İkincisi CO</w:t>
      </w:r>
      <w:r>
        <w:rPr>
          <w:vertAlign w:val="subscript"/>
        </w:rPr>
        <w:t>2</w:t>
      </w:r>
      <w:r>
        <w:t xml:space="preserve"> biyolojik işlemlerle okyanusun katmanlarına organik madde taşımacılığı yapar.</w:t>
      </w:r>
      <w:r>
        <w:rPr>
          <w:rStyle w:val="DipnotBavurusu"/>
        </w:rPr>
        <w:footnoteReference w:id="33"/>
      </w:r>
      <w:r>
        <w:t xml:space="preserve"> Ayrıca okyanuslar atmosferle birlikte işbirliği yapan büyük karbon yutaklarıdır.</w:t>
      </w:r>
    </w:p>
    <w:p w:rsidR="00B847CC" w:rsidRDefault="00B847CC" w:rsidP="006F1FBA">
      <w:pPr>
        <w:spacing w:before="240" w:after="240" w:line="360" w:lineRule="auto"/>
        <w:ind w:firstLine="709"/>
        <w:jc w:val="both"/>
      </w:pPr>
      <w:r w:rsidRPr="00EF41B7">
        <w:t xml:space="preserve">Ormanlar hem atmosfere bırakılan </w:t>
      </w:r>
      <w:r w:rsidR="003463A8">
        <w:t>sera gazı</w:t>
      </w:r>
      <w:r w:rsidRPr="00EF41B7">
        <w:t xml:space="preserve"> emisyonların</w:t>
      </w:r>
      <w:r w:rsidR="00236E6D">
        <w:t>ın</w:t>
      </w:r>
      <w:r w:rsidRPr="00EF41B7">
        <w:t xml:space="preserve"> azaltılmasında, hem de atmosferden </w:t>
      </w:r>
      <w:r w:rsidR="003463A8">
        <w:t>sera gazı</w:t>
      </w:r>
      <w:r w:rsidRPr="00EF41B7">
        <w:t xml:space="preserve"> emme yoluyla karbon yutağı olu</w:t>
      </w:r>
      <w:r>
        <w:t>ş</w:t>
      </w:r>
      <w:r w:rsidRPr="00EF41B7">
        <w:t>turulmasında önemli roller oynamaktadır. Tortul kayaçlar dı</w:t>
      </w:r>
      <w:r>
        <w:t>ş</w:t>
      </w:r>
      <w:r w:rsidRPr="00EF41B7">
        <w:t>ında, karalarda tutulan karbonun yakla</w:t>
      </w:r>
      <w:r>
        <w:t>ş</w:t>
      </w:r>
      <w:r w:rsidRPr="00EF41B7">
        <w:t>ık % 67'si orman ekosistemlerinde depolanmı</w:t>
      </w:r>
      <w:r>
        <w:t>ş</w:t>
      </w:r>
      <w:r w:rsidRPr="00EF41B7">
        <w:t xml:space="preserve"> </w:t>
      </w:r>
      <w:r>
        <w:t>olarak bulunmaktadır</w:t>
      </w:r>
      <w:r w:rsidRPr="00EF41B7">
        <w:t>. Bitki örtüsü tarafından tutulan karbonun % 75'i de ormanlarda depolanmı</w:t>
      </w:r>
      <w:r>
        <w:t>ş</w:t>
      </w:r>
      <w:r w:rsidRPr="00EF41B7">
        <w:t>tır. Ayrıca, çok uzun ömürlü odun ürünleri (ah</w:t>
      </w:r>
      <w:r>
        <w:t>ş</w:t>
      </w:r>
      <w:r w:rsidRPr="00EF41B7">
        <w:t>ap binalar, mobilya vb.) çürüyüp yanmadıkları sürece karbon depoları olarak kalmaktadır</w:t>
      </w:r>
      <w:r>
        <w:t xml:space="preserve"> (Anonim, 2001; 10)</w:t>
      </w:r>
      <w:r w:rsidRPr="00F46994">
        <w:t>. </w:t>
      </w:r>
    </w:p>
    <w:p w:rsidR="00B847CC" w:rsidRDefault="00B847CC" w:rsidP="006F1FBA">
      <w:pPr>
        <w:spacing w:before="240" w:after="240" w:line="360" w:lineRule="auto"/>
        <w:ind w:firstLine="709"/>
        <w:jc w:val="both"/>
      </w:pPr>
      <w:r w:rsidRPr="00893F9A">
        <w:t xml:space="preserve">Ormanlar </w:t>
      </w:r>
      <w:r>
        <w:t>1</w:t>
      </w:r>
      <w:r w:rsidRPr="00893F9A">
        <w:t>milyar insanın ya</w:t>
      </w:r>
      <w:r>
        <w:t>ş</w:t>
      </w:r>
      <w:r w:rsidRPr="00893F9A">
        <w:t>aması için olanak tanırken</w:t>
      </w:r>
      <w:r>
        <w:t xml:space="preserve"> 100 milyon insanın da geçimini </w:t>
      </w:r>
      <w:r w:rsidRPr="00893F9A">
        <w:t>sağlamaktadırlar</w:t>
      </w:r>
      <w:r>
        <w:rPr>
          <w:rStyle w:val="DipnotBavurusu"/>
        </w:rPr>
        <w:footnoteReference w:id="34"/>
      </w:r>
      <w:r w:rsidRPr="00893F9A">
        <w:t>. Günümüzde 3</w:t>
      </w:r>
      <w:r w:rsidR="00420045">
        <w:t>.</w:t>
      </w:r>
      <w:r w:rsidRPr="00893F9A">
        <w:t>87 milyar hektar bir alana sahip olan ormanlar, karaların yakla</w:t>
      </w:r>
      <w:r>
        <w:t>ş</w:t>
      </w:r>
      <w:r w:rsidRPr="00893F9A">
        <w:t>ık % 30'unu kaplamasına rağmen, 1990</w:t>
      </w:r>
      <w:r>
        <w:t xml:space="preserve"> </w:t>
      </w:r>
      <w:r w:rsidRPr="00893F9A">
        <w:t xml:space="preserve">– 2000 yılları arasında bütün dünyada, yılda ortalama </w:t>
      </w:r>
      <w:proofErr w:type="gramStart"/>
      <w:r w:rsidRPr="00893F9A">
        <w:t>9</w:t>
      </w:r>
      <w:r w:rsidR="00420045">
        <w:t>.</w:t>
      </w:r>
      <w:r w:rsidRPr="00893F9A">
        <w:t>4</w:t>
      </w:r>
      <w:proofErr w:type="gramEnd"/>
      <w:r w:rsidRPr="00893F9A">
        <w:t xml:space="preserve"> milyon hektar orman alanı ortadan kaldırılmı</w:t>
      </w:r>
      <w:r>
        <w:t>ş</w:t>
      </w:r>
      <w:r w:rsidRPr="00893F9A">
        <w:t>tır. Yani, aynı dönemde, dünya orman alanında, % 2'lik bir azalma meydana gelmi</w:t>
      </w:r>
      <w:r>
        <w:t>ş</w:t>
      </w:r>
      <w:r w:rsidRPr="00893F9A">
        <w:t>tir. Bu olumsuz geli</w:t>
      </w:r>
      <w:r>
        <w:t>ş</w:t>
      </w:r>
      <w:r w:rsidRPr="00893F9A">
        <w:t>meler sonucunda, bitki örtüsü, toprak ve organik maddelerin karbon dengeleri bozulduğundan, insanoğluna rahmet vesilesi olarak verilen ormanlar, suiistimalimiz yüzünden bir karbondioksit ve felaket kaynağı haline gelmektedir.</w:t>
      </w:r>
    </w:p>
    <w:p w:rsidR="00B847CC" w:rsidRDefault="00B847CC" w:rsidP="006F1FBA">
      <w:pPr>
        <w:spacing w:before="240" w:after="240" w:line="360" w:lineRule="auto"/>
        <w:ind w:firstLine="709"/>
        <w:jc w:val="both"/>
      </w:pPr>
      <w:r w:rsidRPr="00AB2DE5">
        <w:t xml:space="preserve">Orman </w:t>
      </w:r>
      <w:r>
        <w:t>bitki örtüsü</w:t>
      </w:r>
      <w:r w:rsidRPr="00AB2DE5">
        <w:t xml:space="preserve">, odunsu canlı </w:t>
      </w:r>
      <w:r>
        <w:t>bitkilerin</w:t>
      </w:r>
      <w:r w:rsidRPr="00AB2DE5">
        <w:t xml:space="preserve"> her yıl artması ve dökülen yaprakların toprak karbon deposuna </w:t>
      </w:r>
      <w:r>
        <w:t>dahil olmasıyla</w:t>
      </w:r>
      <w:r w:rsidRPr="00AB2DE5">
        <w:t xml:space="preserve"> karbon tutmaktadır. Ağaçlar dikildiklerinde, her yıl emdikleri karbondioksitin büyük bir kısmı, geli</w:t>
      </w:r>
      <w:r>
        <w:t>ş</w:t>
      </w:r>
      <w:r w:rsidRPr="00AB2DE5">
        <w:t>en bitki biyo</w:t>
      </w:r>
      <w:r w:rsidR="00CC0BCE">
        <w:t>-</w:t>
      </w:r>
      <w:r w:rsidRPr="00AB2DE5">
        <w:t>kitlesine gitmektedir. Bu durum, ağacın geli</w:t>
      </w:r>
      <w:r>
        <w:t>ş</w:t>
      </w:r>
      <w:r w:rsidRPr="00AB2DE5">
        <w:t xml:space="preserve">mesinin ilk 30–40 yıllık döneminde yüksek oranda karbon tutulmasına sebep olmaktadır. Orman </w:t>
      </w:r>
      <w:r>
        <w:t>bitki örtüsü</w:t>
      </w:r>
      <w:r w:rsidRPr="00AB2DE5">
        <w:t xml:space="preserve"> olgunla</w:t>
      </w:r>
      <w:r>
        <w:t>ş</w:t>
      </w:r>
      <w:r w:rsidRPr="00AB2DE5">
        <w:t xml:space="preserve">tıkça, toprağın organik madde miktarı ve ekosistemdeki toplam solunum (karbondioksit emilmesi) artmaktadır. </w:t>
      </w:r>
    </w:p>
    <w:p w:rsidR="00B847CC" w:rsidRDefault="00B847CC" w:rsidP="006F1FBA">
      <w:pPr>
        <w:spacing w:before="240" w:after="240" w:line="360" w:lineRule="auto"/>
        <w:ind w:firstLine="709"/>
        <w:jc w:val="both"/>
      </w:pPr>
      <w:r w:rsidRPr="00AB2DE5">
        <w:lastRenderedPageBreak/>
        <w:t xml:space="preserve">Ormanlar, bir ağaç topluluğu </w:t>
      </w:r>
      <w:r>
        <w:t>olmanın yanında</w:t>
      </w:r>
      <w:r w:rsidRPr="00AB2DE5">
        <w:t xml:space="preserve">, </w:t>
      </w:r>
      <w:r>
        <w:t>milyonlarca</w:t>
      </w:r>
      <w:r w:rsidRPr="00AB2DE5">
        <w:t xml:space="preserve"> yılda yaratılmı</w:t>
      </w:r>
      <w:r>
        <w:t>ş</w:t>
      </w:r>
      <w:r w:rsidRPr="00AB2DE5">
        <w:t xml:space="preserve"> toprağıyla, içinde barındırdığı </w:t>
      </w:r>
      <w:r>
        <w:t>milyarlarc</w:t>
      </w:r>
      <w:r w:rsidRPr="00AB2DE5">
        <w:t>a bitki, hayvan ve mikroorganizmayla ve bunların kar</w:t>
      </w:r>
      <w:r>
        <w:t>ş</w:t>
      </w:r>
      <w:r w:rsidRPr="00AB2DE5">
        <w:t>ılıklı münasebetleriyle bir çevre sistemi ve ya</w:t>
      </w:r>
      <w:r>
        <w:t>şama birliğidir. İnsan kaynaklı</w:t>
      </w:r>
      <w:r w:rsidRPr="00AB2DE5">
        <w:t xml:space="preserve"> yok edilen bu </w:t>
      </w:r>
      <w:r>
        <w:t>eko-</w:t>
      </w:r>
      <w:r w:rsidRPr="00AB2DE5">
        <w:t xml:space="preserve">sistemin tekrar insan eliyle geri getirilmesi son derece </w:t>
      </w:r>
      <w:r>
        <w:t>zordur</w:t>
      </w:r>
      <w:r w:rsidRPr="00AB2DE5">
        <w:t xml:space="preserve">. </w:t>
      </w:r>
      <w:r>
        <w:t>Milyonlarca</w:t>
      </w:r>
      <w:r w:rsidRPr="00AB2DE5">
        <w:t xml:space="preserve"> yıldır, fotosentez, bitki ve topraktaki canlılık faaliyetlerine bağlı olan solunumla, karadaki biyosferle atmosfer arasında sürekli ve dengeli bir karbon akı</w:t>
      </w:r>
      <w:r>
        <w:t>ş</w:t>
      </w:r>
      <w:r w:rsidRPr="00AB2DE5">
        <w:t>ında hayatî hizmet gören ormanlar, dünyanın akciğerleridir.</w:t>
      </w:r>
    </w:p>
    <w:p w:rsidR="00B847CC" w:rsidRDefault="00B847CC" w:rsidP="006F1FBA">
      <w:pPr>
        <w:autoSpaceDE w:val="0"/>
        <w:autoSpaceDN w:val="0"/>
        <w:adjustRightInd w:val="0"/>
        <w:spacing w:before="240" w:after="240" w:line="360" w:lineRule="auto"/>
        <w:ind w:firstLine="709"/>
        <w:jc w:val="both"/>
      </w:pPr>
      <w:r w:rsidRPr="00AE0834">
        <w:t>Doğal ormanlar yakla</w:t>
      </w:r>
      <w:r>
        <w:t>şı</w:t>
      </w:r>
      <w:r w:rsidR="006F1FBA">
        <w:t xml:space="preserve">k </w:t>
      </w:r>
      <w:proofErr w:type="gramStart"/>
      <w:r w:rsidR="006F1FBA">
        <w:t>3.</w:t>
      </w:r>
      <w:r w:rsidRPr="00AE0834">
        <w:t>4</w:t>
      </w:r>
      <w:proofErr w:type="gramEnd"/>
      <w:r w:rsidRPr="00AE0834">
        <w:t xml:space="preserve"> milyar hektar (ha) alan kaplamaktad</w:t>
      </w:r>
      <w:r>
        <w:t>ı</w:t>
      </w:r>
      <w:r w:rsidRPr="00AE0834">
        <w:t>rlar (FAO, 1990).</w:t>
      </w:r>
      <w:r>
        <w:t xml:space="preserve"> </w:t>
      </w:r>
      <w:r w:rsidRPr="00AE0834">
        <w:t>Küresel ormanlar</w:t>
      </w:r>
      <w:r>
        <w:t>ın % 52’</w:t>
      </w:r>
      <w:r w:rsidRPr="00AE0834">
        <w:t>lik büyük bölümü, tropikal ku</w:t>
      </w:r>
      <w:r>
        <w:t>ş</w:t>
      </w:r>
      <w:r w:rsidRPr="00AE0834">
        <w:t>akta bulunmaktad</w:t>
      </w:r>
      <w:r>
        <w:t>ı</w:t>
      </w:r>
      <w:r w:rsidRPr="00AE0834">
        <w:t>r. Ard</w:t>
      </w:r>
      <w:r>
        <w:t>ı</w:t>
      </w:r>
      <w:r w:rsidRPr="00AE0834">
        <w:t>ndan % 30 ile boreal ku</w:t>
      </w:r>
      <w:r>
        <w:t>ş</w:t>
      </w:r>
      <w:r w:rsidRPr="00AE0834">
        <w:t>ak (50°- 75° enlemleri aras</w:t>
      </w:r>
      <w:r>
        <w:t>ı</w:t>
      </w:r>
      <w:r w:rsidRPr="00AE0834">
        <w:t>) ve son olarak % 1</w:t>
      </w:r>
      <w:r>
        <w:t>8 ile içinde Türkiye’</w:t>
      </w:r>
      <w:r w:rsidRPr="00AE0834">
        <w:t>nin de yer ald</w:t>
      </w:r>
      <w:r>
        <w:t>ı</w:t>
      </w:r>
      <w:r w:rsidRPr="00AE0834">
        <w:t>ğ</w:t>
      </w:r>
      <w:r>
        <w:t>ı</w:t>
      </w:r>
      <w:r w:rsidRPr="00AE0834">
        <w:t xml:space="preserve"> subtropikal (Akdeniz iklim bölgesi ormanlar</w:t>
      </w:r>
      <w:r>
        <w:t>ı</w:t>
      </w:r>
      <w:r w:rsidRPr="00AE0834">
        <w:t>n</w:t>
      </w:r>
      <w:r>
        <w:t>ı</w:t>
      </w:r>
      <w:r w:rsidRPr="00AE0834">
        <w:t xml:space="preserve"> da içerir) ve </w:t>
      </w:r>
      <w:r>
        <w:t>ı</w:t>
      </w:r>
      <w:r w:rsidRPr="00AE0834">
        <w:t>l</w:t>
      </w:r>
      <w:r>
        <w:t>ı</w:t>
      </w:r>
      <w:r w:rsidRPr="00AE0834">
        <w:t>man ku</w:t>
      </w:r>
      <w:r>
        <w:t>ş</w:t>
      </w:r>
      <w:r w:rsidRPr="00AE0834">
        <w:t>ak (25°-50° enlemleri aras</w:t>
      </w:r>
      <w:r>
        <w:t>ı</w:t>
      </w:r>
      <w:r w:rsidRPr="00AE0834">
        <w:t>) ormanlar</w:t>
      </w:r>
      <w:r>
        <w:t>ı</w:t>
      </w:r>
      <w:r w:rsidRPr="00AE0834">
        <w:t xml:space="preserve"> gelmektedir. Bunlara ek olarak, dünya genelinde, ağaç, ağaçç</w:t>
      </w:r>
      <w:r>
        <w:t>ı</w:t>
      </w:r>
      <w:r w:rsidRPr="00AE0834">
        <w:t>k, çal</w:t>
      </w:r>
      <w:r>
        <w:t>ı</w:t>
      </w:r>
      <w:r w:rsidRPr="00AE0834">
        <w:t>l</w:t>
      </w:r>
      <w:r>
        <w:t>ı</w:t>
      </w:r>
      <w:r w:rsidRPr="00AE0834">
        <w:t>k ve maki gibi vejetasyon olu</w:t>
      </w:r>
      <w:r>
        <w:t>ş</w:t>
      </w:r>
      <w:r w:rsidRPr="00AE0834">
        <w:t>umlar</w:t>
      </w:r>
      <w:r>
        <w:t>ı</w:t>
      </w:r>
      <w:r w:rsidRPr="00AE0834">
        <w:t xml:space="preserve"> ile kapl</w:t>
      </w:r>
      <w:r>
        <w:t>ı</w:t>
      </w:r>
      <w:r w:rsidRPr="00AE0834">
        <w:t xml:space="preserve"> alanlar ile orman içi aç</w:t>
      </w:r>
      <w:r>
        <w:t>ı</w:t>
      </w:r>
      <w:r w:rsidRPr="00AE0834">
        <w:t>kl</w:t>
      </w:r>
      <w:r>
        <w:t>ı</w:t>
      </w:r>
      <w:r w:rsidRPr="00AE0834">
        <w:t>klar</w:t>
      </w:r>
      <w:r>
        <w:t>ı</w:t>
      </w:r>
      <w:r w:rsidRPr="00AE0834">
        <w:t xml:space="preserve"> içeren orman özellikleri ta</w:t>
      </w:r>
      <w:r>
        <w:t>şı</w:t>
      </w:r>
      <w:r w:rsidRPr="00AE0834">
        <w:t xml:space="preserve">yan </w:t>
      </w:r>
      <w:proofErr w:type="gramStart"/>
      <w:r w:rsidRPr="00AE0834">
        <w:t>1</w:t>
      </w:r>
      <w:r w:rsidR="00420045">
        <w:t>.</w:t>
      </w:r>
      <w:r w:rsidRPr="00AE0834">
        <w:t>7</w:t>
      </w:r>
      <w:proofErr w:type="gramEnd"/>
      <w:r w:rsidRPr="00AE0834">
        <w:t xml:space="preserve"> milyar hektarl</w:t>
      </w:r>
      <w:r>
        <w:t>ı</w:t>
      </w:r>
      <w:r w:rsidRPr="00AE0834">
        <w:t>k bir alan bulunmaktad</w:t>
      </w:r>
      <w:r>
        <w:t>ı</w:t>
      </w:r>
      <w:r w:rsidRPr="00AE0834">
        <w:t>r. Ayr</w:t>
      </w:r>
      <w:r>
        <w:t>ı</w:t>
      </w:r>
      <w:r w:rsidRPr="00AE0834">
        <w:t>ca dünya genelinde 100 milyon hektar plantasyon mevcuttur</w:t>
      </w:r>
      <w:r>
        <w:t xml:space="preserve"> (Anonim, 2001; 11)</w:t>
      </w:r>
      <w:r w:rsidRPr="00F46994">
        <w:t>. </w:t>
      </w:r>
    </w:p>
    <w:p w:rsidR="00B847CC" w:rsidRDefault="00B847CC" w:rsidP="006F1FBA">
      <w:pPr>
        <w:autoSpaceDE w:val="0"/>
        <w:autoSpaceDN w:val="0"/>
        <w:adjustRightInd w:val="0"/>
        <w:spacing w:before="240" w:after="240" w:line="360" w:lineRule="auto"/>
        <w:ind w:firstLine="709"/>
        <w:jc w:val="both"/>
      </w:pPr>
      <w:r>
        <w:t xml:space="preserve">Son yüzyılda dünyada değişik nedenlerle bir ormansızlaşma ile karbon yutakları tam görevini yapmamaktadır. </w:t>
      </w:r>
      <w:r w:rsidRPr="00852771">
        <w:t>Karbon depolamas</w:t>
      </w:r>
      <w:r>
        <w:t>ı</w:t>
      </w:r>
      <w:r w:rsidRPr="00852771">
        <w:t xml:space="preserve"> hesaplamas</w:t>
      </w:r>
      <w:r>
        <w:t>ı</w:t>
      </w:r>
      <w:r w:rsidRPr="00852771">
        <w:t xml:space="preserve"> yap</w:t>
      </w:r>
      <w:r>
        <w:t>ı</w:t>
      </w:r>
      <w:r w:rsidRPr="00852771">
        <w:t>lan tüm ülkelerde, y</w:t>
      </w:r>
      <w:r>
        <w:t>ı</w:t>
      </w:r>
      <w:r w:rsidRPr="00852771">
        <w:t>ll</w:t>
      </w:r>
      <w:r>
        <w:t>ı</w:t>
      </w:r>
      <w:r w:rsidRPr="00852771">
        <w:t>k 230 000 ha orman alan</w:t>
      </w:r>
      <w:r>
        <w:t>ı</w:t>
      </w:r>
      <w:r w:rsidRPr="00852771">
        <w:t xml:space="preserve"> yok olmaktad</w:t>
      </w:r>
      <w:r>
        <w:t>ı</w:t>
      </w:r>
      <w:r w:rsidRPr="00852771">
        <w:t>r (FAO, 1990). Örneğin ABD ormanlar</w:t>
      </w:r>
      <w:r>
        <w:t>ı</w:t>
      </w:r>
      <w:r w:rsidRPr="00852771">
        <w:t xml:space="preserve"> birer karbon yutağ</w:t>
      </w:r>
      <w:r>
        <w:t>ı</w:t>
      </w:r>
      <w:r w:rsidRPr="00852771">
        <w:t>d</w:t>
      </w:r>
      <w:r>
        <w:t>ı</w:t>
      </w:r>
      <w:r w:rsidRPr="00852771">
        <w:t>r, ama orman alan</w:t>
      </w:r>
      <w:r>
        <w:t>ı</w:t>
      </w:r>
      <w:r w:rsidRPr="00852771">
        <w:t>nda y</w:t>
      </w:r>
      <w:r>
        <w:t>ı</w:t>
      </w:r>
      <w:r w:rsidRPr="00852771">
        <w:t>lda yakla</w:t>
      </w:r>
      <w:r>
        <w:t>şı</w:t>
      </w:r>
      <w:r w:rsidRPr="00852771">
        <w:t>k 300 000 ha azalma söz konusudur. Diğer taraftan Çin Halk Cumhuriyeti (</w:t>
      </w:r>
      <w:r w:rsidR="00287BAE">
        <w:t>PRC</w:t>
      </w:r>
      <w:r w:rsidRPr="00852771">
        <w:t>), büyük bir orman içi ağaçland</w:t>
      </w:r>
      <w:r>
        <w:t>ı</w:t>
      </w:r>
      <w:r w:rsidRPr="00852771">
        <w:t>rma program</w:t>
      </w:r>
      <w:r>
        <w:t>ı</w:t>
      </w:r>
      <w:r w:rsidRPr="00852771">
        <w:t>na sahiptir. Buna göre y</w:t>
      </w:r>
      <w:r>
        <w:t>ı</w:t>
      </w:r>
      <w:r w:rsidRPr="00852771">
        <w:t>lda 1,1 milyon hektardan fazla yeni orman kurulmaktad</w:t>
      </w:r>
      <w:r>
        <w:t>ı</w:t>
      </w:r>
      <w:r w:rsidRPr="00852771">
        <w:t>r. Ancak ayn</w:t>
      </w:r>
      <w:r>
        <w:t>ı</w:t>
      </w:r>
      <w:r w:rsidRPr="00852771">
        <w:t xml:space="preserve"> zamanda, doğal ormanlarda bir ormans</w:t>
      </w:r>
      <w:r>
        <w:t>ı</w:t>
      </w:r>
      <w:r w:rsidRPr="00852771">
        <w:t>zlaşma da oluşmaktad</w:t>
      </w:r>
      <w:r>
        <w:t>ı</w:t>
      </w:r>
      <w:r w:rsidRPr="00852771">
        <w:t xml:space="preserve">r (FAO, 1990). </w:t>
      </w:r>
      <w:r>
        <w:t>Orman sektörünün korunmasıyla ilgili alınan önlemler aşağıda sıralanmıştır (Anonim, 2001; 89-90)</w:t>
      </w:r>
      <w:r w:rsidRPr="00F46994">
        <w:t>. </w:t>
      </w:r>
    </w:p>
    <w:p w:rsidR="00B847CC" w:rsidRPr="003E7681" w:rsidRDefault="00B847CC" w:rsidP="00366A60">
      <w:pPr>
        <w:autoSpaceDE w:val="0"/>
        <w:autoSpaceDN w:val="0"/>
        <w:adjustRightInd w:val="0"/>
        <w:spacing w:before="120" w:after="120" w:line="360" w:lineRule="auto"/>
        <w:jc w:val="both"/>
      </w:pPr>
      <w:r w:rsidRPr="003E7681">
        <w:t>(i) Enerji üretimi ve tüketim politikalarında, canlı kütle üretiminin dikkate alınması,</w:t>
      </w:r>
    </w:p>
    <w:p w:rsidR="00B847CC" w:rsidRPr="003E7681" w:rsidRDefault="00B847CC" w:rsidP="00366A60">
      <w:pPr>
        <w:autoSpaceDE w:val="0"/>
        <w:autoSpaceDN w:val="0"/>
        <w:adjustRightInd w:val="0"/>
        <w:spacing w:before="120" w:after="120" w:line="360" w:lineRule="auto"/>
        <w:jc w:val="both"/>
      </w:pPr>
      <w:r w:rsidRPr="003E7681">
        <w:t>(ii) Alan ve ağaç türünün saptanmas</w:t>
      </w:r>
      <w:r>
        <w:t>ı</w:t>
      </w:r>
      <w:r w:rsidRPr="003E7681">
        <w:t>,</w:t>
      </w:r>
    </w:p>
    <w:p w:rsidR="00B847CC" w:rsidRPr="003E7681" w:rsidRDefault="00B847CC" w:rsidP="00366A60">
      <w:pPr>
        <w:autoSpaceDE w:val="0"/>
        <w:autoSpaceDN w:val="0"/>
        <w:adjustRightInd w:val="0"/>
        <w:spacing w:before="120" w:after="120" w:line="360" w:lineRule="auto"/>
        <w:jc w:val="both"/>
      </w:pPr>
      <w:r w:rsidRPr="003E7681">
        <w:t>(iii) Araşt</w:t>
      </w:r>
      <w:r>
        <w:t>ı</w:t>
      </w:r>
      <w:r w:rsidRPr="003E7681">
        <w:t>rma ve uygulama amaçl</w:t>
      </w:r>
      <w:r>
        <w:t>ı</w:t>
      </w:r>
      <w:r w:rsidRPr="003E7681">
        <w:t xml:space="preserve"> ortak projelerin geliştirilmesi,</w:t>
      </w:r>
    </w:p>
    <w:p w:rsidR="00B847CC" w:rsidRPr="003E7681" w:rsidRDefault="00B847CC" w:rsidP="00366A60">
      <w:pPr>
        <w:autoSpaceDE w:val="0"/>
        <w:autoSpaceDN w:val="0"/>
        <w:adjustRightInd w:val="0"/>
        <w:spacing w:before="120" w:after="120" w:line="360" w:lineRule="auto"/>
        <w:jc w:val="both"/>
      </w:pPr>
      <w:r w:rsidRPr="003E7681">
        <w:t>(iv) Ulusal canl</w:t>
      </w:r>
      <w:r>
        <w:t xml:space="preserve">ı </w:t>
      </w:r>
      <w:r w:rsidRPr="003E7681">
        <w:t>kütle potansiyelinin saptanmas</w:t>
      </w:r>
      <w:r>
        <w:t>ı</w:t>
      </w:r>
      <w:r w:rsidRPr="003E7681">
        <w:t xml:space="preserve"> (orman, çal</w:t>
      </w:r>
      <w:r>
        <w:t>ı</w:t>
      </w:r>
      <w:r w:rsidRPr="003E7681">
        <w:t>l</w:t>
      </w:r>
      <w:r>
        <w:t>ı</w:t>
      </w:r>
      <w:r w:rsidRPr="003E7681">
        <w:t>k, tar</w:t>
      </w:r>
      <w:r>
        <w:t>ı</w:t>
      </w:r>
      <w:r w:rsidRPr="003E7681">
        <w:t>m, at</w:t>
      </w:r>
      <w:r>
        <w:t>ı</w:t>
      </w:r>
      <w:r w:rsidRPr="003E7681">
        <w:t>klar),</w:t>
      </w:r>
    </w:p>
    <w:p w:rsidR="00B847CC" w:rsidRPr="003E7681" w:rsidRDefault="00B847CC" w:rsidP="00366A60">
      <w:pPr>
        <w:autoSpaceDE w:val="0"/>
        <w:autoSpaceDN w:val="0"/>
        <w:adjustRightInd w:val="0"/>
        <w:spacing w:before="120" w:after="120" w:line="360" w:lineRule="auto"/>
        <w:jc w:val="both"/>
      </w:pPr>
      <w:r w:rsidRPr="003E7681">
        <w:t>(v) Ulusal ve uluslararas</w:t>
      </w:r>
      <w:r>
        <w:t>ı</w:t>
      </w:r>
      <w:r w:rsidRPr="003E7681">
        <w:t xml:space="preserve"> bilgi al</w:t>
      </w:r>
      <w:r>
        <w:t>ı</w:t>
      </w:r>
      <w:r w:rsidRPr="003E7681">
        <w:t>şverişi,</w:t>
      </w:r>
    </w:p>
    <w:p w:rsidR="00B847CC" w:rsidRPr="003E7681" w:rsidRDefault="00B847CC" w:rsidP="00366A60">
      <w:pPr>
        <w:autoSpaceDE w:val="0"/>
        <w:autoSpaceDN w:val="0"/>
        <w:adjustRightInd w:val="0"/>
        <w:spacing w:before="120" w:after="120" w:line="360" w:lineRule="auto"/>
        <w:jc w:val="both"/>
      </w:pPr>
      <w:r w:rsidRPr="003E7681">
        <w:lastRenderedPageBreak/>
        <w:t xml:space="preserve"> (vi) İlgili taraflar</w:t>
      </w:r>
      <w:r>
        <w:t>ı</w:t>
      </w:r>
      <w:r w:rsidRPr="003E7681">
        <w:t>n ortak kat</w:t>
      </w:r>
      <w:r>
        <w:t>ı</w:t>
      </w:r>
      <w:r w:rsidRPr="003E7681">
        <w:t>l</w:t>
      </w:r>
      <w:r>
        <w:t>ı</w:t>
      </w:r>
      <w:r w:rsidRPr="003E7681">
        <w:t>m</w:t>
      </w:r>
      <w:r>
        <w:t>ı</w:t>
      </w:r>
      <w:r w:rsidRPr="003E7681">
        <w:t>yla, yak</w:t>
      </w:r>
      <w:r>
        <w:t>ı</w:t>
      </w:r>
      <w:r w:rsidRPr="003E7681">
        <w:t>t olarak yaln</w:t>
      </w:r>
      <w:r>
        <w:t>ı</w:t>
      </w:r>
      <w:r w:rsidRPr="003E7681">
        <w:t>z canl</w:t>
      </w:r>
      <w:r>
        <w:t xml:space="preserve">ı </w:t>
      </w:r>
      <w:r w:rsidRPr="003E7681">
        <w:t>kütle kullan</w:t>
      </w:r>
      <w:r>
        <w:t>ı</w:t>
      </w:r>
      <w:r w:rsidRPr="003E7681">
        <w:t>lan örnek bir</w:t>
      </w:r>
    </w:p>
    <w:p w:rsidR="00B847CC" w:rsidRPr="003E7681" w:rsidRDefault="00CC0BCE" w:rsidP="00366A60">
      <w:pPr>
        <w:autoSpaceDE w:val="0"/>
        <w:autoSpaceDN w:val="0"/>
        <w:adjustRightInd w:val="0"/>
        <w:spacing w:before="120" w:after="120" w:line="360" w:lineRule="auto"/>
        <w:jc w:val="both"/>
      </w:pPr>
      <w:r>
        <w:t>e</w:t>
      </w:r>
      <w:r w:rsidRPr="003E7681">
        <w:t>lektrik</w:t>
      </w:r>
      <w:r w:rsidR="00B847CC" w:rsidRPr="003E7681">
        <w:t xml:space="preserve"> enerjisi üretimi işletmesinin kurulmas</w:t>
      </w:r>
      <w:r w:rsidR="00B847CC">
        <w:t>ı</w:t>
      </w:r>
      <w:r w:rsidR="00B847CC" w:rsidRPr="003E7681">
        <w:t>,</w:t>
      </w:r>
    </w:p>
    <w:p w:rsidR="00B847CC" w:rsidRPr="003E7681" w:rsidRDefault="00B847CC" w:rsidP="00366A60">
      <w:pPr>
        <w:autoSpaceDE w:val="0"/>
        <w:autoSpaceDN w:val="0"/>
        <w:adjustRightInd w:val="0"/>
        <w:spacing w:before="120" w:after="120" w:line="360" w:lineRule="auto"/>
        <w:jc w:val="both"/>
      </w:pPr>
      <w:r w:rsidRPr="003E7681">
        <w:t>(vii) Kurumsal ve yasal düzenlemeler,</w:t>
      </w:r>
    </w:p>
    <w:p w:rsidR="00B847CC" w:rsidRPr="003E7681" w:rsidRDefault="00B847CC" w:rsidP="00366A60">
      <w:pPr>
        <w:autoSpaceDE w:val="0"/>
        <w:autoSpaceDN w:val="0"/>
        <w:adjustRightInd w:val="0"/>
        <w:spacing w:before="120" w:after="120" w:line="360" w:lineRule="auto"/>
        <w:jc w:val="both"/>
      </w:pPr>
      <w:r w:rsidRPr="003E7681">
        <w:t>(viii) Çevreye duyarl</w:t>
      </w:r>
      <w:r>
        <w:t>ı</w:t>
      </w:r>
      <w:r w:rsidRPr="003E7681">
        <w:t xml:space="preserve"> bilgiye ve teknolojilere erişimi ve bunlar</w:t>
      </w:r>
      <w:r>
        <w:t>ı</w:t>
      </w:r>
      <w:r w:rsidRPr="003E7681">
        <w:t>n aktar</w:t>
      </w:r>
      <w:r>
        <w:t>ı</w:t>
      </w:r>
      <w:r w:rsidRPr="003E7681">
        <w:t>lmas</w:t>
      </w:r>
      <w:r>
        <w:t>ı</w:t>
      </w:r>
      <w:r w:rsidRPr="003E7681">
        <w:t xml:space="preserve"> (kamu, özel</w:t>
      </w:r>
      <w:r>
        <w:t xml:space="preserve"> </w:t>
      </w:r>
      <w:r w:rsidRPr="003E7681">
        <w:t>sektör, üniversite ve enstitüler),</w:t>
      </w:r>
    </w:p>
    <w:p w:rsidR="00B847CC" w:rsidRPr="003E7681" w:rsidRDefault="00B847CC" w:rsidP="00366A60">
      <w:pPr>
        <w:autoSpaceDE w:val="0"/>
        <w:autoSpaceDN w:val="0"/>
        <w:adjustRightInd w:val="0"/>
        <w:spacing w:before="120" w:after="120" w:line="360" w:lineRule="auto"/>
        <w:jc w:val="both"/>
      </w:pPr>
      <w:r w:rsidRPr="003E7681">
        <w:t>(ix) Yeşil enerji kavram</w:t>
      </w:r>
      <w:r>
        <w:t>ı</w:t>
      </w:r>
      <w:r w:rsidRPr="003E7681">
        <w:t>n</w:t>
      </w:r>
      <w:r>
        <w:t>ı</w:t>
      </w:r>
      <w:r w:rsidRPr="003E7681">
        <w:t>n benimsenmesi ve yayg</w:t>
      </w:r>
      <w:r>
        <w:t>ı</w:t>
      </w:r>
      <w:r w:rsidRPr="003E7681">
        <w:t>nlaşt</w:t>
      </w:r>
      <w:r>
        <w:t>ı</w:t>
      </w:r>
      <w:r w:rsidRPr="003E7681">
        <w:t>r</w:t>
      </w:r>
      <w:r>
        <w:t>ı</w:t>
      </w:r>
      <w:r w:rsidRPr="003E7681">
        <w:t>lmas</w:t>
      </w:r>
      <w:r>
        <w:t>ı</w:t>
      </w:r>
      <w:r w:rsidRPr="003E7681">
        <w:t>,</w:t>
      </w:r>
    </w:p>
    <w:p w:rsidR="00B847CC" w:rsidRPr="003E7681" w:rsidRDefault="00B847CC" w:rsidP="00366A60">
      <w:pPr>
        <w:autoSpaceDE w:val="0"/>
        <w:autoSpaceDN w:val="0"/>
        <w:adjustRightInd w:val="0"/>
        <w:spacing w:before="120" w:after="120" w:line="360" w:lineRule="auto"/>
        <w:jc w:val="both"/>
      </w:pPr>
      <w:r w:rsidRPr="003E7681">
        <w:t>(x) D</w:t>
      </w:r>
      <w:r>
        <w:t>ı</w:t>
      </w:r>
      <w:r w:rsidRPr="003E7681">
        <w:t>ş kaynakl</w:t>
      </w:r>
      <w:r>
        <w:t>ı</w:t>
      </w:r>
      <w:r w:rsidRPr="003E7681">
        <w:t xml:space="preserve"> projelerin devreye sokulmas</w:t>
      </w:r>
      <w:r>
        <w:t>ı</w:t>
      </w:r>
      <w:r w:rsidRPr="003E7681">
        <w:t>,</w:t>
      </w:r>
    </w:p>
    <w:p w:rsidR="00B847CC" w:rsidRPr="003E7681" w:rsidRDefault="00B847CC" w:rsidP="00366A60">
      <w:pPr>
        <w:autoSpaceDE w:val="0"/>
        <w:autoSpaceDN w:val="0"/>
        <w:adjustRightInd w:val="0"/>
        <w:spacing w:before="120" w:after="120" w:line="360" w:lineRule="auto"/>
        <w:jc w:val="both"/>
      </w:pPr>
      <w:r>
        <w:t>(xi) Bir “</w:t>
      </w:r>
      <w:r w:rsidRPr="003E7681">
        <w:t>enerji orman</w:t>
      </w:r>
      <w:r>
        <w:t>ı</w:t>
      </w:r>
      <w:r w:rsidRPr="003E7681">
        <w:t xml:space="preserve"> </w:t>
      </w:r>
      <w:r>
        <w:t>fonu”</w:t>
      </w:r>
      <w:r w:rsidRPr="003E7681">
        <w:t xml:space="preserve"> kurulmas</w:t>
      </w:r>
      <w:r>
        <w:t>ı</w:t>
      </w:r>
      <w:r w:rsidRPr="003E7681">
        <w:t>,</w:t>
      </w:r>
    </w:p>
    <w:p w:rsidR="00B847CC" w:rsidRPr="003E7681" w:rsidRDefault="00B847CC" w:rsidP="00366A60">
      <w:pPr>
        <w:autoSpaceDE w:val="0"/>
        <w:autoSpaceDN w:val="0"/>
        <w:adjustRightInd w:val="0"/>
        <w:spacing w:before="120" w:after="120" w:line="360" w:lineRule="auto"/>
        <w:jc w:val="both"/>
      </w:pPr>
      <w:r w:rsidRPr="003E7681">
        <w:t>(xii) Fosil yak</w:t>
      </w:r>
      <w:r>
        <w:t>ı</w:t>
      </w:r>
      <w:r w:rsidRPr="003E7681">
        <w:t>t kullanan enerji kuruluşlar</w:t>
      </w:r>
      <w:r>
        <w:t>ı</w:t>
      </w:r>
      <w:r w:rsidRPr="003E7681">
        <w:t xml:space="preserve"> ile büyük sanayi işletmeleri ve çimento</w:t>
      </w:r>
    </w:p>
    <w:p w:rsidR="00B847CC" w:rsidRPr="003E7681" w:rsidRDefault="00B847CC" w:rsidP="00366A60">
      <w:pPr>
        <w:autoSpaceDE w:val="0"/>
        <w:autoSpaceDN w:val="0"/>
        <w:adjustRightInd w:val="0"/>
        <w:spacing w:before="120" w:after="120" w:line="360" w:lineRule="auto"/>
        <w:jc w:val="both"/>
      </w:pPr>
      <w:r w:rsidRPr="003E7681">
        <w:t>üreticilerinden enerji ormanlar</w:t>
      </w:r>
      <w:r>
        <w:t>ı</w:t>
      </w:r>
      <w:r w:rsidRPr="003E7681">
        <w:t>na yat</w:t>
      </w:r>
      <w:r>
        <w:t>ı</w:t>
      </w:r>
      <w:r w:rsidRPr="003E7681">
        <w:t>r</w:t>
      </w:r>
      <w:r>
        <w:t>ı</w:t>
      </w:r>
      <w:r w:rsidRPr="003E7681">
        <w:t>m yapmalar</w:t>
      </w:r>
      <w:r>
        <w:t>ı</w:t>
      </w:r>
      <w:r w:rsidRPr="003E7681">
        <w:t>n</w:t>
      </w:r>
      <w:r>
        <w:t>ı</w:t>
      </w:r>
      <w:r w:rsidRPr="003E7681">
        <w:t>n sağlanmas</w:t>
      </w:r>
      <w:r>
        <w:t>ı</w:t>
      </w:r>
      <w:r w:rsidRPr="003E7681">
        <w:t xml:space="preserve"> ya da üretimleri</w:t>
      </w:r>
    </w:p>
    <w:p w:rsidR="00B847CC" w:rsidRPr="003E7681" w:rsidRDefault="00B847CC" w:rsidP="00366A60">
      <w:pPr>
        <w:autoSpaceDE w:val="0"/>
        <w:autoSpaceDN w:val="0"/>
        <w:adjustRightInd w:val="0"/>
        <w:spacing w:before="120" w:after="120" w:line="360" w:lineRule="auto"/>
        <w:jc w:val="both"/>
      </w:pPr>
      <w:r w:rsidRPr="003E7681">
        <w:t>oran</w:t>
      </w:r>
      <w:r>
        <w:t>ı</w:t>
      </w:r>
      <w:r w:rsidRPr="003E7681">
        <w:t>nda bu fona katk</w:t>
      </w:r>
      <w:r>
        <w:t>ı</w:t>
      </w:r>
      <w:r w:rsidRPr="003E7681">
        <w:t>da bulunmalar</w:t>
      </w:r>
      <w:r>
        <w:t>ı</w:t>
      </w:r>
      <w:r w:rsidRPr="003E7681">
        <w:t>n</w:t>
      </w:r>
      <w:r>
        <w:t>ı</w:t>
      </w:r>
      <w:r w:rsidRPr="003E7681">
        <w:t>n sağlanmas</w:t>
      </w:r>
      <w:r>
        <w:t>ı</w:t>
      </w:r>
      <w:r w:rsidRPr="003E7681">
        <w:t>,</w:t>
      </w:r>
    </w:p>
    <w:p w:rsidR="00B847CC" w:rsidRPr="003E7681" w:rsidRDefault="00B847CC" w:rsidP="00366A60">
      <w:pPr>
        <w:autoSpaceDE w:val="0"/>
        <w:autoSpaceDN w:val="0"/>
        <w:adjustRightInd w:val="0"/>
        <w:spacing w:before="120" w:after="120" w:line="360" w:lineRule="auto"/>
        <w:jc w:val="both"/>
      </w:pPr>
      <w:r w:rsidRPr="003E7681">
        <w:t>(xiii) Orman Bakanl</w:t>
      </w:r>
      <w:r>
        <w:t>ı</w:t>
      </w:r>
      <w:r w:rsidRPr="003E7681">
        <w:t>ğ</w:t>
      </w:r>
      <w:r>
        <w:t>ı’</w:t>
      </w:r>
      <w:r w:rsidRPr="003E7681">
        <w:t>n</w:t>
      </w:r>
      <w:r>
        <w:t>ı</w:t>
      </w:r>
      <w:r w:rsidRPr="003E7681">
        <w:t>n ormanlaşt</w:t>
      </w:r>
      <w:r>
        <w:t>ı</w:t>
      </w:r>
      <w:r w:rsidRPr="003E7681">
        <w:t>rma ve yeniden ormanlaşt</w:t>
      </w:r>
      <w:r>
        <w:t>ı</w:t>
      </w:r>
      <w:r w:rsidRPr="003E7681">
        <w:t>rmay</w:t>
      </w:r>
      <w:r>
        <w:t>ı</w:t>
      </w:r>
      <w:r w:rsidRPr="003E7681">
        <w:t xml:space="preserve"> içerecek biçimde</w:t>
      </w:r>
    </w:p>
    <w:p w:rsidR="00B847CC" w:rsidRDefault="00B847CC" w:rsidP="00366A60">
      <w:pPr>
        <w:autoSpaceDE w:val="0"/>
        <w:autoSpaceDN w:val="0"/>
        <w:adjustRightInd w:val="0"/>
        <w:spacing w:before="120" w:after="120" w:line="360" w:lineRule="auto"/>
        <w:jc w:val="both"/>
      </w:pPr>
      <w:r w:rsidRPr="003E7681">
        <w:t>ağaçland</w:t>
      </w:r>
      <w:r>
        <w:t>ı</w:t>
      </w:r>
      <w:r w:rsidRPr="003E7681">
        <w:t>rma bütçesinin artt</w:t>
      </w:r>
      <w:r>
        <w:t>ı</w:t>
      </w:r>
      <w:r w:rsidRPr="003E7681">
        <w:t>r</w:t>
      </w:r>
      <w:r>
        <w:t>ı</w:t>
      </w:r>
      <w:r w:rsidRPr="003E7681">
        <w:t>lmas</w:t>
      </w:r>
      <w:r>
        <w:t>ı</w:t>
      </w:r>
      <w:r w:rsidRPr="003E7681">
        <w:t>.</w:t>
      </w:r>
    </w:p>
    <w:p w:rsidR="00B847CC" w:rsidRDefault="00B847CC" w:rsidP="00366A60">
      <w:pPr>
        <w:autoSpaceDE w:val="0"/>
        <w:autoSpaceDN w:val="0"/>
        <w:adjustRightInd w:val="0"/>
        <w:spacing w:before="240" w:after="240" w:line="360" w:lineRule="auto"/>
        <w:ind w:firstLine="708"/>
        <w:jc w:val="both"/>
      </w:pPr>
      <w:r>
        <w:t>Yeryüzündeki topraklar, içerdikleri 1550 petagram organik (1 Petagram=1 Milyar ton) ve 750 petagram inorganik karbonla yerküredeki 5 karbon havuzu içinde okyanuslar ve jeolojik-kayaç havuzun ardından üçüncü sırayı alır (Lal 2003). Çok büyük ve değişken bir stok olan topraktaki karbon havuzu, karbon bağlama potansiyeli alan kullanımı ve yönetimine bağlı değişimlerinin belirlenmesi açısından önemli bir stratejidir. İnsanoğlu temiz bir yaşam için karbon emisyonlarını azaltmakta kullanacağı bu strateji özellikle tarım alanlarıdır.</w:t>
      </w:r>
    </w:p>
    <w:p w:rsidR="00B847CC" w:rsidRDefault="00B847CC" w:rsidP="00366A60">
      <w:pPr>
        <w:autoSpaceDE w:val="0"/>
        <w:autoSpaceDN w:val="0"/>
        <w:adjustRightInd w:val="0"/>
        <w:spacing w:before="240" w:after="240" w:line="360" w:lineRule="auto"/>
        <w:jc w:val="both"/>
      </w:pPr>
      <w:r>
        <w:tab/>
        <w:t xml:space="preserve">IPCC, </w:t>
      </w:r>
      <w:r w:rsidR="00921E0E">
        <w:t>(</w:t>
      </w:r>
      <w:r>
        <w:t>2001</w:t>
      </w:r>
      <w:r w:rsidR="00921E0E">
        <w:t>c)</w:t>
      </w:r>
      <w:r>
        <w:t xml:space="preserve"> raporuna göre tarımın insan kaynaklı </w:t>
      </w:r>
      <w:r w:rsidR="003463A8">
        <w:t>sera gazı</w:t>
      </w:r>
      <w:r>
        <w:t xml:space="preserve"> emisyonuna katkısı % 20’nin üzerindedir.  Bunlar: (i) Çiftliklerde kullanılan fosil yakıtlardan ve esas olarak ormansızlaştırma ve tarımsal üretim ile toprak işleme tekniklerindeki dönüşümlerden kaynaklanan CO</w:t>
      </w:r>
      <w:r w:rsidRPr="00972E7B">
        <w:rPr>
          <w:vertAlign w:val="subscript"/>
        </w:rPr>
        <w:t>2</w:t>
      </w:r>
      <w:r>
        <w:t xml:space="preserve"> (toplam CO</w:t>
      </w:r>
      <w:r w:rsidRPr="00D534FD">
        <w:rPr>
          <w:vertAlign w:val="subscript"/>
        </w:rPr>
        <w:t>2</w:t>
      </w:r>
      <w:r>
        <w:t xml:space="preserve"> </w:t>
      </w:r>
      <w:r w:rsidR="003463A8">
        <w:t>emisyon</w:t>
      </w:r>
      <w:r>
        <w:t>la</w:t>
      </w:r>
      <w:r w:rsidR="00545391">
        <w:t xml:space="preserve">rının % 21-25’ini oluşturuyor). </w:t>
      </w:r>
      <w:r>
        <w:t>(ii) Çeltik tarlalarından, arazi kullanımı değişikliklerinden, biyo</w:t>
      </w:r>
      <w:r w:rsidR="00545391">
        <w:t>-</w:t>
      </w:r>
      <w:r>
        <w:t xml:space="preserve">kütle yanmasından, mide fermantasyonundan ve hayvansal atıklardan kaynaklanan CH4(toplam </w:t>
      </w:r>
      <w:r w:rsidR="00545391">
        <w:t xml:space="preserve">CH4’ün % 55-60’ını karşılıyor). </w:t>
      </w:r>
      <w:r>
        <w:t>(iii) Esas olarak işlenen tarım topraklarında kullanılan azotlu gübrelerden ve hayvansal atıkl</w:t>
      </w:r>
      <w:r w:rsidR="003463A8">
        <w:t xml:space="preserve">ardan kaynaklanan N2O (toplam </w:t>
      </w:r>
      <w:r w:rsidR="003463A8" w:rsidRPr="003463A8">
        <w:t>N</w:t>
      </w:r>
      <w:r w:rsidR="003463A8">
        <w:rPr>
          <w:vertAlign w:val="subscript"/>
        </w:rPr>
        <w:t>2</w:t>
      </w:r>
      <w:r w:rsidRPr="003463A8">
        <w:t>O</w:t>
      </w:r>
      <w:r>
        <w:t xml:space="preserve"> </w:t>
      </w:r>
      <w:r w:rsidR="003463A8">
        <w:t>emiyon</w:t>
      </w:r>
      <w:r>
        <w:t>larının % 65-80’ini karşılıyor), (Türkeş, 2003: 14).</w:t>
      </w:r>
    </w:p>
    <w:p w:rsidR="00EB59C1" w:rsidRPr="001147BA" w:rsidRDefault="00376C0F" w:rsidP="001147BA">
      <w:pPr>
        <w:pStyle w:val="Balk2"/>
        <w:numPr>
          <w:ilvl w:val="0"/>
          <w:numId w:val="0"/>
        </w:numPr>
        <w:ind w:left="360" w:hanging="360"/>
      </w:pPr>
      <w:bookmarkStart w:id="132" w:name="_Toc384824001"/>
      <w:r>
        <w:lastRenderedPageBreak/>
        <w:t>2.2. ARAÇLAR</w:t>
      </w:r>
      <w:bookmarkEnd w:id="132"/>
    </w:p>
    <w:p w:rsidR="000A69DA" w:rsidRDefault="001147BA" w:rsidP="00B1620A">
      <w:pPr>
        <w:autoSpaceDE w:val="0"/>
        <w:autoSpaceDN w:val="0"/>
        <w:adjustRightInd w:val="0"/>
        <w:spacing w:line="360" w:lineRule="auto"/>
        <w:ind w:firstLine="708"/>
        <w:jc w:val="both"/>
      </w:pPr>
      <w:r w:rsidRPr="00BF1534">
        <w:t>1</w:t>
      </w:r>
      <w:r>
        <w:t>980’</w:t>
      </w:r>
      <w:r w:rsidRPr="00BF1534">
        <w:t>li y</w:t>
      </w:r>
      <w:r>
        <w:t>ı</w:t>
      </w:r>
      <w:r w:rsidRPr="00BF1534">
        <w:t>llar</w:t>
      </w:r>
      <w:r>
        <w:t>ı</w:t>
      </w:r>
      <w:r w:rsidRPr="00BF1534">
        <w:t>n sonlar</w:t>
      </w:r>
      <w:r>
        <w:t>ı</w:t>
      </w:r>
      <w:r w:rsidRPr="00BF1534">
        <w:t>ndan ba</w:t>
      </w:r>
      <w:r>
        <w:t>ş</w:t>
      </w:r>
      <w:r w:rsidRPr="00BF1534">
        <w:t>layarak, insan</w:t>
      </w:r>
      <w:r>
        <w:t>ı</w:t>
      </w:r>
      <w:r w:rsidRPr="00BF1534">
        <w:t>n iklim sistemi üzerindeki olumsuz etkisini ve</w:t>
      </w:r>
      <w:r>
        <w:t xml:space="preserve"> </w:t>
      </w:r>
      <w:r w:rsidRPr="00BF1534">
        <w:t>bask</w:t>
      </w:r>
      <w:r>
        <w:t>ı</w:t>
      </w:r>
      <w:r w:rsidRPr="00BF1534">
        <w:t>s</w:t>
      </w:r>
      <w:r>
        <w:t>ı</w:t>
      </w:r>
      <w:r w:rsidRPr="00BF1534">
        <w:t>n</w:t>
      </w:r>
      <w:r>
        <w:t>ı</w:t>
      </w:r>
      <w:r w:rsidRPr="00BF1534">
        <w:t xml:space="preserve"> azaltmak için, Birle</w:t>
      </w:r>
      <w:r>
        <w:t>ş</w:t>
      </w:r>
      <w:r w:rsidRPr="00BF1534">
        <w:t>mi</w:t>
      </w:r>
      <w:r>
        <w:t>ş</w:t>
      </w:r>
      <w:r w:rsidR="00100099">
        <w:t xml:space="preserve"> Milletler</w:t>
      </w:r>
      <w:r w:rsidRPr="00BF1534">
        <w:t>in ve uluslararas</w:t>
      </w:r>
      <w:r>
        <w:t>ı</w:t>
      </w:r>
      <w:r w:rsidRPr="00BF1534">
        <w:t xml:space="preserve"> kurulu</w:t>
      </w:r>
      <w:r>
        <w:t>ş</w:t>
      </w:r>
      <w:r w:rsidRPr="00BF1534">
        <w:t>lar</w:t>
      </w:r>
      <w:r>
        <w:t>ı</w:t>
      </w:r>
      <w:r w:rsidRPr="00BF1534">
        <w:t>n öncülüğünde çal</w:t>
      </w:r>
      <w:r>
        <w:t>ış</w:t>
      </w:r>
      <w:r w:rsidRPr="00BF1534">
        <w:t>malar</w:t>
      </w:r>
      <w:r>
        <w:t xml:space="preserve"> </w:t>
      </w:r>
      <w:r w:rsidRPr="00BF1534">
        <w:t>yap</w:t>
      </w:r>
      <w:r>
        <w:t>ı</w:t>
      </w:r>
      <w:r w:rsidRPr="00BF1534">
        <w:t>lm</w:t>
      </w:r>
      <w:r>
        <w:t>ış</w:t>
      </w:r>
      <w:r w:rsidRPr="00BF1534">
        <w:t>t</w:t>
      </w:r>
      <w:r>
        <w:t>ı</w:t>
      </w:r>
      <w:r w:rsidRPr="00BF1534">
        <w:t>r. Bu küresel etkinliğin sonucunda, geni</w:t>
      </w:r>
      <w:r>
        <w:t>ş</w:t>
      </w:r>
      <w:r w:rsidRPr="00BF1534">
        <w:t xml:space="preserve"> bir kat</w:t>
      </w:r>
      <w:r>
        <w:t>ı</w:t>
      </w:r>
      <w:r w:rsidRPr="00BF1534">
        <w:t>l</w:t>
      </w:r>
      <w:r>
        <w:t>ı</w:t>
      </w:r>
      <w:r w:rsidRPr="00BF1534">
        <w:t>mla İDÇS ve Kyoto Protokolü (KP)</w:t>
      </w:r>
      <w:r>
        <w:t xml:space="preserve"> </w:t>
      </w:r>
      <w:r w:rsidRPr="00BF1534">
        <w:t>olu</w:t>
      </w:r>
      <w:r>
        <w:t>ş</w:t>
      </w:r>
      <w:r w:rsidRPr="00BF1534">
        <w:t>turulmu</w:t>
      </w:r>
      <w:r>
        <w:t>ş</w:t>
      </w:r>
      <w:r w:rsidRPr="00BF1534">
        <w:t>tur. İDÇS ve KP, bir yandan insan kaynakl</w:t>
      </w:r>
      <w:r>
        <w:t>ı</w:t>
      </w:r>
      <w:r w:rsidRPr="00BF1534">
        <w:t xml:space="preserve"> </w:t>
      </w:r>
      <w:r w:rsidR="003463A8">
        <w:t>sera gazı</w:t>
      </w:r>
      <w:r w:rsidR="00100099">
        <w:t xml:space="preserve"> emisyonlarını</w:t>
      </w:r>
      <w:r w:rsidRPr="00BF1534">
        <w:t xml:space="preserve"> s</w:t>
      </w:r>
      <w:r>
        <w:t>ı</w:t>
      </w:r>
      <w:r w:rsidRPr="00BF1534">
        <w:t>n</w:t>
      </w:r>
      <w:r>
        <w:t>ı</w:t>
      </w:r>
      <w:r w:rsidRPr="00BF1534">
        <w:t>rland</w:t>
      </w:r>
      <w:r>
        <w:t>ı</w:t>
      </w:r>
      <w:r w:rsidRPr="00BF1534">
        <w:t>rmaya ve azaltmaya</w:t>
      </w:r>
      <w:r>
        <w:t xml:space="preserve"> </w:t>
      </w:r>
      <w:r w:rsidRPr="00BF1534">
        <w:t>yönelik yasal düzenlemeler getirirken, bir yandan da, uluslararas</w:t>
      </w:r>
      <w:r>
        <w:t>ı</w:t>
      </w:r>
      <w:r w:rsidRPr="00BF1534">
        <w:t xml:space="preserve"> ticaret, teknoloji ve sermaye hareketleri</w:t>
      </w:r>
      <w:r>
        <w:t xml:space="preserve"> </w:t>
      </w:r>
      <w:r w:rsidRPr="00BF1534">
        <w:t>konusunda giderek etkin olmaya ba</w:t>
      </w:r>
      <w:r>
        <w:t>ş</w:t>
      </w:r>
      <w:r w:rsidRPr="00BF1534">
        <w:t>lam</w:t>
      </w:r>
      <w:r>
        <w:t>ış</w:t>
      </w:r>
      <w:r w:rsidRPr="00BF1534">
        <w:t>t</w:t>
      </w:r>
      <w:r>
        <w:t>ı</w:t>
      </w:r>
      <w:r w:rsidRPr="00BF1534">
        <w:t>r.</w:t>
      </w:r>
    </w:p>
    <w:p w:rsidR="009F7AE5" w:rsidRDefault="009F7AE5" w:rsidP="00B1620A">
      <w:pPr>
        <w:autoSpaceDE w:val="0"/>
        <w:autoSpaceDN w:val="0"/>
        <w:adjustRightInd w:val="0"/>
        <w:spacing w:line="360" w:lineRule="auto"/>
        <w:ind w:firstLine="708"/>
        <w:jc w:val="both"/>
      </w:pPr>
      <w:r>
        <w:t>Birleşmiş Milletler Çevre programı (UNEP) ve Dünya Meteoroloji Organizasyonun (WMO) oluşturduğu uluslar arası bilimsel bir kuruluş olan; Hükümetler arası İklim Değişikliği Paneli olan IPCC (International Panel on Climate Change) iklim değişikliği konusunda karar vericilerin objektif bilgi kaynağı olmak üzere 1988 yılında kurulmuştur (</w:t>
      </w:r>
      <w:r w:rsidR="00137003">
        <w:t>ÇOB</w:t>
      </w:r>
      <w:r>
        <w:t xml:space="preserve">, 2008: 4). </w:t>
      </w:r>
      <w:r w:rsidR="00FB6BA2">
        <w:t>İklim değişikliği konusunda atılacak adımların etkinleştirilmesi anlamında 1997 yılında Kyoto Protokolü kabul edilmiş ve 2005 yılında yürürlüğe girmiştir.</w:t>
      </w:r>
    </w:p>
    <w:p w:rsidR="0003688C" w:rsidRDefault="00630187" w:rsidP="00630187">
      <w:pPr>
        <w:spacing w:line="360" w:lineRule="auto"/>
        <w:ind w:firstLine="708"/>
        <w:jc w:val="both"/>
      </w:pPr>
      <w:r>
        <w:t>Kyoto Protokolü iklim değişikliği ile mücadelede uygulanabilecek önemli bir aracı tüm dünyaya tanıtmıştır. Piyasa temelli esneklik mekanizması olan emisyon ticaretinin gelişmiş olan ülkelerin emisyon azaltımı çabalarında anahtar rol</w:t>
      </w:r>
      <w:r w:rsidR="00DC2BA0">
        <w:t xml:space="preserve"> oynamaktadır. Protokol’de belirlenen hedeflere ulaşmak için piyasa ekonomisi ilkelerine göre geliştirilen esneklik mekanizmaları ve yükümlülüklere uyulması halinde geliştirilen yaptırım sistemi, Kyoto Protokolü’nü diğer çevre sözleşmelerinden farklı kılan en önemli özelliklerden bir tanesidir (</w:t>
      </w:r>
      <w:r w:rsidR="00137003">
        <w:t>ÇOB</w:t>
      </w:r>
      <w:r w:rsidR="00DC2BA0">
        <w:t>, 2008: 5).</w:t>
      </w:r>
    </w:p>
    <w:p w:rsidR="00AA01F9" w:rsidRPr="00AA01F9" w:rsidRDefault="00AA01F9" w:rsidP="0031716B">
      <w:pPr>
        <w:pStyle w:val="Balk3"/>
        <w:numPr>
          <w:ilvl w:val="0"/>
          <w:numId w:val="0"/>
        </w:numPr>
      </w:pPr>
      <w:bookmarkStart w:id="133" w:name="_Toc384824002"/>
      <w:r w:rsidRPr="00AA01F9">
        <w:t>2.2.1.</w:t>
      </w:r>
      <w:r w:rsidR="000A69DA">
        <w:t xml:space="preserve"> </w:t>
      </w:r>
      <w:r w:rsidRPr="00AA01F9">
        <w:t>Kyoto Protokolü Esneklik Mekanizmaları</w:t>
      </w:r>
      <w:bookmarkEnd w:id="133"/>
      <w:r w:rsidR="00575E3F" w:rsidRPr="00AA01F9">
        <w:tab/>
      </w:r>
    </w:p>
    <w:p w:rsidR="009F7AE5" w:rsidRDefault="00824295" w:rsidP="00445AD0">
      <w:pPr>
        <w:pStyle w:val="Gvdemetni4"/>
        <w:shd w:val="clear" w:color="auto" w:fill="auto"/>
        <w:spacing w:before="240" w:after="240" w:line="360" w:lineRule="auto"/>
        <w:ind w:right="23" w:firstLine="708"/>
        <w:jc w:val="both"/>
        <w:rPr>
          <w:sz w:val="24"/>
          <w:szCs w:val="24"/>
        </w:rPr>
      </w:pPr>
      <w:r>
        <w:rPr>
          <w:sz w:val="24"/>
          <w:szCs w:val="24"/>
        </w:rPr>
        <w:t xml:space="preserve">Kyoto Protokolü, küresel ısınma ve iklim değişikliği konusunda mücadele vermek amacıyla </w:t>
      </w:r>
      <w:r w:rsidR="00575E3F">
        <w:rPr>
          <w:sz w:val="24"/>
          <w:szCs w:val="24"/>
        </w:rPr>
        <w:t>Birleşmiş Milletler İklim Değişikliği Çerçeve Sözleşmesi (BMİDÇS)</w:t>
      </w:r>
      <w:r w:rsidR="004A7172">
        <w:rPr>
          <w:sz w:val="24"/>
          <w:szCs w:val="24"/>
        </w:rPr>
        <w:t xml:space="preserve"> içinde imzalanmıştır</w:t>
      </w:r>
      <w:r w:rsidR="00E72680">
        <w:rPr>
          <w:sz w:val="24"/>
          <w:szCs w:val="24"/>
        </w:rPr>
        <w:t xml:space="preserve"> (Narin, 2013: 5).</w:t>
      </w:r>
      <w:r w:rsidR="004A7172">
        <w:rPr>
          <w:sz w:val="24"/>
          <w:szCs w:val="24"/>
        </w:rPr>
        <w:t xml:space="preserve"> 1997 yılında Japon</w:t>
      </w:r>
      <w:r w:rsidR="00815095">
        <w:rPr>
          <w:sz w:val="24"/>
          <w:szCs w:val="24"/>
        </w:rPr>
        <w:t>ya’nın Kyoto şehrinde imzalanan</w:t>
      </w:r>
      <w:r w:rsidR="004A7172">
        <w:rPr>
          <w:sz w:val="24"/>
          <w:szCs w:val="24"/>
        </w:rPr>
        <w:t xml:space="preserve"> ve 2005 yılında Rusya’nın anlaşmayı onaylamasıyla 191 ülke ve Avrupa Birli</w:t>
      </w:r>
      <w:r w:rsidR="001E3C9C">
        <w:rPr>
          <w:sz w:val="24"/>
          <w:szCs w:val="24"/>
        </w:rPr>
        <w:t>ği taraf olmuştur</w:t>
      </w:r>
      <w:r w:rsidR="00E72680">
        <w:rPr>
          <w:sz w:val="24"/>
          <w:szCs w:val="24"/>
        </w:rPr>
        <w:t xml:space="preserve"> (UNFCCC, 2013)</w:t>
      </w:r>
      <w:r w:rsidR="004A7172">
        <w:rPr>
          <w:sz w:val="24"/>
          <w:szCs w:val="24"/>
        </w:rPr>
        <w:t xml:space="preserve">. </w:t>
      </w:r>
      <w:r w:rsidR="001E3C9C">
        <w:rPr>
          <w:sz w:val="24"/>
          <w:szCs w:val="24"/>
        </w:rPr>
        <w:t xml:space="preserve"> </w:t>
      </w:r>
      <w:r>
        <w:rPr>
          <w:sz w:val="24"/>
          <w:szCs w:val="24"/>
        </w:rPr>
        <w:t>BMİDÇS</w:t>
      </w:r>
      <w:r w:rsidR="00575E3F">
        <w:rPr>
          <w:sz w:val="24"/>
          <w:szCs w:val="24"/>
        </w:rPr>
        <w:t xml:space="preserve"> yürürlüğe girmesinden bu yana, sözleşmeyi onaylayan ve müzakere niyetinde bulunan ülkeler, iklim değişikliği sorunun çözülmesi için her yıl Aralık ayında bi</w:t>
      </w:r>
      <w:r w:rsidR="009F6CE5">
        <w:rPr>
          <w:sz w:val="24"/>
          <w:szCs w:val="24"/>
        </w:rPr>
        <w:t>r araya gelmektedirler. Taraf</w:t>
      </w:r>
      <w:r w:rsidR="00575E3F">
        <w:rPr>
          <w:sz w:val="24"/>
          <w:szCs w:val="24"/>
        </w:rPr>
        <w:t>lar Konferansı (COP) olarak adlandırılan toplantılar iklim değişikliğine çözüm merci olara</w:t>
      </w:r>
      <w:r w:rsidR="004A7172">
        <w:rPr>
          <w:sz w:val="24"/>
          <w:szCs w:val="24"/>
        </w:rPr>
        <w:t>k yapılan en önemli adımlardır</w:t>
      </w:r>
      <w:r w:rsidR="00E72680">
        <w:rPr>
          <w:sz w:val="24"/>
          <w:szCs w:val="24"/>
        </w:rPr>
        <w:t>.</w:t>
      </w:r>
      <w:r w:rsidR="004032A3">
        <w:rPr>
          <w:sz w:val="24"/>
          <w:szCs w:val="24"/>
        </w:rPr>
        <w:t xml:space="preserve"> </w:t>
      </w:r>
    </w:p>
    <w:p w:rsidR="00230270" w:rsidRPr="00230270" w:rsidRDefault="00230270" w:rsidP="00575E3F">
      <w:pPr>
        <w:pStyle w:val="Gvdemetni4"/>
        <w:shd w:val="clear" w:color="auto" w:fill="auto"/>
        <w:spacing w:before="240" w:after="240" w:line="360" w:lineRule="auto"/>
        <w:ind w:right="23" w:firstLine="708"/>
        <w:jc w:val="both"/>
        <w:rPr>
          <w:sz w:val="24"/>
          <w:szCs w:val="24"/>
        </w:rPr>
      </w:pPr>
      <w:r w:rsidRPr="00230270">
        <w:rPr>
          <w:sz w:val="24"/>
          <w:szCs w:val="24"/>
        </w:rPr>
        <w:lastRenderedPageBreak/>
        <w:t xml:space="preserve">Küresel ısınma sorununun ortaya çıkmasıyla, başlangıçta </w:t>
      </w:r>
      <w:r w:rsidR="003463A8">
        <w:rPr>
          <w:sz w:val="24"/>
          <w:szCs w:val="24"/>
        </w:rPr>
        <w:t>sera gazı</w:t>
      </w:r>
      <w:r w:rsidRPr="00230270">
        <w:rPr>
          <w:sz w:val="24"/>
          <w:szCs w:val="24"/>
        </w:rPr>
        <w:t xml:space="preserve"> emisyonlarının azaltımında daha çok ekonomik olmayan araçlar kullanılırken, Neoliberal politikaların etkinlik kazanmasıyla piyasa merkezli kalkınma modelleri ve politikalar benimsenerek piyasa tabanlı politikalar olarak adlandırılan iktisadi araçlar kullanılmaya başlanmıştır. İktisadi araçların, maliyet azaltımı açısından etkin olmaları ve yenilenebilir enerji kaynakları ile çevreye zarar vermeyen teknolojilerin yaygınlaşmasını sağlayacak şekilde kullanılmaları durumunda, diğer politikalara göre daha etkili s</w:t>
      </w:r>
      <w:r w:rsidR="004C4A8B">
        <w:rPr>
          <w:sz w:val="24"/>
          <w:szCs w:val="24"/>
        </w:rPr>
        <w:t>onuç vermeleri mümkün olacaktır (Çabuk, 2011: 4).</w:t>
      </w:r>
    </w:p>
    <w:p w:rsidR="00E949B4" w:rsidRDefault="00CF231D" w:rsidP="00E949B4">
      <w:pPr>
        <w:pStyle w:val="ListeParagraf"/>
        <w:spacing w:before="240" w:after="240" w:line="360" w:lineRule="auto"/>
        <w:ind w:left="0" w:firstLine="708"/>
        <w:jc w:val="both"/>
      </w:pPr>
      <w:r>
        <w:t xml:space="preserve">Kyoto Protokolü ile birlikte ülkelerin gündemine giren piyasa temelli esneklik mekanizmaları, (emisyon ticareti ve karbon vergisi) emisyon yükümlülüğü olan ve sonraki yıllarda yükümlülük alacak olan tüm ülkeler için </w:t>
      </w:r>
      <w:r w:rsidR="003463A8">
        <w:t>sera gazı</w:t>
      </w:r>
      <w:r>
        <w:t xml:space="preserve"> emisyonları azaltımında önemli birer araçtır. Emisyon azaltımında uygulanacak politikaların işsizlik, ithalat, ihracat vb. gibi bir çok makroekonomik değişken üzerinde doğrudan ya da dolaylı olarak etkisi olacağı muhakkaktır. Ülkeler bir taraftan </w:t>
      </w:r>
      <w:r w:rsidR="003463A8">
        <w:t>sera gazı</w:t>
      </w:r>
      <w:r>
        <w:t xml:space="preserve"> azaltım hedeflerini tutturmak diğer taraftan da sürdürülebilir kalkınmayı sağlayabilmek için uygulayacağı emisyon azaltım politikalarının etkilerini öngörebilmeleri ol</w:t>
      </w:r>
      <w:r w:rsidR="004E41EB">
        <w:t>dukça önemlidir (Mercan, 2013</w:t>
      </w:r>
      <w:r>
        <w:t>:</w:t>
      </w:r>
      <w:r w:rsidR="004E41EB">
        <w:t xml:space="preserve"> </w:t>
      </w:r>
      <w:r>
        <w:t>168).</w:t>
      </w:r>
    </w:p>
    <w:p w:rsidR="00D3286E" w:rsidRDefault="003A1A5B" w:rsidP="0048463A">
      <w:pPr>
        <w:spacing w:before="240" w:after="240" w:line="360" w:lineRule="auto"/>
        <w:ind w:firstLine="708"/>
        <w:jc w:val="both"/>
      </w:pPr>
      <w:r>
        <w:t xml:space="preserve"> </w:t>
      </w:r>
      <w:r w:rsidR="00DF7EF2">
        <w:t>“</w:t>
      </w:r>
      <w:r w:rsidR="00A65F3E">
        <w:t xml:space="preserve">Yük Paylaşımı” (Burden </w:t>
      </w:r>
      <w:r w:rsidR="00DF7EF2" w:rsidRPr="00771D30">
        <w:t>Sharing)</w:t>
      </w:r>
      <w:r w:rsidR="00DF7EF2">
        <w:t xml:space="preserve"> piyasa ve proje temelli esneklik mekanizmalarının yanı sıra </w:t>
      </w:r>
      <w:r w:rsidR="00DF7EF2" w:rsidRPr="00771D30">
        <w:t>dördüncü bir esneklik mekanizması olarak</w:t>
      </w:r>
      <w:r w:rsidR="00DF7EF2">
        <w:t xml:space="preserve"> ifade edilmektedir. </w:t>
      </w:r>
      <w:r w:rsidR="00DF7EF2" w:rsidRPr="00771D30">
        <w:t>Türkiye için emisyon azaltımında Eski Sovyet Bloku ülkeleri yerine</w:t>
      </w:r>
      <w:r w:rsidR="00DF7EF2">
        <w:t>,</w:t>
      </w:r>
      <w:r w:rsidR="00DF7EF2" w:rsidRPr="00771D30">
        <w:t xml:space="preserve"> AB’nin “Yük Paylaşımı” ilkesi</w:t>
      </w:r>
      <w:r w:rsidR="00DF7EF2">
        <w:t>ni</w:t>
      </w:r>
      <w:r w:rsidR="00A65F3E">
        <w:t xml:space="preserve"> </w:t>
      </w:r>
      <w:r w:rsidR="00DF7EF2" w:rsidRPr="00771D30">
        <w:t>gündeme getirip Portekiz ve Yunanistan’a sağlanan kolaylıkları talep etmesi gerektiği</w:t>
      </w:r>
      <w:r w:rsidR="00DF7EF2">
        <w:t xml:space="preserve"> görüşünü</w:t>
      </w:r>
      <w:r w:rsidR="00A65F3E">
        <w:t xml:space="preserve"> </w:t>
      </w:r>
      <w:r w:rsidR="00DF7EF2">
        <w:t xml:space="preserve">savunanlar </w:t>
      </w:r>
      <w:r w:rsidR="00DF7EF2" w:rsidRPr="00771D30">
        <w:t>vardır (Karakaya ve Özçağ, 2003:</w:t>
      </w:r>
      <w:r w:rsidR="002B7FE7">
        <w:t xml:space="preserve"> </w:t>
      </w:r>
      <w:r w:rsidR="00DF7EF2" w:rsidRPr="00771D30">
        <w:t>26).</w:t>
      </w:r>
    </w:p>
    <w:p w:rsidR="00D3286E" w:rsidRDefault="003463A8" w:rsidP="005569BC">
      <w:pPr>
        <w:spacing w:before="240" w:after="240" w:line="360" w:lineRule="auto"/>
        <w:ind w:firstLine="708"/>
        <w:jc w:val="both"/>
      </w:pPr>
      <w:r>
        <w:t>Sera gazı</w:t>
      </w:r>
      <w:r w:rsidR="00D3286E" w:rsidRPr="00D3286E">
        <w:t xml:space="preserve"> üretiminde çok büyük paya sahip olan ABD, Hindistan ve Çin gibi ülkeler kendi ekonomik çıkarlarını göstererek </w:t>
      </w:r>
      <w:r>
        <w:t>sera gazı</w:t>
      </w:r>
      <w:r w:rsidR="00D3286E" w:rsidRPr="00D3286E">
        <w:t xml:space="preserve"> azaltım hedefi</w:t>
      </w:r>
      <w:r w:rsidR="0048463A">
        <w:t xml:space="preserve"> ko</w:t>
      </w:r>
      <w:r w:rsidR="00D3286E" w:rsidRPr="00D3286E">
        <w:t xml:space="preserve">ymamaktadırlar. 2004 yıllında kişi başına karbondioksit emisyonu (ton) dünya ortalaması </w:t>
      </w:r>
      <w:proofErr w:type="gramStart"/>
      <w:r w:rsidR="00D3286E" w:rsidRPr="00D3286E">
        <w:t>4.2</w:t>
      </w:r>
      <w:proofErr w:type="gramEnd"/>
      <w:r w:rsidR="00D3286E" w:rsidRPr="00D3286E">
        <w:t xml:space="preserve"> iken ABD’de 20.2, Hindistan’da 1, Çin’de 3.6 tondur. </w:t>
      </w:r>
    </w:p>
    <w:p w:rsidR="00944207" w:rsidRDefault="00E949B4" w:rsidP="00944207">
      <w:pPr>
        <w:spacing w:before="240" w:after="240" w:line="360" w:lineRule="auto"/>
        <w:jc w:val="both"/>
      </w:pPr>
      <w:r>
        <w:tab/>
        <w:t xml:space="preserve">Kyoto protokolü, ülkelerin ortak ancak farklı sorumlulukları, ulusal ve bölgesel kalkınma öncelikleri, amaçları ve özel koşulları göz önünde bulundurarak, öncelikli olarak gelişmiş (sanayileşmiş) ülkelerin </w:t>
      </w:r>
      <w:r w:rsidR="003463A8">
        <w:t>sera gazı</w:t>
      </w:r>
      <w:r>
        <w:t xml:space="preserve"> emisyonlarını azaltmaları yönünde yükümlülükler getirmektedir (Narin, 2013: 5)</w:t>
      </w:r>
      <w:r w:rsidR="007D6A52">
        <w:t xml:space="preserve">. </w:t>
      </w:r>
      <w:r w:rsidR="00944207">
        <w:t>BMİDÇS’y</w:t>
      </w:r>
      <w:r w:rsidR="00BD6689">
        <w:t xml:space="preserve">e göre düzenlenen Ek-1 </w:t>
      </w:r>
      <w:r w:rsidR="00BD6689">
        <w:lastRenderedPageBreak/>
        <w:t>listesindeki gelişmiş ülkeler, Kyoto Proto</w:t>
      </w:r>
      <w:r w:rsidR="00944207">
        <w:t xml:space="preserve">kolü Ek-B listesinde belirlenen emisyon </w:t>
      </w:r>
      <w:r w:rsidR="00BD6689">
        <w:t>sınırlamalarına uymayı taahhüt etmiştir. Bağlayıcı hedefleri olan ülkeler, dünya karbon emisyonlarının %45’ini temsil ekmektedir (UNFCCC, 2013).</w:t>
      </w:r>
      <w:r w:rsidR="00944207">
        <w:t xml:space="preserve"> BMİDÇS ve Kyoto Protokolü’ne göre ülkelerin sınıflandırılması </w:t>
      </w:r>
      <w:r w:rsidR="00B9472D">
        <w:t>Çizelge</w:t>
      </w:r>
      <w:r w:rsidR="00944207">
        <w:t xml:space="preserve"> </w:t>
      </w:r>
      <w:proofErr w:type="gramStart"/>
      <w:r w:rsidR="00944207">
        <w:t>2.1’de</w:t>
      </w:r>
      <w:proofErr w:type="gramEnd"/>
      <w:r w:rsidR="00944207">
        <w:t xml:space="preserve"> gösterilmiştir. </w:t>
      </w:r>
    </w:p>
    <w:p w:rsidR="00944207" w:rsidRPr="00985746" w:rsidRDefault="00B9472D" w:rsidP="000D38D2">
      <w:pPr>
        <w:pStyle w:val="it6"/>
      </w:pPr>
      <w:bookmarkStart w:id="134" w:name="_Toc384716096"/>
      <w:r>
        <w:t>Çizelge</w:t>
      </w:r>
      <w:r w:rsidR="00944207" w:rsidRPr="00985746">
        <w:t xml:space="preserve"> </w:t>
      </w:r>
      <w:proofErr w:type="gramStart"/>
      <w:r w:rsidR="00944207" w:rsidRPr="00985746">
        <w:t>2.1</w:t>
      </w:r>
      <w:proofErr w:type="gramEnd"/>
      <w:r w:rsidR="00944207" w:rsidRPr="00985746">
        <w:t>: BMİDÇS ve Kyoto Protokolü’nde Resmi Ülke Sınıflandırmaları</w:t>
      </w:r>
      <w:bookmarkEnd w:id="134"/>
    </w:p>
    <w:p w:rsidR="00944207" w:rsidRDefault="00944207" w:rsidP="00B11F2A">
      <w:pPr>
        <w:spacing w:before="120" w:after="120"/>
        <w:jc w:val="both"/>
      </w:pPr>
      <w:r>
        <w:rPr>
          <w:noProof/>
          <w:lang w:eastAsia="tr-TR"/>
        </w:rPr>
        <w:drawing>
          <wp:inline distT="0" distB="0" distL="0" distR="0" wp14:anchorId="2C3B97A6" wp14:editId="053594B3">
            <wp:extent cx="5400040" cy="2505398"/>
            <wp:effectExtent l="0" t="0" r="0"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2505398"/>
                    </a:xfrm>
                    <a:prstGeom prst="rect">
                      <a:avLst/>
                    </a:prstGeom>
                  </pic:spPr>
                </pic:pic>
              </a:graphicData>
            </a:graphic>
          </wp:inline>
        </w:drawing>
      </w:r>
    </w:p>
    <w:p w:rsidR="00944207" w:rsidRDefault="00944207" w:rsidP="00B11F2A">
      <w:pPr>
        <w:spacing w:before="120" w:after="120"/>
        <w:jc w:val="both"/>
      </w:pPr>
      <w:r w:rsidRPr="00985746">
        <w:rPr>
          <w:b/>
          <w:sz w:val="20"/>
          <w:szCs w:val="20"/>
        </w:rPr>
        <w:t>Kaynak:</w:t>
      </w:r>
      <w:r w:rsidRPr="00985746">
        <w:rPr>
          <w:sz w:val="20"/>
          <w:szCs w:val="20"/>
        </w:rPr>
        <w:t xml:space="preserve"> </w:t>
      </w:r>
      <w:r w:rsidR="00137003">
        <w:rPr>
          <w:sz w:val="20"/>
          <w:szCs w:val="20"/>
        </w:rPr>
        <w:t>ÇOB</w:t>
      </w:r>
      <w:r w:rsidRPr="00985746">
        <w:rPr>
          <w:sz w:val="20"/>
          <w:szCs w:val="20"/>
        </w:rPr>
        <w:t>, 2008: 7</w:t>
      </w:r>
    </w:p>
    <w:p w:rsidR="00A778E1" w:rsidRDefault="00A778E1" w:rsidP="00B17841">
      <w:pPr>
        <w:shd w:val="clear" w:color="auto" w:fill="FFFFFF"/>
        <w:spacing w:before="240" w:after="240" w:line="360" w:lineRule="auto"/>
        <w:ind w:firstLine="708"/>
        <w:jc w:val="both"/>
      </w:pPr>
      <w:r w:rsidRPr="00A778E1">
        <w:t xml:space="preserve">Kyoto Protokolü, hükümlerinin yer aldığı </w:t>
      </w:r>
      <w:r w:rsidR="00C77EBB">
        <w:t>maddelere</w:t>
      </w:r>
      <w:r w:rsidRPr="00A778E1">
        <w:t xml:space="preserve"> ilave olarak iki ek liste içermektedir. Ek listeler, sınırlanan sera gazları ve kaynaklandığı sektörlerin yer aldığı Ek-A listesi ile ülke bazında 1990 yılına oranla sayısal emisyon azaltım hedeflerinin yer aldığı Ek-B listes</w:t>
      </w:r>
      <w:r w:rsidR="00C77EBB">
        <w:t>inden oluşmaktadır (UNFCCC, 2001</w:t>
      </w:r>
      <w:r w:rsidRPr="00A778E1">
        <w:t>).</w:t>
      </w:r>
    </w:p>
    <w:p w:rsidR="00A778E1" w:rsidRDefault="00A778E1" w:rsidP="00B17841">
      <w:pPr>
        <w:shd w:val="clear" w:color="auto" w:fill="FFFFFF"/>
        <w:spacing w:before="240" w:after="240" w:line="360" w:lineRule="auto"/>
        <w:ind w:firstLine="708"/>
        <w:jc w:val="both"/>
      </w:pPr>
      <w:r w:rsidRPr="00A778E1">
        <w:t>Sözleşmenin EK-I listes</w:t>
      </w:r>
      <w:r w:rsidR="000F5C93">
        <w:t xml:space="preserve">inde yer alan taraf ülkeleri ise </w:t>
      </w:r>
      <w:r w:rsidR="000F5C93" w:rsidRPr="00A778E1">
        <w:t>Ek-B ülkeleri</w:t>
      </w:r>
      <w:r w:rsidR="005B6AF1">
        <w:t>ni</w:t>
      </w:r>
      <w:r w:rsidRPr="00A778E1">
        <w:t xml:space="preserve"> oluşmaktadır. Ancak, Sözleşmenin EK-I listesinde yer alan Türkiye ve Beyaz Rusya, Protokolün EK-B listesinde </w:t>
      </w:r>
      <w:r w:rsidR="0044261F">
        <w:t>bulunmamaktadır</w:t>
      </w:r>
      <w:r w:rsidR="005B6AF1">
        <w:t xml:space="preserve">. </w:t>
      </w:r>
      <w:r w:rsidR="0044261F">
        <w:t xml:space="preserve">Ayrıca, </w:t>
      </w:r>
      <w:r w:rsidR="005B6AF1">
        <w:t>Beyaz Rusya, p</w:t>
      </w:r>
      <w:r w:rsidRPr="00A778E1">
        <w:t>rotokolün EK-B listesinde yer almak üzere müzake</w:t>
      </w:r>
      <w:r w:rsidR="00C77EBB">
        <w:t>relere başlamıştır (UNFCCC, 2001</w:t>
      </w:r>
      <w:r w:rsidRPr="00A778E1">
        <w:t>).</w:t>
      </w:r>
    </w:p>
    <w:p w:rsidR="00A778E1" w:rsidRDefault="00A778E1" w:rsidP="00B17841">
      <w:pPr>
        <w:shd w:val="clear" w:color="auto" w:fill="FFFFFF"/>
        <w:spacing w:before="240" w:after="240" w:line="360" w:lineRule="auto"/>
        <w:ind w:firstLine="709"/>
        <w:jc w:val="both"/>
      </w:pPr>
      <w:r w:rsidRPr="00A778E1">
        <w:t xml:space="preserve">KP’nin hedefi, Ek-B Listesi’nde yer alan ülkelerin </w:t>
      </w:r>
      <w:r w:rsidR="003463A8">
        <w:t>sera gazı</w:t>
      </w:r>
      <w:r w:rsidRPr="00A778E1">
        <w:t xml:space="preserve"> </w:t>
      </w:r>
      <w:r w:rsidR="003463A8">
        <w:t>emisyon</w:t>
      </w:r>
      <w:r w:rsidRPr="00A778E1">
        <w:t xml:space="preserve">larının toplamını, 2008-2012 yılları arasındaki birinci taahhüt döneminde, 1990 yılındaki seviyenin % 5 altına düşürmektir. Bu genel hedefe ulaşmak için anılan ülkeler, müzakereler sonucunda farklı oranlarda azaltım yükümlülükleri almışlardır </w:t>
      </w:r>
      <w:r w:rsidR="00C77EBB">
        <w:t>(UNFCCC, 2001</w:t>
      </w:r>
      <w:r w:rsidRPr="00A778E1">
        <w:t>).</w:t>
      </w:r>
    </w:p>
    <w:p w:rsidR="00C84484" w:rsidRPr="00B17841" w:rsidRDefault="00C84484" w:rsidP="00B17841">
      <w:pPr>
        <w:shd w:val="clear" w:color="auto" w:fill="FFFFFF"/>
        <w:spacing w:before="240" w:after="240" w:line="360" w:lineRule="auto"/>
        <w:ind w:firstLine="709"/>
        <w:jc w:val="both"/>
      </w:pPr>
      <w:r w:rsidRPr="00B17841">
        <w:t xml:space="preserve">Sanayi devriminden sonra özellikle sanayileşen ülkelerin fosil yakıtları kullanarak enerji ihtiyaçlarını karşılaması </w:t>
      </w:r>
      <w:r w:rsidR="00D61DAF" w:rsidRPr="00B17841">
        <w:t xml:space="preserve">çevre kirliliğin artmasına neden olmuştur. </w:t>
      </w:r>
      <w:r w:rsidR="00D61DAF" w:rsidRPr="00B17841">
        <w:lastRenderedPageBreak/>
        <w:t>K</w:t>
      </w:r>
      <w:r w:rsidR="0041023B">
        <w:t xml:space="preserve">P’ye göre </w:t>
      </w:r>
      <w:r w:rsidR="003463A8" w:rsidRPr="00B17841">
        <w:t>sera gazı</w:t>
      </w:r>
      <w:r w:rsidR="00D61DAF" w:rsidRPr="00B17841">
        <w:t xml:space="preserve"> emisyonlarını azaltmak</w:t>
      </w:r>
      <w:r w:rsidR="0041023B">
        <w:t xml:space="preserve"> için</w:t>
      </w:r>
      <w:r w:rsidR="00D61DAF" w:rsidRPr="00B17841">
        <w:t xml:space="preserve"> </w:t>
      </w:r>
      <w:r w:rsidRPr="00B17841">
        <w:t xml:space="preserve">sorumluluk alma gerekliliği </w:t>
      </w:r>
      <w:r w:rsidR="00D61DAF" w:rsidRPr="00B17841">
        <w:t xml:space="preserve">bağlamında </w:t>
      </w:r>
      <w:r w:rsidRPr="00B17841">
        <w:t xml:space="preserve">ülkeler üç farklı </w:t>
      </w:r>
      <w:r w:rsidR="000A17DC" w:rsidRPr="00B17841">
        <w:t>grupta</w:t>
      </w:r>
      <w:r w:rsidRPr="00B17841">
        <w:t xml:space="preserve"> toplanmıştır</w:t>
      </w:r>
      <w:r w:rsidR="00B17841">
        <w:t xml:space="preserve"> (Şekil 2.11)</w:t>
      </w:r>
      <w:r w:rsidRPr="00B17841">
        <w:t>.</w:t>
      </w:r>
    </w:p>
    <w:p w:rsidR="00C84484" w:rsidRDefault="00C84484" w:rsidP="00B17841">
      <w:pPr>
        <w:shd w:val="clear" w:color="auto" w:fill="FFFFFF"/>
        <w:spacing w:before="240" w:after="240" w:line="360" w:lineRule="auto"/>
        <w:ind w:firstLine="709"/>
        <w:jc w:val="both"/>
      </w:pPr>
      <w:r>
        <w:t xml:space="preserve">Ek–I Ülkeleri: Bu </w:t>
      </w:r>
      <w:r w:rsidR="000A17DC">
        <w:t>gruptak</w:t>
      </w:r>
      <w:r>
        <w:t>i ülkeler</w:t>
      </w:r>
      <w:r w:rsidR="001D4E4A">
        <w:rPr>
          <w:rStyle w:val="DipnotBavurusu"/>
        </w:rPr>
        <w:footnoteReference w:id="35"/>
      </w:r>
      <w:r>
        <w:t xml:space="preserve">, </w:t>
      </w:r>
      <w:r w:rsidR="003463A8">
        <w:t>sera gazı</w:t>
      </w:r>
      <w:r>
        <w:t xml:space="preserve"> </w:t>
      </w:r>
      <w:r w:rsidR="00182EE4">
        <w:t>emisyonlarını</w:t>
      </w:r>
      <w:r>
        <w:t xml:space="preserve"> sınırlandırmak, </w:t>
      </w:r>
      <w:r w:rsidR="003463A8">
        <w:t>sera gazı</w:t>
      </w:r>
      <w:r>
        <w:t xml:space="preserve"> yutaklarını korumak</w:t>
      </w:r>
      <w:r w:rsidR="00182EE4">
        <w:t>, geliştirmek ve</w:t>
      </w:r>
      <w:r>
        <w:t xml:space="preserve"> iklim değişikliğini önlemek için aldıkları önlemleri </w:t>
      </w:r>
      <w:r w:rsidR="00182EE4">
        <w:t xml:space="preserve">izleyecekleri </w:t>
      </w:r>
      <w:r>
        <w:t>politikalar</w:t>
      </w:r>
      <w:r w:rsidR="00182EE4">
        <w:t xml:space="preserve">la </w:t>
      </w:r>
      <w:r w:rsidR="003463A8">
        <w:t>sera gazı</w:t>
      </w:r>
      <w:r>
        <w:t xml:space="preserve"> </w:t>
      </w:r>
      <w:r w:rsidR="00182EE4">
        <w:t>emisyonlarını</w:t>
      </w:r>
      <w:r>
        <w:t xml:space="preserve"> ilgili verileri iletmekle yükümlüdürler. Bu grup iki ülke kümesinden oluşmaktadır. Birinci grupta 1992 yılı itibarıyla OECD üyesi olan ülkeler (bunların içinde Türkiye de vardır) ve AB, ikinci grupta ise Pazar Ekonomisine geçiş sürecindeki ülkeler yer almaktadır. Bu grupta halen toplam </w:t>
      </w:r>
      <w:r w:rsidRPr="002F5803">
        <w:t xml:space="preserve">42 ülke </w:t>
      </w:r>
      <w:r>
        <w:t>ve AB bulunmaktadır.</w:t>
      </w:r>
    </w:p>
    <w:p w:rsidR="00C84484" w:rsidRDefault="00C84484" w:rsidP="00B17841">
      <w:pPr>
        <w:shd w:val="clear" w:color="auto" w:fill="FFFFFF"/>
        <w:spacing w:before="240" w:after="240" w:line="360" w:lineRule="auto"/>
        <w:ind w:firstLine="709"/>
        <w:jc w:val="both"/>
      </w:pPr>
      <w:r>
        <w:t>Ek–II Ülkeleri: Bu gruptaki ülkeler</w:t>
      </w:r>
      <w:r w:rsidR="001D4E4A">
        <w:rPr>
          <w:rStyle w:val="DipnotBavurusu"/>
        </w:rPr>
        <w:footnoteReference w:id="36"/>
      </w:r>
      <w:r>
        <w:t>, birinci grupta üstlendikleri yükümlülüklere ilaveten çevreye uyumlu teknolojilerin özellikle gelişme yolundaki taraf ülkelere aktarılması veya bu teknolojilere erişimin teşvik edilmesi, kolaylaştırılması ve finanse edilmesi hususlarında her türlü adımı atmakla sorumlu kılınmışlardır. Bu grupta 23 ülke ve AB yer almaktadır.</w:t>
      </w:r>
    </w:p>
    <w:p w:rsidR="00A977E9" w:rsidRDefault="00A977E9" w:rsidP="00A977E9">
      <w:pPr>
        <w:shd w:val="clear" w:color="auto" w:fill="FFFFFF"/>
        <w:spacing w:line="360" w:lineRule="auto"/>
        <w:jc w:val="both"/>
      </w:pPr>
    </w:p>
    <w:p w:rsidR="00D67F8B" w:rsidRDefault="00D67F8B" w:rsidP="00A977E9">
      <w:pPr>
        <w:shd w:val="clear" w:color="auto" w:fill="FFFFFF"/>
        <w:spacing w:line="360" w:lineRule="auto"/>
        <w:jc w:val="both"/>
      </w:pPr>
    </w:p>
    <w:p w:rsidR="00D67F8B" w:rsidRDefault="00D67F8B" w:rsidP="00A977E9">
      <w:pPr>
        <w:shd w:val="clear" w:color="auto" w:fill="FFFFFF"/>
        <w:spacing w:line="360" w:lineRule="auto"/>
        <w:jc w:val="both"/>
      </w:pPr>
    </w:p>
    <w:p w:rsidR="00D67F8B" w:rsidRDefault="00D67F8B" w:rsidP="00A977E9">
      <w:pPr>
        <w:shd w:val="clear" w:color="auto" w:fill="FFFFFF"/>
        <w:spacing w:line="360" w:lineRule="auto"/>
        <w:jc w:val="both"/>
      </w:pPr>
    </w:p>
    <w:p w:rsidR="00D67F8B" w:rsidRDefault="00D67F8B" w:rsidP="00A977E9">
      <w:pPr>
        <w:shd w:val="clear" w:color="auto" w:fill="FFFFFF"/>
        <w:spacing w:line="360" w:lineRule="auto"/>
        <w:jc w:val="both"/>
      </w:pPr>
    </w:p>
    <w:p w:rsidR="00D67F8B" w:rsidRDefault="00D67F8B" w:rsidP="00A977E9">
      <w:pPr>
        <w:shd w:val="clear" w:color="auto" w:fill="FFFFFF"/>
        <w:spacing w:line="360" w:lineRule="auto"/>
        <w:jc w:val="both"/>
      </w:pPr>
    </w:p>
    <w:p w:rsidR="00D67F8B" w:rsidRDefault="00D67F8B" w:rsidP="00A977E9">
      <w:pPr>
        <w:shd w:val="clear" w:color="auto" w:fill="FFFFFF"/>
        <w:spacing w:line="360" w:lineRule="auto"/>
        <w:jc w:val="both"/>
      </w:pPr>
    </w:p>
    <w:p w:rsidR="00D67F8B" w:rsidRDefault="00D67F8B" w:rsidP="00A977E9">
      <w:pPr>
        <w:shd w:val="clear" w:color="auto" w:fill="FFFFFF"/>
        <w:spacing w:line="360" w:lineRule="auto"/>
        <w:jc w:val="both"/>
      </w:pPr>
    </w:p>
    <w:p w:rsidR="00D67F8B" w:rsidRDefault="00D67F8B" w:rsidP="00A977E9">
      <w:pPr>
        <w:shd w:val="clear" w:color="auto" w:fill="FFFFFF"/>
        <w:spacing w:line="360" w:lineRule="auto"/>
        <w:jc w:val="both"/>
      </w:pPr>
    </w:p>
    <w:p w:rsidR="00D67F8B" w:rsidRDefault="00D67F8B" w:rsidP="00A977E9">
      <w:pPr>
        <w:shd w:val="clear" w:color="auto" w:fill="FFFFFF"/>
        <w:spacing w:line="360" w:lineRule="auto"/>
        <w:jc w:val="both"/>
      </w:pPr>
    </w:p>
    <w:p w:rsidR="00D67F8B" w:rsidRDefault="00D67F8B" w:rsidP="00A977E9">
      <w:pPr>
        <w:shd w:val="clear" w:color="auto" w:fill="FFFFFF"/>
        <w:spacing w:line="360" w:lineRule="auto"/>
        <w:jc w:val="both"/>
      </w:pPr>
    </w:p>
    <w:p w:rsidR="007E415C" w:rsidRDefault="007E415C" w:rsidP="00A977E9">
      <w:pPr>
        <w:shd w:val="clear" w:color="auto" w:fill="FFFFFF"/>
        <w:spacing w:line="360" w:lineRule="auto"/>
        <w:jc w:val="both"/>
      </w:pPr>
    </w:p>
    <w:p w:rsidR="00A977E9" w:rsidRPr="007E3767" w:rsidRDefault="00A977E9" w:rsidP="00B11F2A">
      <w:pPr>
        <w:pStyle w:val="stil1"/>
        <w:spacing w:before="120" w:after="120"/>
      </w:pPr>
      <w:bookmarkStart w:id="135" w:name="_Toc382298161"/>
      <w:r>
        <w:lastRenderedPageBreak/>
        <w:t>Şekil 2.</w:t>
      </w:r>
      <w:r w:rsidR="002F5803">
        <w:t>11</w:t>
      </w:r>
      <w:r>
        <w:t>: BMİDÇS’ye Göre Ülkelerin Sınıflandırılması</w:t>
      </w:r>
      <w:bookmarkEnd w:id="135"/>
    </w:p>
    <w:p w:rsidR="00A977E9" w:rsidRPr="00A977E9" w:rsidRDefault="00A977E9" w:rsidP="00B11F2A">
      <w:pPr>
        <w:shd w:val="clear" w:color="auto" w:fill="FFFFFF"/>
        <w:spacing w:before="120" w:after="120"/>
        <w:jc w:val="both"/>
        <w:rPr>
          <w:sz w:val="20"/>
          <w:szCs w:val="20"/>
        </w:rPr>
      </w:pPr>
      <w:r w:rsidRPr="007E415C">
        <w:rPr>
          <w:b/>
          <w:noProof/>
          <w:sz w:val="20"/>
          <w:szCs w:val="20"/>
          <w:lang w:eastAsia="tr-TR"/>
        </w:rPr>
        <w:drawing>
          <wp:anchor distT="0" distB="0" distL="114300" distR="114300" simplePos="0" relativeHeight="251680256" behindDoc="0" locked="0" layoutInCell="1" allowOverlap="1" wp14:anchorId="73963EE3" wp14:editId="65F77C94">
            <wp:simplePos x="0" y="0"/>
            <wp:positionH relativeFrom="column">
              <wp:posOffset>22860</wp:posOffset>
            </wp:positionH>
            <wp:positionV relativeFrom="paragraph">
              <wp:posOffset>120015</wp:posOffset>
            </wp:positionV>
            <wp:extent cx="5400040" cy="4237990"/>
            <wp:effectExtent l="0" t="0" r="0" b="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423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15C">
        <w:rPr>
          <w:b/>
          <w:sz w:val="20"/>
          <w:szCs w:val="20"/>
        </w:rPr>
        <w:t>Kaynak:</w:t>
      </w:r>
      <w:r w:rsidRPr="00A977E9">
        <w:rPr>
          <w:sz w:val="20"/>
          <w:szCs w:val="20"/>
        </w:rPr>
        <w:t xml:space="preserve"> DSİ, İklim Değişikliği Birimi, 2011: 4 ve </w:t>
      </w:r>
      <w:r w:rsidR="00B13D05">
        <w:rPr>
          <w:sz w:val="20"/>
          <w:szCs w:val="20"/>
        </w:rPr>
        <w:t>Mercan, 2013: 76.</w:t>
      </w:r>
    </w:p>
    <w:p w:rsidR="00C84484" w:rsidRDefault="00C84484" w:rsidP="00BB41DB">
      <w:pPr>
        <w:shd w:val="clear" w:color="auto" w:fill="FFFFFF"/>
        <w:spacing w:before="240" w:after="240" w:line="360" w:lineRule="auto"/>
        <w:ind w:firstLine="709"/>
        <w:jc w:val="both"/>
      </w:pPr>
      <w:r>
        <w:t xml:space="preserve">Ek Dışı Ülkeler: Bu ülkeler, </w:t>
      </w:r>
      <w:r w:rsidR="003463A8">
        <w:t>sera gazı</w:t>
      </w:r>
      <w:r>
        <w:t xml:space="preserve"> </w:t>
      </w:r>
      <w:r w:rsidR="00D61DAF">
        <w:t>emisyonlarını</w:t>
      </w:r>
      <w:r>
        <w:t xml:space="preserve"> azaltmaya, araştırma ve teknoloji üzerinde işbirliği yapmaya ve </w:t>
      </w:r>
      <w:r w:rsidR="003463A8">
        <w:t>sera gazı</w:t>
      </w:r>
      <w:r>
        <w:t xml:space="preserve"> yutaklarını korumaya teşvik edilmekte, ancak belirli bir yükümlülük altına alınmamaktadırlar. Bu grupta halen 153 ülke bulunmaktadır.</w:t>
      </w:r>
    </w:p>
    <w:p w:rsidR="000673F5" w:rsidRDefault="000673F5" w:rsidP="00C84484">
      <w:pPr>
        <w:shd w:val="clear" w:color="auto" w:fill="FFFFFF"/>
        <w:spacing w:line="360" w:lineRule="auto"/>
        <w:ind w:firstLine="709"/>
        <w:jc w:val="both"/>
      </w:pPr>
    </w:p>
    <w:p w:rsidR="000673F5" w:rsidRDefault="000673F5" w:rsidP="00C84484">
      <w:pPr>
        <w:shd w:val="clear" w:color="auto" w:fill="FFFFFF"/>
        <w:spacing w:line="360" w:lineRule="auto"/>
        <w:ind w:firstLine="709"/>
        <w:jc w:val="both"/>
      </w:pPr>
    </w:p>
    <w:p w:rsidR="000673F5" w:rsidRDefault="000673F5" w:rsidP="00C84484">
      <w:pPr>
        <w:shd w:val="clear" w:color="auto" w:fill="FFFFFF"/>
        <w:spacing w:line="360" w:lineRule="auto"/>
        <w:ind w:firstLine="709"/>
        <w:jc w:val="both"/>
      </w:pPr>
    </w:p>
    <w:p w:rsidR="000673F5" w:rsidRDefault="000673F5" w:rsidP="00C84484">
      <w:pPr>
        <w:shd w:val="clear" w:color="auto" w:fill="FFFFFF"/>
        <w:spacing w:line="360" w:lineRule="auto"/>
        <w:ind w:firstLine="709"/>
        <w:jc w:val="both"/>
      </w:pPr>
    </w:p>
    <w:p w:rsidR="000673F5" w:rsidRDefault="000673F5" w:rsidP="00C84484">
      <w:pPr>
        <w:shd w:val="clear" w:color="auto" w:fill="FFFFFF"/>
        <w:spacing w:line="360" w:lineRule="auto"/>
        <w:ind w:firstLine="709"/>
        <w:jc w:val="both"/>
      </w:pPr>
    </w:p>
    <w:p w:rsidR="000673F5" w:rsidRDefault="000673F5" w:rsidP="00C84484">
      <w:pPr>
        <w:shd w:val="clear" w:color="auto" w:fill="FFFFFF"/>
        <w:spacing w:line="360" w:lineRule="auto"/>
        <w:ind w:firstLine="709"/>
        <w:jc w:val="both"/>
      </w:pPr>
    </w:p>
    <w:p w:rsidR="000673F5" w:rsidRDefault="000673F5" w:rsidP="00C84484">
      <w:pPr>
        <w:shd w:val="clear" w:color="auto" w:fill="FFFFFF"/>
        <w:spacing w:line="360" w:lineRule="auto"/>
        <w:ind w:firstLine="709"/>
        <w:jc w:val="both"/>
      </w:pPr>
    </w:p>
    <w:p w:rsidR="000673F5" w:rsidRDefault="000673F5" w:rsidP="00C84484">
      <w:pPr>
        <w:shd w:val="clear" w:color="auto" w:fill="FFFFFF"/>
        <w:spacing w:line="360" w:lineRule="auto"/>
        <w:ind w:firstLine="709"/>
        <w:jc w:val="both"/>
      </w:pPr>
    </w:p>
    <w:p w:rsidR="000673F5" w:rsidRPr="00A778E1" w:rsidRDefault="000673F5" w:rsidP="00C84484">
      <w:pPr>
        <w:shd w:val="clear" w:color="auto" w:fill="FFFFFF"/>
        <w:spacing w:line="360" w:lineRule="auto"/>
        <w:ind w:firstLine="709"/>
        <w:jc w:val="both"/>
      </w:pPr>
    </w:p>
    <w:p w:rsidR="002B7FE7" w:rsidRDefault="002B7FE7" w:rsidP="008657B3">
      <w:pPr>
        <w:autoSpaceDE w:val="0"/>
        <w:autoSpaceDN w:val="0"/>
        <w:adjustRightInd w:val="0"/>
        <w:rPr>
          <w:b/>
          <w:bCs/>
        </w:rPr>
      </w:pPr>
    </w:p>
    <w:p w:rsidR="0042239C" w:rsidRPr="00DF0F21" w:rsidRDefault="00A977E9" w:rsidP="00B11F2A">
      <w:pPr>
        <w:pStyle w:val="stil1"/>
        <w:spacing w:before="120" w:after="120"/>
      </w:pPr>
      <w:bookmarkStart w:id="136" w:name="_Toc382298162"/>
      <w:r>
        <w:lastRenderedPageBreak/>
        <w:t>Şekil 2.</w:t>
      </w:r>
      <w:r w:rsidR="002F5803">
        <w:t>1</w:t>
      </w:r>
      <w:r>
        <w:t>2</w:t>
      </w:r>
      <w:r w:rsidR="0042239C">
        <w:t xml:space="preserve">: Kyoto Protokolü Çerçevesinde Avrupa Ülkelerinin </w:t>
      </w:r>
      <w:r w:rsidR="008E6995">
        <w:t xml:space="preserve">2000 Baz Yılına Göre </w:t>
      </w:r>
      <w:r w:rsidR="003463A8">
        <w:t>Sera Gazı</w:t>
      </w:r>
      <w:r w:rsidR="0042239C">
        <w:t xml:space="preserve"> Azaltım Hedefleri (2008-2012)</w:t>
      </w:r>
      <w:bookmarkEnd w:id="136"/>
      <w:r w:rsidR="0042239C">
        <w:t xml:space="preserve"> </w:t>
      </w:r>
    </w:p>
    <w:p w:rsidR="00F5493F" w:rsidRDefault="00F5493F" w:rsidP="00B11F2A">
      <w:pPr>
        <w:spacing w:before="120" w:after="120"/>
      </w:pPr>
      <w:r>
        <w:rPr>
          <w:noProof/>
          <w:lang w:eastAsia="tr-TR"/>
        </w:rPr>
        <w:drawing>
          <wp:inline distT="0" distB="0" distL="0" distR="0" wp14:anchorId="62732C2E" wp14:editId="7772C88F">
            <wp:extent cx="5400040" cy="5743575"/>
            <wp:effectExtent l="19050" t="19050" r="10160" b="2857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 ghg copy.jpg"/>
                    <pic:cNvPicPr/>
                  </pic:nvPicPr>
                  <pic:blipFill>
                    <a:blip r:embed="rId41">
                      <a:extLst>
                        <a:ext uri="{28A0092B-C50C-407E-A947-70E740481C1C}">
                          <a14:useLocalDpi xmlns:a14="http://schemas.microsoft.com/office/drawing/2010/main" val="0"/>
                        </a:ext>
                      </a:extLst>
                    </a:blip>
                    <a:stretch>
                      <a:fillRect/>
                    </a:stretch>
                  </pic:blipFill>
                  <pic:spPr>
                    <a:xfrm>
                      <a:off x="0" y="0"/>
                      <a:ext cx="5400040" cy="5743575"/>
                    </a:xfrm>
                    <a:prstGeom prst="rect">
                      <a:avLst/>
                    </a:prstGeom>
                    <a:ln>
                      <a:solidFill>
                        <a:schemeClr val="tx1"/>
                      </a:solidFill>
                    </a:ln>
                  </pic:spPr>
                </pic:pic>
              </a:graphicData>
            </a:graphic>
          </wp:inline>
        </w:drawing>
      </w:r>
    </w:p>
    <w:p w:rsidR="00F5493F" w:rsidRDefault="00F5493F" w:rsidP="00B11F2A">
      <w:pPr>
        <w:spacing w:before="120" w:after="120"/>
        <w:rPr>
          <w:sz w:val="20"/>
          <w:szCs w:val="20"/>
        </w:rPr>
      </w:pPr>
      <w:r w:rsidRPr="00F5493F">
        <w:rPr>
          <w:b/>
          <w:sz w:val="20"/>
          <w:szCs w:val="20"/>
        </w:rPr>
        <w:t>Kaynak:</w:t>
      </w:r>
      <w:r>
        <w:t xml:space="preserve"> </w:t>
      </w:r>
      <w:r w:rsidR="003037B5" w:rsidRPr="003037B5">
        <w:rPr>
          <w:sz w:val="20"/>
          <w:szCs w:val="20"/>
        </w:rPr>
        <w:t>http://www.eea.europa.eu</w:t>
      </w:r>
      <w:r w:rsidR="003037B5">
        <w:rPr>
          <w:sz w:val="20"/>
          <w:szCs w:val="20"/>
        </w:rPr>
        <w:t xml:space="preserve"> (6)</w:t>
      </w:r>
    </w:p>
    <w:p w:rsidR="002B7FE7" w:rsidRDefault="00B96CCF" w:rsidP="00D67F8B">
      <w:pPr>
        <w:autoSpaceDE w:val="0"/>
        <w:autoSpaceDN w:val="0"/>
        <w:adjustRightInd w:val="0"/>
        <w:spacing w:before="240" w:after="240" w:line="360" w:lineRule="auto"/>
        <w:ind w:firstLine="709"/>
        <w:jc w:val="both"/>
        <w:rPr>
          <w:rFonts w:eastAsia="TimesNewRomanPSMT"/>
        </w:rPr>
      </w:pPr>
      <w:r w:rsidRPr="007A6609">
        <w:rPr>
          <w:rFonts w:eastAsia="TimesNewRomanPSMT"/>
        </w:rPr>
        <w:t xml:space="preserve">Kyoto Protokolü (KP) çerçevesinde Avrupa ülkelerinin 2000 baz yılına göre, 2008-2012 dönemi için </w:t>
      </w:r>
      <w:r w:rsidR="003463A8">
        <w:rPr>
          <w:rFonts w:eastAsia="TimesNewRomanPSMT"/>
        </w:rPr>
        <w:t>sera gazı</w:t>
      </w:r>
      <w:r w:rsidR="00D67F8B">
        <w:rPr>
          <w:rFonts w:eastAsia="TimesNewRomanPSMT"/>
        </w:rPr>
        <w:t xml:space="preserve"> azaltım hedefleri Ş</w:t>
      </w:r>
      <w:r w:rsidRPr="007A6609">
        <w:rPr>
          <w:rFonts w:eastAsia="TimesNewRomanPSMT"/>
        </w:rPr>
        <w:t>ekil 2.1</w:t>
      </w:r>
      <w:r w:rsidR="002F5803">
        <w:rPr>
          <w:rFonts w:eastAsia="TimesNewRomanPSMT"/>
        </w:rPr>
        <w:t>2</w:t>
      </w:r>
      <w:r w:rsidRPr="007A6609">
        <w:rPr>
          <w:rFonts w:eastAsia="TimesNewRomanPSMT"/>
        </w:rPr>
        <w:t xml:space="preserve">’de gösterilmektedir. </w:t>
      </w:r>
      <w:bookmarkStart w:id="137" w:name="OLE_LINK81"/>
      <w:bookmarkStart w:id="138" w:name="OLE_LINK80"/>
      <w:r w:rsidRPr="007A6609">
        <w:rPr>
          <w:rFonts w:eastAsia="TimesNewRomanPSMT"/>
        </w:rPr>
        <w:t>KP’ye göre, Ek I Tarafları (OECD, AB ve eski s</w:t>
      </w:r>
      <w:r w:rsidR="00A65F3E" w:rsidRPr="007A6609">
        <w:rPr>
          <w:rFonts w:eastAsia="TimesNewRomanPSMT"/>
        </w:rPr>
        <w:t xml:space="preserve">osyalist doğu Avrupa ülkeleri), </w:t>
      </w:r>
      <w:r w:rsidR="007A6609" w:rsidRPr="007A6609">
        <w:rPr>
          <w:rFonts w:eastAsia="TimesNewRomanPSMT"/>
        </w:rPr>
        <w:t xml:space="preserve"> </w:t>
      </w:r>
      <w:r w:rsidRPr="007A6609">
        <w:rPr>
          <w:rFonts w:eastAsia="TimesNewRomanPSMT"/>
        </w:rPr>
        <w:t>KP’de listelenen sera gazlarını 2008- 2012 döneminde 1990 düzeylerinin en az % 5 altına indirmekle yükümlüdür.</w:t>
      </w:r>
      <w:bookmarkEnd w:id="137"/>
      <w:bookmarkEnd w:id="138"/>
      <w:r w:rsidRPr="007A6609">
        <w:rPr>
          <w:rFonts w:eastAsia="TimesNewRomanPSMT"/>
        </w:rPr>
        <w:t xml:space="preserve"> </w:t>
      </w:r>
      <w:r w:rsidR="00A972A1" w:rsidRPr="007A6609">
        <w:rPr>
          <w:rFonts w:eastAsia="TimesNewRomanPSMT"/>
        </w:rPr>
        <w:t xml:space="preserve">Avusturya gibi bazı ülkeler </w:t>
      </w:r>
      <w:r w:rsidR="003463A8">
        <w:rPr>
          <w:rFonts w:eastAsia="TimesNewRomanPSMT"/>
        </w:rPr>
        <w:t>sera gazı</w:t>
      </w:r>
      <w:r w:rsidR="00A972A1" w:rsidRPr="007A6609">
        <w:rPr>
          <w:rFonts w:eastAsia="TimesNewRomanPSMT"/>
        </w:rPr>
        <w:t xml:space="preserve"> arttırma ayrıcalığı alırken, Rusya Federasyonu, Yeni Zellanda ve Ukrayna </w:t>
      </w:r>
      <w:r w:rsidR="003463A8">
        <w:rPr>
          <w:rFonts w:eastAsia="TimesNewRomanPSMT"/>
        </w:rPr>
        <w:t>sera gazı</w:t>
      </w:r>
      <w:r w:rsidR="00A972A1" w:rsidRPr="007A6609">
        <w:rPr>
          <w:rFonts w:eastAsia="TimesNewRomanPSMT"/>
        </w:rPr>
        <w:t xml:space="preserve"> </w:t>
      </w:r>
      <w:r w:rsidR="003463A8">
        <w:rPr>
          <w:rFonts w:eastAsia="TimesNewRomanPSMT"/>
        </w:rPr>
        <w:t>emisyon</w:t>
      </w:r>
      <w:r w:rsidR="00A972A1" w:rsidRPr="007A6609">
        <w:rPr>
          <w:rFonts w:eastAsia="TimesNewRomanPSMT"/>
        </w:rPr>
        <w:t xml:space="preserve">ları 1990 düzeyine göre bir değişiklik olmayacaktır. </w:t>
      </w:r>
      <w:r w:rsidRPr="007A6609">
        <w:rPr>
          <w:rFonts w:eastAsia="TimesNewRomanPSMT"/>
        </w:rPr>
        <w:t xml:space="preserve">AB, hem birlik olarak hem de üye ülkeler açısından % 8’lik bir azaltma yükümlülüğü almıştır. </w:t>
      </w:r>
      <w:r w:rsidR="003463A8">
        <w:rPr>
          <w:rFonts w:eastAsia="TimesNewRomanPSMT"/>
        </w:rPr>
        <w:t>Sera gazı</w:t>
      </w:r>
      <w:r w:rsidR="00A972A1" w:rsidRPr="007A6609">
        <w:rPr>
          <w:rFonts w:eastAsia="TimesNewRomanPSMT"/>
        </w:rPr>
        <w:t xml:space="preserve"> </w:t>
      </w:r>
      <w:r w:rsidR="00FA52B7">
        <w:rPr>
          <w:rFonts w:eastAsia="TimesNewRomanPSMT"/>
        </w:rPr>
        <w:t>emisyon</w:t>
      </w:r>
      <w:r w:rsidR="00A972A1" w:rsidRPr="007A6609">
        <w:rPr>
          <w:rFonts w:eastAsia="TimesNewRomanPSMT"/>
        </w:rPr>
        <w:t xml:space="preserve"> oranı çok yüksek olan </w:t>
      </w:r>
      <w:r w:rsidRPr="007A6609">
        <w:rPr>
          <w:rFonts w:eastAsia="TimesNewRomanPSMT"/>
        </w:rPr>
        <w:t xml:space="preserve">ABD’nin </w:t>
      </w:r>
      <w:r w:rsidR="00FA52B7">
        <w:rPr>
          <w:rFonts w:eastAsia="TimesNewRomanPSMT"/>
        </w:rPr>
        <w:t>emisyon</w:t>
      </w:r>
      <w:r w:rsidRPr="007A6609">
        <w:rPr>
          <w:rFonts w:eastAsia="TimesNewRomanPSMT"/>
        </w:rPr>
        <w:t xml:space="preserve"> azaltma yükümlülüğü % 7’dir. KP’nin ve Kyoto düzeneklerinin </w:t>
      </w:r>
      <w:r w:rsidRPr="007A6609">
        <w:rPr>
          <w:rFonts w:eastAsia="TimesNewRomanPSMT"/>
        </w:rPr>
        <w:lastRenderedPageBreak/>
        <w:t>uygulanmasına ilişkin yasal kuralların çerçevesi, Temmuz 2001’de kabul edilen Bonn Anla</w:t>
      </w:r>
      <w:r w:rsidR="00CB2FBF" w:rsidRPr="007A6609">
        <w:rPr>
          <w:rFonts w:eastAsia="TimesNewRomanPSMT"/>
        </w:rPr>
        <w:t>şması ile çizil</w:t>
      </w:r>
      <w:r w:rsidR="000B358B">
        <w:rPr>
          <w:rFonts w:eastAsia="TimesNewRomanPSMT"/>
        </w:rPr>
        <w:t>miştir</w:t>
      </w:r>
      <w:r w:rsidR="00CB2FBF" w:rsidRPr="007A6609">
        <w:rPr>
          <w:rFonts w:eastAsia="TimesNewRomanPSMT"/>
        </w:rPr>
        <w:t xml:space="preserve"> (Türkeş, 2006: 7</w:t>
      </w:r>
      <w:r w:rsidRPr="007A6609">
        <w:rPr>
          <w:rFonts w:eastAsia="TimesNewRomanPSMT"/>
        </w:rPr>
        <w:t>). Bonn Anlaşması</w:t>
      </w:r>
      <w:r w:rsidR="00320E56" w:rsidRPr="007A6609">
        <w:rPr>
          <w:rFonts w:eastAsia="TimesNewRomanPSMT"/>
        </w:rPr>
        <w:t>yla</w:t>
      </w:r>
      <w:r w:rsidRPr="007A6609">
        <w:rPr>
          <w:rFonts w:eastAsia="TimesNewRomanPSMT"/>
        </w:rPr>
        <w:t xml:space="preserve">, Kasım 2001’de Fas’ın Marakeş kentinde </w:t>
      </w:r>
      <w:r w:rsidR="00320E56" w:rsidRPr="007A6609">
        <w:rPr>
          <w:rFonts w:eastAsia="TimesNewRomanPSMT"/>
        </w:rPr>
        <w:t>düzenlenen</w:t>
      </w:r>
      <w:r w:rsidRPr="007A6609">
        <w:rPr>
          <w:rFonts w:eastAsia="TimesNewRomanPSMT"/>
        </w:rPr>
        <w:t xml:space="preserve"> İDÇS Taraflar Konferansı’nın 7. toplantısında (TK-7) kabul edilen Marakeş Uzlaşmaları’yl</w:t>
      </w:r>
      <w:r w:rsidR="00F37C42" w:rsidRPr="007A6609">
        <w:rPr>
          <w:rFonts w:eastAsia="TimesNewRomanPSMT"/>
        </w:rPr>
        <w:t>a yasal metinlere dönüştürül</w:t>
      </w:r>
      <w:r w:rsidR="000B358B">
        <w:rPr>
          <w:rFonts w:eastAsia="TimesNewRomanPSMT"/>
        </w:rPr>
        <w:t>müştür</w:t>
      </w:r>
      <w:r w:rsidR="00F37C42" w:rsidRPr="007A6609">
        <w:rPr>
          <w:rFonts w:eastAsia="TimesNewRomanPSMT"/>
        </w:rPr>
        <w:t xml:space="preserve">. </w:t>
      </w:r>
    </w:p>
    <w:p w:rsidR="00D67F8B" w:rsidRDefault="00D67F8B" w:rsidP="00D67F8B">
      <w:pPr>
        <w:autoSpaceDE w:val="0"/>
        <w:autoSpaceDN w:val="0"/>
        <w:adjustRightInd w:val="0"/>
        <w:spacing w:before="240" w:after="240" w:line="360" w:lineRule="auto"/>
        <w:ind w:firstLine="709"/>
        <w:jc w:val="both"/>
        <w:rPr>
          <w:rFonts w:eastAsia="TimesNewRomanPSMT"/>
        </w:rPr>
      </w:pPr>
    </w:p>
    <w:p w:rsidR="00D67F8B" w:rsidRDefault="00D67F8B" w:rsidP="00D67F8B">
      <w:pPr>
        <w:autoSpaceDE w:val="0"/>
        <w:autoSpaceDN w:val="0"/>
        <w:adjustRightInd w:val="0"/>
        <w:spacing w:before="240" w:after="240" w:line="360" w:lineRule="auto"/>
        <w:ind w:firstLine="709"/>
        <w:jc w:val="both"/>
        <w:rPr>
          <w:rFonts w:eastAsia="TimesNewRomanPSMT"/>
        </w:rPr>
      </w:pPr>
    </w:p>
    <w:p w:rsidR="00D67F8B" w:rsidRDefault="00D67F8B" w:rsidP="00D67F8B">
      <w:pPr>
        <w:autoSpaceDE w:val="0"/>
        <w:autoSpaceDN w:val="0"/>
        <w:adjustRightInd w:val="0"/>
        <w:spacing w:before="240" w:after="240" w:line="360" w:lineRule="auto"/>
        <w:ind w:firstLine="709"/>
        <w:jc w:val="both"/>
        <w:rPr>
          <w:rFonts w:eastAsia="TimesNewRomanPSMT"/>
        </w:rPr>
      </w:pPr>
    </w:p>
    <w:p w:rsidR="00D67F8B" w:rsidRDefault="00D67F8B" w:rsidP="00D67F8B">
      <w:pPr>
        <w:autoSpaceDE w:val="0"/>
        <w:autoSpaceDN w:val="0"/>
        <w:adjustRightInd w:val="0"/>
        <w:spacing w:before="240" w:after="240" w:line="360" w:lineRule="auto"/>
        <w:ind w:firstLine="709"/>
        <w:jc w:val="both"/>
        <w:rPr>
          <w:rFonts w:eastAsia="TimesNewRomanPSMT"/>
        </w:rPr>
      </w:pPr>
    </w:p>
    <w:p w:rsidR="00D67F8B" w:rsidRDefault="00D67F8B" w:rsidP="00D67F8B">
      <w:pPr>
        <w:autoSpaceDE w:val="0"/>
        <w:autoSpaceDN w:val="0"/>
        <w:adjustRightInd w:val="0"/>
        <w:spacing w:before="240" w:after="240" w:line="360" w:lineRule="auto"/>
        <w:ind w:firstLine="709"/>
        <w:jc w:val="both"/>
        <w:rPr>
          <w:rFonts w:eastAsia="TimesNewRomanPSMT"/>
        </w:rPr>
      </w:pPr>
    </w:p>
    <w:p w:rsidR="00D67F8B" w:rsidRDefault="00D67F8B" w:rsidP="00D67F8B">
      <w:pPr>
        <w:autoSpaceDE w:val="0"/>
        <w:autoSpaceDN w:val="0"/>
        <w:adjustRightInd w:val="0"/>
        <w:spacing w:before="240" w:after="240" w:line="360" w:lineRule="auto"/>
        <w:ind w:firstLine="709"/>
        <w:jc w:val="both"/>
        <w:rPr>
          <w:rFonts w:eastAsia="TimesNewRomanPSMT"/>
        </w:rPr>
      </w:pPr>
    </w:p>
    <w:p w:rsidR="00D67F8B" w:rsidRDefault="00D67F8B" w:rsidP="00D67F8B">
      <w:pPr>
        <w:autoSpaceDE w:val="0"/>
        <w:autoSpaceDN w:val="0"/>
        <w:adjustRightInd w:val="0"/>
        <w:spacing w:before="240" w:after="240" w:line="360" w:lineRule="auto"/>
        <w:ind w:firstLine="709"/>
        <w:jc w:val="both"/>
        <w:rPr>
          <w:rFonts w:eastAsia="TimesNewRomanPSMT"/>
        </w:rPr>
      </w:pPr>
    </w:p>
    <w:p w:rsidR="00D67F8B" w:rsidRDefault="00D67F8B" w:rsidP="00D67F8B">
      <w:pPr>
        <w:autoSpaceDE w:val="0"/>
        <w:autoSpaceDN w:val="0"/>
        <w:adjustRightInd w:val="0"/>
        <w:spacing w:before="240" w:after="240" w:line="360" w:lineRule="auto"/>
        <w:ind w:firstLine="709"/>
        <w:jc w:val="both"/>
        <w:rPr>
          <w:rFonts w:eastAsia="TimesNewRomanPSMT"/>
        </w:rPr>
      </w:pPr>
    </w:p>
    <w:p w:rsidR="00D67F8B" w:rsidRDefault="00D67F8B" w:rsidP="00D67F8B">
      <w:pPr>
        <w:autoSpaceDE w:val="0"/>
        <w:autoSpaceDN w:val="0"/>
        <w:adjustRightInd w:val="0"/>
        <w:spacing w:before="240" w:after="240" w:line="360" w:lineRule="auto"/>
        <w:ind w:firstLine="709"/>
        <w:jc w:val="both"/>
        <w:rPr>
          <w:rFonts w:eastAsia="TimesNewRomanPSMT"/>
        </w:rPr>
      </w:pPr>
    </w:p>
    <w:p w:rsidR="00D67F8B" w:rsidRDefault="00D67F8B" w:rsidP="00D67F8B">
      <w:pPr>
        <w:autoSpaceDE w:val="0"/>
        <w:autoSpaceDN w:val="0"/>
        <w:adjustRightInd w:val="0"/>
        <w:spacing w:before="240" w:after="240" w:line="360" w:lineRule="auto"/>
        <w:ind w:firstLine="709"/>
        <w:jc w:val="both"/>
        <w:rPr>
          <w:rFonts w:eastAsia="TimesNewRomanPSMT"/>
        </w:rPr>
      </w:pPr>
    </w:p>
    <w:p w:rsidR="00D67F8B" w:rsidRDefault="00D67F8B" w:rsidP="00D67F8B">
      <w:pPr>
        <w:autoSpaceDE w:val="0"/>
        <w:autoSpaceDN w:val="0"/>
        <w:adjustRightInd w:val="0"/>
        <w:spacing w:before="240" w:after="240" w:line="360" w:lineRule="auto"/>
        <w:ind w:firstLine="709"/>
        <w:jc w:val="both"/>
        <w:rPr>
          <w:rFonts w:eastAsia="TimesNewRomanPSMT"/>
        </w:rPr>
      </w:pPr>
    </w:p>
    <w:p w:rsidR="00D67F8B" w:rsidRDefault="00D67F8B" w:rsidP="00D67F8B">
      <w:pPr>
        <w:autoSpaceDE w:val="0"/>
        <w:autoSpaceDN w:val="0"/>
        <w:adjustRightInd w:val="0"/>
        <w:spacing w:before="240" w:after="240" w:line="360" w:lineRule="auto"/>
        <w:ind w:firstLine="709"/>
        <w:jc w:val="both"/>
        <w:rPr>
          <w:rFonts w:eastAsia="TimesNewRomanPSMT"/>
        </w:rPr>
      </w:pPr>
    </w:p>
    <w:p w:rsidR="00D67F8B" w:rsidRDefault="00D67F8B" w:rsidP="00D67F8B">
      <w:pPr>
        <w:autoSpaceDE w:val="0"/>
        <w:autoSpaceDN w:val="0"/>
        <w:adjustRightInd w:val="0"/>
        <w:spacing w:before="240" w:after="240" w:line="360" w:lineRule="auto"/>
        <w:ind w:firstLine="709"/>
        <w:jc w:val="both"/>
        <w:rPr>
          <w:rFonts w:eastAsia="TimesNewRomanPSMT"/>
        </w:rPr>
      </w:pPr>
    </w:p>
    <w:p w:rsidR="00D67F8B" w:rsidRDefault="00D67F8B" w:rsidP="00D67F8B">
      <w:pPr>
        <w:autoSpaceDE w:val="0"/>
        <w:autoSpaceDN w:val="0"/>
        <w:adjustRightInd w:val="0"/>
        <w:spacing w:before="240" w:after="240" w:line="360" w:lineRule="auto"/>
        <w:ind w:firstLine="709"/>
        <w:jc w:val="both"/>
        <w:rPr>
          <w:rFonts w:eastAsia="TimesNewRomanPSMT"/>
        </w:rPr>
      </w:pPr>
    </w:p>
    <w:p w:rsidR="00D67F8B" w:rsidRDefault="00D67F8B" w:rsidP="00D67F8B">
      <w:pPr>
        <w:autoSpaceDE w:val="0"/>
        <w:autoSpaceDN w:val="0"/>
        <w:adjustRightInd w:val="0"/>
        <w:spacing w:before="240" w:after="240" w:line="360" w:lineRule="auto"/>
        <w:ind w:firstLine="709"/>
        <w:jc w:val="both"/>
        <w:rPr>
          <w:rFonts w:eastAsia="TimesNewRomanPSMT"/>
        </w:rPr>
      </w:pPr>
    </w:p>
    <w:p w:rsidR="00D67F8B" w:rsidRDefault="00D67F8B" w:rsidP="00D67F8B">
      <w:pPr>
        <w:autoSpaceDE w:val="0"/>
        <w:autoSpaceDN w:val="0"/>
        <w:adjustRightInd w:val="0"/>
        <w:spacing w:before="240" w:after="240" w:line="360" w:lineRule="auto"/>
        <w:ind w:firstLine="709"/>
        <w:jc w:val="both"/>
        <w:rPr>
          <w:rFonts w:eastAsia="TimesNewRomanPSMT"/>
        </w:rPr>
      </w:pPr>
    </w:p>
    <w:p w:rsidR="00D67F8B" w:rsidRDefault="00D67F8B" w:rsidP="00D67F8B">
      <w:pPr>
        <w:autoSpaceDE w:val="0"/>
        <w:autoSpaceDN w:val="0"/>
        <w:adjustRightInd w:val="0"/>
        <w:spacing w:before="240" w:after="240" w:line="360" w:lineRule="auto"/>
        <w:ind w:firstLine="709"/>
        <w:jc w:val="both"/>
        <w:rPr>
          <w:rFonts w:eastAsia="TimesNewRomanPSMT"/>
        </w:rPr>
      </w:pPr>
    </w:p>
    <w:p w:rsidR="00256AB0" w:rsidRDefault="00256AB0" w:rsidP="00D67F8B">
      <w:pPr>
        <w:autoSpaceDE w:val="0"/>
        <w:autoSpaceDN w:val="0"/>
        <w:adjustRightInd w:val="0"/>
        <w:spacing w:before="240" w:after="240" w:line="360" w:lineRule="auto"/>
        <w:ind w:firstLine="709"/>
        <w:jc w:val="both"/>
        <w:rPr>
          <w:rFonts w:eastAsia="TimesNewRomanPSMT"/>
        </w:rPr>
      </w:pPr>
    </w:p>
    <w:p w:rsidR="00D31A8D" w:rsidRDefault="00A977E9" w:rsidP="00B11F2A">
      <w:pPr>
        <w:pStyle w:val="stil1"/>
        <w:spacing w:before="120" w:after="120"/>
      </w:pPr>
      <w:bookmarkStart w:id="139" w:name="_Toc382298163"/>
      <w:r>
        <w:lastRenderedPageBreak/>
        <w:t>Şekil 2.</w:t>
      </w:r>
      <w:r w:rsidR="002F5803">
        <w:t>1</w:t>
      </w:r>
      <w:r>
        <w:t>3</w:t>
      </w:r>
      <w:r w:rsidR="00D31A8D" w:rsidRPr="00D31A8D">
        <w:t xml:space="preserve">: Kyoto Protokolü Çerçevesinde Avrupa Ülkelerinin </w:t>
      </w:r>
      <w:r w:rsidR="00F37C42">
        <w:t xml:space="preserve">2000 Baz Yılına Göre </w:t>
      </w:r>
      <w:r w:rsidR="003463A8">
        <w:t>Sera Gazı</w:t>
      </w:r>
      <w:r w:rsidR="00F37C42">
        <w:t xml:space="preserve"> Azaltı</w:t>
      </w:r>
      <w:r w:rsidR="00BD769F">
        <w:t>m</w:t>
      </w:r>
      <w:r w:rsidR="00F37C42">
        <w:t xml:space="preserve"> </w:t>
      </w:r>
      <w:r w:rsidR="00D31A8D" w:rsidRPr="00D31A8D">
        <w:t>Hedefleri (</w:t>
      </w:r>
      <w:r w:rsidR="00607B2E">
        <w:t>2020</w:t>
      </w:r>
      <w:r w:rsidR="00D31A8D" w:rsidRPr="00D31A8D">
        <w:t>)</w:t>
      </w:r>
      <w:bookmarkEnd w:id="139"/>
    </w:p>
    <w:p w:rsidR="00F5493F" w:rsidRDefault="00BD769F" w:rsidP="00B11F2A">
      <w:pPr>
        <w:spacing w:before="120" w:after="120"/>
        <w:rPr>
          <w:sz w:val="20"/>
          <w:szCs w:val="20"/>
        </w:rPr>
      </w:pPr>
      <w:r w:rsidRPr="003657D3">
        <w:rPr>
          <w:b/>
          <w:noProof/>
          <w:sz w:val="20"/>
          <w:szCs w:val="20"/>
          <w:lang w:eastAsia="tr-TR"/>
        </w:rPr>
        <w:drawing>
          <wp:anchor distT="0" distB="0" distL="114300" distR="114300" simplePos="0" relativeHeight="251670016" behindDoc="1" locked="0" layoutInCell="1" allowOverlap="1" wp14:anchorId="09850CB7" wp14:editId="50457836">
            <wp:simplePos x="0" y="0"/>
            <wp:positionH relativeFrom="column">
              <wp:posOffset>-25400</wp:posOffset>
            </wp:positionH>
            <wp:positionV relativeFrom="paragraph">
              <wp:posOffset>146685</wp:posOffset>
            </wp:positionV>
            <wp:extent cx="5400040" cy="6736080"/>
            <wp:effectExtent l="0" t="0" r="10160" b="26670"/>
            <wp:wrapTopAndBottom/>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2B7FE7" w:rsidRPr="003657D3">
        <w:rPr>
          <w:b/>
          <w:sz w:val="20"/>
          <w:szCs w:val="20"/>
        </w:rPr>
        <w:t>Kaynak:</w:t>
      </w:r>
      <w:r w:rsidR="002B7FE7" w:rsidRPr="003657D3">
        <w:rPr>
          <w:sz w:val="20"/>
          <w:szCs w:val="20"/>
        </w:rPr>
        <w:t xml:space="preserve"> </w:t>
      </w:r>
      <w:r w:rsidR="003F4215" w:rsidRPr="003F4215">
        <w:rPr>
          <w:sz w:val="20"/>
          <w:szCs w:val="20"/>
        </w:rPr>
        <w:t>http://www.eea.europa.eu</w:t>
      </w:r>
      <w:r w:rsidR="003F4215">
        <w:rPr>
          <w:sz w:val="20"/>
          <w:szCs w:val="20"/>
        </w:rPr>
        <w:t xml:space="preserve"> (11)</w:t>
      </w:r>
    </w:p>
    <w:p w:rsidR="00BD769F" w:rsidRPr="00D67F8B" w:rsidRDefault="00BD769F" w:rsidP="00D67F8B">
      <w:pPr>
        <w:autoSpaceDE w:val="0"/>
        <w:autoSpaceDN w:val="0"/>
        <w:adjustRightInd w:val="0"/>
        <w:spacing w:before="240" w:after="240" w:line="360" w:lineRule="auto"/>
        <w:ind w:firstLine="709"/>
        <w:jc w:val="both"/>
        <w:rPr>
          <w:rFonts w:eastAsia="TimesNewRomanPSMT"/>
        </w:rPr>
      </w:pPr>
      <w:r w:rsidRPr="00D67F8B">
        <w:rPr>
          <w:rFonts w:eastAsia="TimesNewRomanPSMT"/>
        </w:rPr>
        <w:t xml:space="preserve">KP çerçevesinde Avrupa ülkelerinin 2000 baz yılına göre, 2020 yılı </w:t>
      </w:r>
      <w:r w:rsidR="003463A8" w:rsidRPr="00D67F8B">
        <w:rPr>
          <w:rFonts w:eastAsia="TimesNewRomanPSMT"/>
        </w:rPr>
        <w:t>sera gazı</w:t>
      </w:r>
      <w:r w:rsidRPr="00D67F8B">
        <w:rPr>
          <w:rFonts w:eastAsia="TimesNewRomanPSMT"/>
        </w:rPr>
        <w:t xml:space="preserve"> azaltım hedefleri </w:t>
      </w:r>
      <w:r w:rsidR="002F5803" w:rsidRPr="00D67F8B">
        <w:rPr>
          <w:rFonts w:eastAsia="TimesNewRomanPSMT"/>
        </w:rPr>
        <w:t>şekil 2.13</w:t>
      </w:r>
      <w:r w:rsidRPr="00D67F8B">
        <w:rPr>
          <w:rFonts w:eastAsia="TimesNewRomanPSMT"/>
        </w:rPr>
        <w:t xml:space="preserve">’de gösterilmektedir. </w:t>
      </w:r>
    </w:p>
    <w:p w:rsidR="006D3042" w:rsidRPr="00D67F8B" w:rsidRDefault="006D3042" w:rsidP="00D67F8B">
      <w:pPr>
        <w:pStyle w:val="ListeParagraf"/>
        <w:spacing w:before="240" w:after="240" w:line="360" w:lineRule="auto"/>
        <w:ind w:left="0"/>
        <w:jc w:val="both"/>
        <w:rPr>
          <w:bCs/>
        </w:rPr>
      </w:pPr>
      <w:r w:rsidRPr="00D67F8B">
        <w:rPr>
          <w:b/>
          <w:bCs/>
        </w:rPr>
        <w:tab/>
      </w:r>
      <w:r w:rsidRPr="00D67F8B">
        <w:rPr>
          <w:bCs/>
        </w:rPr>
        <w:t>Duru (2008) makalesinde Kyoto Protokolü’nü eleştirmektedir. Gelişmekte olan ülkelerin yutak alanlarını gelişti</w:t>
      </w:r>
      <w:r w:rsidR="00F37C42" w:rsidRPr="00D67F8B">
        <w:rPr>
          <w:bCs/>
        </w:rPr>
        <w:t>ril</w:t>
      </w:r>
      <w:r w:rsidRPr="00D67F8B">
        <w:rPr>
          <w:bCs/>
        </w:rPr>
        <w:t xml:space="preserve">mesi yoluyla kazandıkları kredilerin dünya karbon </w:t>
      </w:r>
      <w:r w:rsidRPr="00D67F8B">
        <w:rPr>
          <w:bCs/>
        </w:rPr>
        <w:lastRenderedPageBreak/>
        <w:t xml:space="preserve">ticareti piyasasına konu olması, gelişmekte olan ülkelerin ihtiyaçlarına göre değil, gelişmiş ülkelerin taleplerine göre kaynak tahsisi yapmalarına sebep olacaktır (Duru, 2008: </w:t>
      </w:r>
      <w:r w:rsidR="00137530" w:rsidRPr="00D67F8B">
        <w:rPr>
          <w:bCs/>
        </w:rPr>
        <w:t>211)</w:t>
      </w:r>
      <w:r w:rsidRPr="00D67F8B">
        <w:rPr>
          <w:bCs/>
        </w:rPr>
        <w:t>.</w:t>
      </w:r>
    </w:p>
    <w:p w:rsidR="003A1A5B" w:rsidRPr="003A1A5B" w:rsidRDefault="003A1A5B" w:rsidP="003A1A5B">
      <w:pPr>
        <w:pStyle w:val="ListeParagraf"/>
        <w:spacing w:before="240" w:after="240" w:line="360" w:lineRule="auto"/>
        <w:ind w:left="0" w:firstLine="708"/>
        <w:jc w:val="both"/>
      </w:pPr>
      <w:r>
        <w:t xml:space="preserve">Kyoto Protokolünce tanımlanan ve emisyon indirimlerinin en ekonomik şekilde gerçekleşmesine katkıda bulunan esnek mekanizmalar (Temiz Kalkınma Mekanizması, Ortak Yürütme ve Emisyon Ticareti), ETS’nin temelini oluşturmaktadır. Bu mekanizmaların üzerine kurulu ETS, dünyanın ilk ve en büyük emisyon ticareti programıdır (Pamukçu, 2007: 19). Bu mevcut program, başta Avrupa olmak üzere tüm dünyadaki </w:t>
      </w:r>
      <w:r w:rsidR="003463A8">
        <w:t>sera gazı</w:t>
      </w:r>
      <w:r>
        <w:t xml:space="preserve"> emisyonlarını bir piyasa mekanizması olarak kontrol edilmesine olanak tanımaktadır.</w:t>
      </w:r>
    </w:p>
    <w:p w:rsidR="00091279" w:rsidRPr="003C23E3" w:rsidRDefault="000A69DA" w:rsidP="00126FA4">
      <w:pPr>
        <w:pStyle w:val="Balk4"/>
      </w:pPr>
      <w:bookmarkStart w:id="140" w:name="_Toc384824003"/>
      <w:r>
        <w:t xml:space="preserve">2.2.1.1. </w:t>
      </w:r>
      <w:r w:rsidR="003C23E3">
        <w:t>Proje Temelli Esneklik Mekanizmaları</w:t>
      </w:r>
      <w:bookmarkEnd w:id="140"/>
    </w:p>
    <w:p w:rsidR="00FF5611" w:rsidRPr="00957B82" w:rsidRDefault="00D67F8B" w:rsidP="00D67F8B">
      <w:pPr>
        <w:tabs>
          <w:tab w:val="left" w:pos="0"/>
        </w:tabs>
        <w:spacing w:before="240" w:after="240" w:line="360" w:lineRule="auto"/>
        <w:jc w:val="both"/>
        <w:rPr>
          <w:bCs/>
        </w:rPr>
      </w:pPr>
      <w:r>
        <w:rPr>
          <w:bCs/>
        </w:rPr>
        <w:tab/>
      </w:r>
      <w:r w:rsidR="00957B82" w:rsidRPr="00957B82">
        <w:rPr>
          <w:bCs/>
        </w:rPr>
        <w:t xml:space="preserve">İnsan faaliyetlerinden kaynaklanan sera gazlarının emisyon indirimlerinin en az maliyetle gerçekleştirilebilmesi için KP esneklik mekanizmalarından Temiz Kalkınma Mekanizması ve Ortak Yürütme </w:t>
      </w:r>
      <w:r w:rsidR="00957B82">
        <w:rPr>
          <w:bCs/>
        </w:rPr>
        <w:t xml:space="preserve">projeleri geliştirilmiştir. </w:t>
      </w:r>
      <w:r w:rsidR="003463A8">
        <w:rPr>
          <w:bCs/>
        </w:rPr>
        <w:t>Sera gazı</w:t>
      </w:r>
      <w:r w:rsidR="00957B82">
        <w:rPr>
          <w:bCs/>
        </w:rPr>
        <w:t xml:space="preserve"> emisyonları birim azaltım maliyeti yönünden ülkelere göre farklılık göstermektedir. Maliyetin düşük olduğu ülkelerde indirime gidilmesi daha ekonomik olmaktadır. </w:t>
      </w:r>
    </w:p>
    <w:p w:rsidR="008E7F22" w:rsidRPr="000A69DA" w:rsidRDefault="000A69DA" w:rsidP="003A1A5B">
      <w:pPr>
        <w:pStyle w:val="Balk5"/>
        <w:spacing w:after="240" w:line="360" w:lineRule="auto"/>
      </w:pPr>
      <w:bookmarkStart w:id="141" w:name="_Toc384824004"/>
      <w:r>
        <w:t xml:space="preserve">2.2.1.1.1. </w:t>
      </w:r>
      <w:r w:rsidR="008E7F22" w:rsidRPr="000A69DA">
        <w:t>Temiz Kalkınma Mekanizması</w:t>
      </w:r>
      <w:bookmarkEnd w:id="141"/>
    </w:p>
    <w:p w:rsidR="00FF5611" w:rsidRDefault="00D67F8B" w:rsidP="00D67F8B">
      <w:pPr>
        <w:pStyle w:val="ListeParagraf"/>
        <w:tabs>
          <w:tab w:val="left" w:pos="0"/>
        </w:tabs>
        <w:spacing w:before="120" w:after="120" w:line="360" w:lineRule="auto"/>
        <w:ind w:left="0"/>
        <w:jc w:val="both"/>
        <w:rPr>
          <w:bCs/>
        </w:rPr>
      </w:pPr>
      <w:r>
        <w:rPr>
          <w:bCs/>
        </w:rPr>
        <w:tab/>
      </w:r>
      <w:r w:rsidR="00E00DF2">
        <w:rPr>
          <w:bCs/>
        </w:rPr>
        <w:t xml:space="preserve">Proje temelli </w:t>
      </w:r>
      <w:r w:rsidR="003A1A5B" w:rsidRPr="003A1A5B">
        <w:rPr>
          <w:bCs/>
        </w:rPr>
        <w:t xml:space="preserve">Kyoto Protokolü Esneklik Mekanizmalarından </w:t>
      </w:r>
      <w:r w:rsidR="00E00DF2">
        <w:rPr>
          <w:bCs/>
        </w:rPr>
        <w:t>birincisi olan</w:t>
      </w:r>
      <w:r w:rsidR="003A1A5B" w:rsidRPr="003A1A5B">
        <w:rPr>
          <w:bCs/>
        </w:rPr>
        <w:t xml:space="preserve"> Temiz Kalkınma </w:t>
      </w:r>
      <w:r w:rsidR="003A1A5B">
        <w:rPr>
          <w:bCs/>
        </w:rPr>
        <w:t xml:space="preserve">Mekanizması </w:t>
      </w:r>
      <w:r w:rsidR="00CB7E39" w:rsidRPr="00B918FF">
        <w:rPr>
          <w:bCs/>
          <w:i/>
        </w:rPr>
        <w:t>(Clean Development Mechan</w:t>
      </w:r>
      <w:r w:rsidR="003A1A5B" w:rsidRPr="00B918FF">
        <w:rPr>
          <w:bCs/>
          <w:i/>
        </w:rPr>
        <w:t>ism – CDM)</w:t>
      </w:r>
      <w:r w:rsidR="003A1A5B">
        <w:rPr>
          <w:bCs/>
        </w:rPr>
        <w:t xml:space="preserve"> UNFCCC tarafından belirtilen Ek-1 ülkelerinin, kendileri dışında kalan ülkelerde yapacakları doğrudan yatırımlarda çevre dostu tekn</w:t>
      </w:r>
      <w:r w:rsidR="00CB7E39">
        <w:rPr>
          <w:bCs/>
        </w:rPr>
        <w:t>olojiyi transfer etmelerini öngö</w:t>
      </w:r>
      <w:r w:rsidR="003A1A5B">
        <w:rPr>
          <w:bCs/>
        </w:rPr>
        <w:t xml:space="preserve">ren ve </w:t>
      </w:r>
      <w:r w:rsidR="003463A8">
        <w:rPr>
          <w:bCs/>
        </w:rPr>
        <w:t>sera gazı</w:t>
      </w:r>
      <w:r w:rsidR="003A1A5B">
        <w:rPr>
          <w:bCs/>
        </w:rPr>
        <w:t xml:space="preserve"> emisyonlarını ölçülebilir düzeyde azaltım sağlamalarını öngörmektedir</w:t>
      </w:r>
      <w:r w:rsidR="00670F3F">
        <w:rPr>
          <w:bCs/>
        </w:rPr>
        <w:t xml:space="preserve"> (Engin, 2010: 76)</w:t>
      </w:r>
      <w:r w:rsidR="003A1A5B">
        <w:rPr>
          <w:bCs/>
        </w:rPr>
        <w:t>.</w:t>
      </w:r>
      <w:r w:rsidR="00B15BD5">
        <w:rPr>
          <w:bCs/>
        </w:rPr>
        <w:t xml:space="preserve"> </w:t>
      </w:r>
      <w:r w:rsidR="00B815C2">
        <w:rPr>
          <w:bCs/>
        </w:rPr>
        <w:t>KP’nde 12. Maddede düzenlenen “Temiz Kalkınma Mekaniz</w:t>
      </w:r>
      <w:r w:rsidR="00DC6F09">
        <w:rPr>
          <w:bCs/>
        </w:rPr>
        <w:t>ma</w:t>
      </w:r>
      <w:r w:rsidR="00B815C2">
        <w:rPr>
          <w:bCs/>
        </w:rPr>
        <w:t xml:space="preserve">sı”dır. </w:t>
      </w:r>
    </w:p>
    <w:p w:rsidR="00E00DF2" w:rsidRDefault="00B15BD5" w:rsidP="00401FAE">
      <w:pPr>
        <w:pStyle w:val="ListeParagraf"/>
        <w:tabs>
          <w:tab w:val="left" w:pos="284"/>
          <w:tab w:val="left" w:pos="426"/>
          <w:tab w:val="left" w:pos="1843"/>
        </w:tabs>
        <w:spacing w:before="120" w:after="120" w:line="360" w:lineRule="auto"/>
        <w:ind w:left="0"/>
        <w:jc w:val="both"/>
        <w:rPr>
          <w:bCs/>
        </w:rPr>
      </w:pPr>
      <w:r>
        <w:rPr>
          <w:bCs/>
        </w:rPr>
        <w:tab/>
      </w:r>
      <w:r>
        <w:rPr>
          <w:bCs/>
        </w:rPr>
        <w:tab/>
      </w:r>
      <w:proofErr w:type="gramStart"/>
      <w:r>
        <w:rPr>
          <w:bCs/>
        </w:rPr>
        <w:t>Temiz Kalınma Mekanizması, Ek-1 ülkelerinin Ek-1 dışı ülkeler</w:t>
      </w:r>
      <w:r w:rsidR="008A2F53">
        <w:rPr>
          <w:bCs/>
        </w:rPr>
        <w:t xml:space="preserve">              </w:t>
      </w:r>
      <w:r>
        <w:rPr>
          <w:bCs/>
        </w:rPr>
        <w:t xml:space="preserve">e gelişmiş teknoloji transfer etmesine olanak tanıyarak, böylece </w:t>
      </w:r>
      <w:r w:rsidR="003463A8">
        <w:rPr>
          <w:bCs/>
        </w:rPr>
        <w:t>sera gazı</w:t>
      </w:r>
      <w:r>
        <w:rPr>
          <w:bCs/>
        </w:rPr>
        <w:t xml:space="preserve"> emisyonlarını gerçek, ölçülebilir, proje faaliyeti sonucu</w:t>
      </w:r>
      <w:r w:rsidR="004A2768">
        <w:rPr>
          <w:bCs/>
        </w:rPr>
        <w:t xml:space="preserve"> oluşan azaltım sağlamalarını gerekli kılmakta ve kazandıkları Sertifikalanmış Emisyon Azaltım Kredilerini </w:t>
      </w:r>
      <w:r w:rsidR="004A2768" w:rsidRPr="000B358B">
        <w:rPr>
          <w:bCs/>
          <w:i/>
        </w:rPr>
        <w:t>(Certification Emissions Reduction – CER),</w:t>
      </w:r>
      <w:r w:rsidR="004A2768">
        <w:rPr>
          <w:bCs/>
        </w:rPr>
        <w:t xml:space="preserve"> kendi azaltım yükümlülükleri kapsamında değerlendirerek, ülke içinde bu miktara kadar daha fazla </w:t>
      </w:r>
      <w:r w:rsidR="00FA52B7">
        <w:rPr>
          <w:bCs/>
        </w:rPr>
        <w:t>emisyon</w:t>
      </w:r>
      <w:r w:rsidR="004A2768">
        <w:rPr>
          <w:bCs/>
        </w:rPr>
        <w:t xml:space="preserve"> hakkı kazanmalarını sağlamaktadır</w:t>
      </w:r>
      <w:r w:rsidR="00401FAE">
        <w:rPr>
          <w:bCs/>
        </w:rPr>
        <w:t xml:space="preserve"> (ÇOB, 2008:</w:t>
      </w:r>
      <w:r w:rsidR="008C4FE0">
        <w:rPr>
          <w:bCs/>
        </w:rPr>
        <w:t xml:space="preserve"> </w:t>
      </w:r>
      <w:r w:rsidR="00401FAE">
        <w:rPr>
          <w:bCs/>
        </w:rPr>
        <w:t>16)</w:t>
      </w:r>
      <w:r w:rsidR="004A2768">
        <w:rPr>
          <w:bCs/>
        </w:rPr>
        <w:t>.</w:t>
      </w:r>
      <w:proofErr w:type="gramEnd"/>
    </w:p>
    <w:p w:rsidR="00B815C2" w:rsidRDefault="00B815C2" w:rsidP="00401FAE">
      <w:pPr>
        <w:pStyle w:val="ListeParagraf"/>
        <w:tabs>
          <w:tab w:val="left" w:pos="284"/>
          <w:tab w:val="left" w:pos="426"/>
          <w:tab w:val="left" w:pos="1843"/>
        </w:tabs>
        <w:spacing w:before="120" w:after="120" w:line="360" w:lineRule="auto"/>
        <w:ind w:left="0"/>
        <w:jc w:val="both"/>
        <w:rPr>
          <w:bCs/>
        </w:rPr>
      </w:pPr>
      <w:r>
        <w:rPr>
          <w:bCs/>
        </w:rPr>
        <w:lastRenderedPageBreak/>
        <w:tab/>
      </w:r>
      <w:r>
        <w:rPr>
          <w:bCs/>
        </w:rPr>
        <w:tab/>
        <w:t xml:space="preserve">Bir ülke, emisyon hedefi belirlemiş az gelişmiş bir ülke ile işbirliğine girerek, o ülkede </w:t>
      </w:r>
      <w:r w:rsidR="003463A8">
        <w:rPr>
          <w:bCs/>
        </w:rPr>
        <w:t>sera gazı</w:t>
      </w:r>
      <w:r>
        <w:rPr>
          <w:bCs/>
        </w:rPr>
        <w:t xml:space="preserve"> emisyonlarını azaltmaya yönelik proje yaparsa, “Sertifikalandırılmış Emisyon Azaltma Kredisi (Certified Emission</w:t>
      </w:r>
      <w:r w:rsidR="002C174D">
        <w:rPr>
          <w:bCs/>
        </w:rPr>
        <w:t>s</w:t>
      </w:r>
      <w:r>
        <w:rPr>
          <w:bCs/>
        </w:rPr>
        <w:t xml:space="preserve"> Reduction</w:t>
      </w:r>
      <w:r w:rsidR="002C174D">
        <w:rPr>
          <w:bCs/>
        </w:rPr>
        <w:t xml:space="preserve"> Credits-CER</w:t>
      </w:r>
      <w:r>
        <w:rPr>
          <w:bCs/>
        </w:rPr>
        <w:t>)” kazanır ve toplam hedefinden düşer (Karakaya ve Özçağ, 2003: 5).</w:t>
      </w:r>
    </w:p>
    <w:p w:rsidR="002C174D" w:rsidRPr="00401FAE" w:rsidRDefault="002C174D" w:rsidP="00401FAE">
      <w:pPr>
        <w:pStyle w:val="ListeParagraf"/>
        <w:tabs>
          <w:tab w:val="left" w:pos="284"/>
          <w:tab w:val="left" w:pos="426"/>
          <w:tab w:val="left" w:pos="1843"/>
        </w:tabs>
        <w:spacing w:before="120" w:after="120" w:line="360" w:lineRule="auto"/>
        <w:ind w:left="0"/>
        <w:jc w:val="both"/>
        <w:rPr>
          <w:bCs/>
        </w:rPr>
      </w:pPr>
      <w:r>
        <w:rPr>
          <w:bCs/>
        </w:rPr>
        <w:tab/>
      </w:r>
      <w:r>
        <w:rPr>
          <w:bCs/>
        </w:rPr>
        <w:tab/>
        <w:t>2012 yılında 78 ülkede 4.601 kayıtlı CDM projesinin bulunduğu ve 2012 Eylül ayına kadar yaklaşık 3.275 projeden 1 milyardan fazla sertifikalanmış emisyon azaltım birimi (CER) kaza</w:t>
      </w:r>
      <w:r w:rsidR="007701FD">
        <w:rPr>
          <w:bCs/>
        </w:rPr>
        <w:t>nılmıştır (UNFCCC, 2012: 7).</w:t>
      </w:r>
    </w:p>
    <w:p w:rsidR="008E7F22" w:rsidRPr="000A69DA" w:rsidRDefault="000A69DA" w:rsidP="00376C0F">
      <w:pPr>
        <w:pStyle w:val="Balk5"/>
      </w:pPr>
      <w:bookmarkStart w:id="142" w:name="_Toc384824005"/>
      <w:r>
        <w:t xml:space="preserve">2.2.1.1.2. </w:t>
      </w:r>
      <w:r w:rsidR="008E7F22" w:rsidRPr="000A69DA">
        <w:t>Ortak Yürütme Mekanizması</w:t>
      </w:r>
      <w:bookmarkEnd w:id="142"/>
    </w:p>
    <w:p w:rsidR="00FF5611" w:rsidRDefault="00B918FF" w:rsidP="008A2F53">
      <w:pPr>
        <w:pStyle w:val="ListeParagraf"/>
        <w:tabs>
          <w:tab w:val="left" w:pos="0"/>
        </w:tabs>
        <w:spacing w:before="240" w:after="240" w:line="360" w:lineRule="auto"/>
        <w:ind w:left="0"/>
        <w:jc w:val="both"/>
        <w:rPr>
          <w:bCs/>
        </w:rPr>
      </w:pPr>
      <w:r>
        <w:rPr>
          <w:bCs/>
        </w:rPr>
        <w:t xml:space="preserve">Proje temelli </w:t>
      </w:r>
      <w:r w:rsidRPr="003A1A5B">
        <w:rPr>
          <w:bCs/>
        </w:rPr>
        <w:t xml:space="preserve">Kyoto Protokolü Esneklik Mekanizmalarından </w:t>
      </w:r>
      <w:r>
        <w:rPr>
          <w:bCs/>
        </w:rPr>
        <w:t xml:space="preserve">ikincisi Ortak Yürütme </w:t>
      </w:r>
      <w:r w:rsidRPr="00B918FF">
        <w:rPr>
          <w:bCs/>
          <w:i/>
        </w:rPr>
        <w:t>(Joint Implementation – JI)</w:t>
      </w:r>
      <w:r>
        <w:rPr>
          <w:bCs/>
          <w:i/>
        </w:rPr>
        <w:t xml:space="preserve"> </w:t>
      </w:r>
      <w:r>
        <w:rPr>
          <w:bCs/>
        </w:rPr>
        <w:t>olarak adlandırılmıştır. Ortak Yürütme, Ek-1 ülkelerinin başka bir Ek-1 ülkesinde gerçekleştirdiği ve emisyon azaltımına neden olan ortak projeler</w:t>
      </w:r>
      <w:r w:rsidR="008A2F53">
        <w:rPr>
          <w:bCs/>
        </w:rPr>
        <w:t>i ifade etmektedir</w:t>
      </w:r>
      <w:r>
        <w:rPr>
          <w:bCs/>
        </w:rPr>
        <w:t xml:space="preserve">. </w:t>
      </w:r>
      <w:r w:rsidR="00B815C2">
        <w:rPr>
          <w:bCs/>
        </w:rPr>
        <w:t>KP’ünde 6. Madd</w:t>
      </w:r>
      <w:r w:rsidR="008A2F53">
        <w:rPr>
          <w:bCs/>
        </w:rPr>
        <w:t xml:space="preserve">esi “Ortak </w:t>
      </w:r>
      <w:r w:rsidR="008A2F53">
        <w:rPr>
          <w:bCs/>
        </w:rPr>
        <w:tab/>
        <w:t>Yürütme” ekanizmasını düzenlemektedir.</w:t>
      </w:r>
    </w:p>
    <w:p w:rsidR="00E941E2" w:rsidRDefault="00136830" w:rsidP="00136830">
      <w:pPr>
        <w:pStyle w:val="ListeParagraf"/>
        <w:tabs>
          <w:tab w:val="left" w:pos="0"/>
        </w:tabs>
        <w:spacing w:before="240" w:after="240" w:line="360" w:lineRule="auto"/>
        <w:ind w:left="0"/>
        <w:jc w:val="both"/>
        <w:rPr>
          <w:bCs/>
        </w:rPr>
      </w:pPr>
      <w:r>
        <w:rPr>
          <w:bCs/>
        </w:rPr>
        <w:tab/>
      </w:r>
      <w:r w:rsidR="00E941E2">
        <w:rPr>
          <w:bCs/>
        </w:rPr>
        <w:t xml:space="preserve">JI mekanizması Ek-1 listesinde yer alan emisyonların azaltılması veya yutaklar yoluyla </w:t>
      </w:r>
      <w:r w:rsidR="003463A8">
        <w:rPr>
          <w:bCs/>
        </w:rPr>
        <w:t>sera gazı</w:t>
      </w:r>
      <w:r w:rsidR="00E941E2">
        <w:rPr>
          <w:bCs/>
        </w:rPr>
        <w:t xml:space="preserve"> emisyonlarının azaltılmasına olanak tanımaktadır. JI mekanizmasıyla gerçekleştirilen projelerle azaltılan emisyon miktarı “Emisyon Azaltma Birimi” (Emission Reduction Unit-ERU) olarak adlandırılarak hesaplanmaktadır. Bu projeden yararlanan taraf ülkeler ERU kazanmakta ve kazanılan bu ERU’lar toplam </w:t>
      </w:r>
      <w:r w:rsidR="00934ED1">
        <w:rPr>
          <w:bCs/>
        </w:rPr>
        <w:t>hesaptan düşülmektedir (Narin, 2013: 7).</w:t>
      </w:r>
    </w:p>
    <w:p w:rsidR="00840DB1" w:rsidRPr="00B918FF" w:rsidRDefault="00840DB1" w:rsidP="00840DB1">
      <w:pPr>
        <w:pStyle w:val="ListeParagraf"/>
        <w:tabs>
          <w:tab w:val="left" w:pos="0"/>
        </w:tabs>
        <w:spacing w:before="240" w:after="240" w:line="360" w:lineRule="auto"/>
        <w:ind w:left="0"/>
        <w:jc w:val="both"/>
        <w:rPr>
          <w:bCs/>
        </w:rPr>
      </w:pPr>
      <w:r>
        <w:rPr>
          <w:bCs/>
        </w:rPr>
        <w:tab/>
        <w:t>JI ve CDM mekanizmaları, metedoloji ve proje döngüsü bakımından birbirine benzemektedir. CDM ile arasındaki temel fark</w:t>
      </w:r>
      <w:r w:rsidR="00B50DDF">
        <w:rPr>
          <w:bCs/>
        </w:rPr>
        <w:t xml:space="preserve"> Ek-1 ülkesinin hedefine ulaşmak için proje yatırımlarını yine başka bir Ek-1 ülkesinde gerçekleştirmesidir (Tunahan, 2010: 202-203).</w:t>
      </w:r>
    </w:p>
    <w:p w:rsidR="008E7F22" w:rsidRPr="000A69DA" w:rsidRDefault="000A69DA" w:rsidP="00126FA4">
      <w:pPr>
        <w:pStyle w:val="Balk4"/>
      </w:pPr>
      <w:bookmarkStart w:id="143" w:name="_Toc384824006"/>
      <w:r>
        <w:t>2.2.1.2.</w:t>
      </w:r>
      <w:r w:rsidRPr="000A69DA">
        <w:t xml:space="preserve"> </w:t>
      </w:r>
      <w:r w:rsidR="00BF75B4">
        <w:t>Piyasa Temelli Esneklik Mekanizması</w:t>
      </w:r>
      <w:bookmarkEnd w:id="143"/>
    </w:p>
    <w:p w:rsidR="00FF5611" w:rsidRDefault="00957B82" w:rsidP="00AC35D8">
      <w:pPr>
        <w:pStyle w:val="ListeParagraf"/>
        <w:tabs>
          <w:tab w:val="left" w:pos="284"/>
          <w:tab w:val="left" w:pos="426"/>
        </w:tabs>
        <w:spacing w:before="240" w:after="240" w:line="360" w:lineRule="auto"/>
        <w:ind w:left="0"/>
        <w:jc w:val="both"/>
        <w:rPr>
          <w:bCs/>
        </w:rPr>
      </w:pPr>
      <w:r w:rsidRPr="00957B82">
        <w:rPr>
          <w:bCs/>
        </w:rPr>
        <w:tab/>
      </w:r>
      <w:r w:rsidR="00AC35D8">
        <w:rPr>
          <w:bCs/>
        </w:rPr>
        <w:tab/>
      </w:r>
      <w:r w:rsidRPr="00957B82">
        <w:rPr>
          <w:bCs/>
        </w:rPr>
        <w:t>KP’ne göre piyasa temelli esneklik mekanizması Emisyon Ticaretidir (Emission Trading-ET).</w:t>
      </w:r>
      <w:r>
        <w:rPr>
          <w:bCs/>
        </w:rPr>
        <w:t xml:space="preserve"> KP’ne göre Emisyon Ticareti ve Ortak Uygulama mekanizmaları Ek-1 ülkeleri arasında </w:t>
      </w:r>
      <w:r w:rsidR="00AC35D8">
        <w:rPr>
          <w:bCs/>
        </w:rPr>
        <w:t>yapılırken, Temiz Kalkınma Mekanizması ise Ek-14 ve Ek-1 dışı ülkeler arasında yapılmaktadır.</w:t>
      </w:r>
    </w:p>
    <w:p w:rsidR="008A2F53" w:rsidRPr="00AC35D8" w:rsidRDefault="008A2F53" w:rsidP="00AC35D8">
      <w:pPr>
        <w:pStyle w:val="ListeParagraf"/>
        <w:tabs>
          <w:tab w:val="left" w:pos="284"/>
          <w:tab w:val="left" w:pos="426"/>
        </w:tabs>
        <w:spacing w:before="240" w:after="240" w:line="360" w:lineRule="auto"/>
        <w:ind w:left="0"/>
        <w:jc w:val="both"/>
        <w:rPr>
          <w:bCs/>
        </w:rPr>
      </w:pPr>
    </w:p>
    <w:p w:rsidR="008E7F22" w:rsidRPr="000A69DA" w:rsidRDefault="000A69DA" w:rsidP="00376C0F">
      <w:pPr>
        <w:pStyle w:val="Balk5"/>
      </w:pPr>
      <w:bookmarkStart w:id="144" w:name="_Toc384824007"/>
      <w:r>
        <w:lastRenderedPageBreak/>
        <w:t xml:space="preserve">2.2.1.2.1. </w:t>
      </w:r>
      <w:r w:rsidR="000E7CE0">
        <w:t>Emisyon Ticareti</w:t>
      </w:r>
      <w:r w:rsidR="008E7F22" w:rsidRPr="000A69DA">
        <w:t xml:space="preserve"> Kavramı</w:t>
      </w:r>
      <w:bookmarkEnd w:id="144"/>
    </w:p>
    <w:p w:rsidR="00AC35D8" w:rsidRDefault="000673F5" w:rsidP="004D29C7">
      <w:pPr>
        <w:pStyle w:val="ListeParagraf"/>
        <w:tabs>
          <w:tab w:val="left" w:pos="0"/>
        </w:tabs>
        <w:spacing w:before="240" w:after="240" w:line="360" w:lineRule="auto"/>
        <w:ind w:left="0"/>
        <w:jc w:val="both"/>
        <w:rPr>
          <w:bCs/>
        </w:rPr>
      </w:pPr>
      <w:r>
        <w:rPr>
          <w:bCs/>
        </w:rPr>
        <w:tab/>
        <w:t>KP’ni</w:t>
      </w:r>
      <w:r w:rsidR="00AC35D8">
        <w:rPr>
          <w:bCs/>
        </w:rPr>
        <w:t>n 17. maddesiyle düzenlenmiş olan Emisyon Ticareti, Ek-1 ülkeleri arasında yapılmaktadır. Ek-1 listesinde yer alan taraf ülkelerden birisi, Ek-B’de belirlenmiş olan azaltım miktarının bir bölümünün ticaretini yapabilmektedir. Yani, taahhüt edilen miktardan fazla azaltım yapan ülke, azaltım yaptığı emisyonu başka bir Ek-1 ülkesine satabilmektedir.</w:t>
      </w:r>
      <w:r w:rsidR="004D29C7">
        <w:rPr>
          <w:bCs/>
        </w:rPr>
        <w:tab/>
      </w:r>
    </w:p>
    <w:p w:rsidR="00FD20D4" w:rsidRDefault="00AC35D8" w:rsidP="004D29C7">
      <w:pPr>
        <w:pStyle w:val="ListeParagraf"/>
        <w:tabs>
          <w:tab w:val="left" w:pos="0"/>
        </w:tabs>
        <w:spacing w:before="240" w:after="240" w:line="360" w:lineRule="auto"/>
        <w:ind w:left="0"/>
        <w:jc w:val="both"/>
        <w:rPr>
          <w:bCs/>
        </w:rPr>
      </w:pPr>
      <w:r>
        <w:rPr>
          <w:bCs/>
        </w:rPr>
        <w:tab/>
      </w:r>
      <w:r w:rsidR="00FD20D4">
        <w:rPr>
          <w:bCs/>
        </w:rPr>
        <w:t xml:space="preserve">Piyasa temelli Kyoto Protokolü Esneklik mekanizması olan emisyon ticareti, Protokol ile azaltım taahhüdünde bulunan ülkelerin, </w:t>
      </w:r>
      <w:r w:rsidR="00136830">
        <w:t>t</w:t>
      </w:r>
      <w:r w:rsidR="00136830" w:rsidRPr="009C672B">
        <w:t xml:space="preserve">ahsis </w:t>
      </w:r>
      <w:r w:rsidR="00136830">
        <w:t>e</w:t>
      </w:r>
      <w:r w:rsidR="00136830" w:rsidRPr="009C672B">
        <w:t xml:space="preserve">dilmiş </w:t>
      </w:r>
      <w:r w:rsidR="00136830">
        <w:t>e</w:t>
      </w:r>
      <w:r w:rsidR="00136830" w:rsidRPr="009C672B">
        <w:t xml:space="preserve">misyon </w:t>
      </w:r>
      <w:r w:rsidR="00136830">
        <w:t>azaltım y</w:t>
      </w:r>
      <w:r w:rsidR="00FD20D4">
        <w:rPr>
          <w:bCs/>
        </w:rPr>
        <w:t>ükümlülüğünün (Assigned Amount Units – AAU) ticaretini yapabileceğini göstermektedir (Engin, 2010: 76-77)</w:t>
      </w:r>
      <w:r w:rsidR="007F230D">
        <w:rPr>
          <w:bCs/>
        </w:rPr>
        <w:t>.</w:t>
      </w:r>
    </w:p>
    <w:p w:rsidR="008E7F22" w:rsidRDefault="00FD20D4" w:rsidP="004D29C7">
      <w:pPr>
        <w:pStyle w:val="ListeParagraf"/>
        <w:tabs>
          <w:tab w:val="left" w:pos="0"/>
        </w:tabs>
        <w:spacing w:before="240" w:after="240" w:line="360" w:lineRule="auto"/>
        <w:ind w:left="0"/>
        <w:jc w:val="both"/>
        <w:rPr>
          <w:bCs/>
        </w:rPr>
      </w:pPr>
      <w:r>
        <w:rPr>
          <w:bCs/>
        </w:rPr>
        <w:tab/>
      </w:r>
      <w:r w:rsidR="00227B28">
        <w:rPr>
          <w:bCs/>
        </w:rPr>
        <w:t xml:space="preserve">Emisyon ticaretinde </w:t>
      </w:r>
      <w:r w:rsidR="00694897">
        <w:rPr>
          <w:bCs/>
        </w:rPr>
        <w:t>d</w:t>
      </w:r>
      <w:r w:rsidR="008E7F22">
        <w:rPr>
          <w:bCs/>
        </w:rPr>
        <w:t>evlet belli bir miktar kirletici madde salımı kotası belirler ve her şirkete büyüklüğü oranında dağıtır. Sonra daha fazla kirlilik salımı yapmak isteyen işletme diğer işletmelerin limitlerinden satın almak zorunda kalır. Kendi limiti kadar kirlilik üretmeyen işletmeler, kendi kirlilik limitleri kotasını bu işletmelere satarak para kazanırlar.  Böylece hem daha fazla kirlilik üretecek olan bunun parasını vermiş olur hem de kirlilik üretmeyen işletmeler ödüllendirilmiş olur.</w:t>
      </w:r>
      <w:r w:rsidR="00BF0F7F">
        <w:rPr>
          <w:bCs/>
        </w:rPr>
        <w:t xml:space="preserve"> Diğer bir ifadeyle taahhüt edilen emisyon miktarının daha fazla azaltım yapan taraf ülke, emisyonundaki bu ek azaltımı bir başka ülkeye satabilir veya taahhüt edilen emisyon miktarını hedefini tutturamayan ülke diğer ülkelerden bu azaltımı satın alabilmektedir.</w:t>
      </w:r>
    </w:p>
    <w:p w:rsidR="003F553C" w:rsidRDefault="003F553C" w:rsidP="004D29C7">
      <w:pPr>
        <w:pStyle w:val="ListeParagraf"/>
        <w:tabs>
          <w:tab w:val="left" w:pos="0"/>
        </w:tabs>
        <w:spacing w:before="240" w:after="240" w:line="360" w:lineRule="auto"/>
        <w:ind w:left="0"/>
        <w:jc w:val="both"/>
        <w:rPr>
          <w:bCs/>
        </w:rPr>
      </w:pPr>
      <w:r>
        <w:rPr>
          <w:bCs/>
        </w:rPr>
        <w:tab/>
      </w:r>
      <w:r w:rsidR="008B2DF1">
        <w:rPr>
          <w:bCs/>
        </w:rPr>
        <w:t>EU ETS dünyada ilk uluslararası limitleme ve ticaret</w:t>
      </w:r>
      <w:r>
        <w:rPr>
          <w:bCs/>
        </w:rPr>
        <w:t xml:space="preserve"> (Cap and Trade)</w:t>
      </w:r>
      <w:r w:rsidR="008B2DF1">
        <w:rPr>
          <w:bCs/>
        </w:rPr>
        <w:t xml:space="preserve"> sistemidir</w:t>
      </w:r>
      <w:r>
        <w:rPr>
          <w:bCs/>
        </w:rPr>
        <w:t xml:space="preserve">. </w:t>
      </w:r>
      <w:r w:rsidR="00550C98">
        <w:rPr>
          <w:bCs/>
        </w:rPr>
        <w:t>Emisyon ticaretinin ilk uygulamaları 1970’li yıllarda ABD’de gerçekleştirilmiştir (Ellerman vd</w:t>
      </w:r>
      <w:proofErr w:type="gramStart"/>
      <w:r w:rsidR="00550C98">
        <w:rPr>
          <w:bCs/>
        </w:rPr>
        <w:t>.,</w:t>
      </w:r>
      <w:proofErr w:type="gramEnd"/>
      <w:r w:rsidR="00550C98">
        <w:rPr>
          <w:bCs/>
        </w:rPr>
        <w:t xml:space="preserve"> 2003;</w:t>
      </w:r>
      <w:r w:rsidR="00716713">
        <w:rPr>
          <w:bCs/>
        </w:rPr>
        <w:t xml:space="preserve"> Ellerman, 2008;</w:t>
      </w:r>
      <w:r w:rsidR="00550C98">
        <w:rPr>
          <w:bCs/>
        </w:rPr>
        <w:t xml:space="preserve"> Tietenberg, 2006).</w:t>
      </w:r>
    </w:p>
    <w:p w:rsidR="00C2360C" w:rsidRDefault="00C2360C" w:rsidP="004D29C7">
      <w:pPr>
        <w:pStyle w:val="ListeParagraf"/>
        <w:tabs>
          <w:tab w:val="left" w:pos="0"/>
        </w:tabs>
        <w:spacing w:before="240" w:after="240" w:line="360" w:lineRule="auto"/>
        <w:ind w:left="0"/>
        <w:jc w:val="both"/>
        <w:rPr>
          <w:bCs/>
        </w:rPr>
      </w:pPr>
      <w:r>
        <w:rPr>
          <w:bCs/>
        </w:rPr>
        <w:tab/>
        <w:t xml:space="preserve">Emisyon ticaretinde karbon piyasasının öncülüğünü Danimarka ve İngiltere kendi ülkelerinde yapmışlardır. İngiltere 2002 yılından itibaren Emisyon Ticareti Programını kullanarak Avrupa Birliği içerisindeki emisyon ticaretini başlatmıştır. Avrupa Birliği Emisyon Ticareti Programı (Emission Trading Scheme – ETS) </w:t>
      </w:r>
      <w:r w:rsidR="007E2A2E">
        <w:rPr>
          <w:bCs/>
        </w:rPr>
        <w:t>önce Avrupa</w:t>
      </w:r>
      <w:r w:rsidR="000D3269">
        <w:rPr>
          <w:bCs/>
        </w:rPr>
        <w:t>’</w:t>
      </w:r>
      <w:r w:rsidR="007E2A2E">
        <w:rPr>
          <w:bCs/>
        </w:rPr>
        <w:t xml:space="preserve">da sonra tüm dünyada uygulanan ilk uluslararası emisyon ticareti sistemidir. Bu sistem çok yüksek bir emisyon hacmini hedeflemesi bakımından oldukça önem arz etmektedir. </w:t>
      </w:r>
    </w:p>
    <w:p w:rsidR="00295BD4" w:rsidRDefault="00295BD4" w:rsidP="004D29C7">
      <w:pPr>
        <w:pStyle w:val="ListeParagraf"/>
        <w:tabs>
          <w:tab w:val="left" w:pos="0"/>
        </w:tabs>
        <w:spacing w:before="240" w:after="240" w:line="360" w:lineRule="auto"/>
        <w:ind w:left="0"/>
        <w:jc w:val="both"/>
        <w:rPr>
          <w:bCs/>
        </w:rPr>
      </w:pPr>
    </w:p>
    <w:p w:rsidR="00FD18D5" w:rsidRDefault="00B9472D" w:rsidP="000D38D2">
      <w:pPr>
        <w:pStyle w:val="it6"/>
      </w:pPr>
      <w:bookmarkStart w:id="145" w:name="_Toc384716097"/>
      <w:r>
        <w:lastRenderedPageBreak/>
        <w:t>Çizelge</w:t>
      </w:r>
      <w:r w:rsidR="00F654A3">
        <w:t xml:space="preserve"> </w:t>
      </w:r>
      <w:proofErr w:type="gramStart"/>
      <w:r w:rsidR="00F654A3">
        <w:t>2.2</w:t>
      </w:r>
      <w:proofErr w:type="gramEnd"/>
      <w:r w:rsidR="00FD18D5" w:rsidRPr="00985746">
        <w:t xml:space="preserve">: </w:t>
      </w:r>
      <w:r w:rsidR="00FD18D5" w:rsidRPr="00FD18D5">
        <w:t>Kyoto Protokolü Esneklik Mekanizmalarının Temel Tanımları</w:t>
      </w:r>
      <w:bookmarkEnd w:id="145"/>
    </w:p>
    <w:tbl>
      <w:tblPr>
        <w:tblStyle w:val="TabloKlavuzu"/>
        <w:tblW w:w="0" w:type="auto"/>
        <w:tblInd w:w="108" w:type="dxa"/>
        <w:tblLayout w:type="fixed"/>
        <w:tblLook w:val="04A0" w:firstRow="1" w:lastRow="0" w:firstColumn="1" w:lastColumn="0" w:noHBand="0" w:noVBand="1"/>
      </w:tblPr>
      <w:tblGrid>
        <w:gridCol w:w="1820"/>
        <w:gridCol w:w="1299"/>
        <w:gridCol w:w="1417"/>
        <w:gridCol w:w="1276"/>
        <w:gridCol w:w="2552"/>
      </w:tblGrid>
      <w:tr w:rsidR="00F654A3" w:rsidTr="00F654A3">
        <w:tc>
          <w:tcPr>
            <w:tcW w:w="1820" w:type="dxa"/>
            <w:vMerge w:val="restart"/>
            <w:vAlign w:val="center"/>
          </w:tcPr>
          <w:p w:rsidR="00FD18D5" w:rsidRDefault="00FD18D5" w:rsidP="00DF30F5">
            <w:pPr>
              <w:pStyle w:val="ListeParagraf"/>
              <w:tabs>
                <w:tab w:val="left" w:pos="0"/>
              </w:tabs>
              <w:spacing w:before="120" w:after="120"/>
              <w:ind w:left="0"/>
              <w:rPr>
                <w:bCs/>
              </w:rPr>
            </w:pPr>
            <w:r>
              <w:rPr>
                <w:bCs/>
              </w:rPr>
              <w:t>Mekanizma Türü</w:t>
            </w:r>
          </w:p>
        </w:tc>
        <w:tc>
          <w:tcPr>
            <w:tcW w:w="1299" w:type="dxa"/>
            <w:vMerge w:val="restart"/>
            <w:vAlign w:val="center"/>
          </w:tcPr>
          <w:p w:rsidR="00FD18D5" w:rsidRDefault="00FD18D5" w:rsidP="00DF30F5">
            <w:pPr>
              <w:pStyle w:val="ListeParagraf"/>
              <w:tabs>
                <w:tab w:val="left" w:pos="0"/>
              </w:tabs>
              <w:spacing w:before="120" w:after="120"/>
              <w:ind w:left="0"/>
              <w:rPr>
                <w:bCs/>
              </w:rPr>
            </w:pPr>
            <w:r>
              <w:rPr>
                <w:bCs/>
              </w:rPr>
              <w:t>İlgili Kyoto Protokolü Maddesi</w:t>
            </w:r>
          </w:p>
        </w:tc>
        <w:tc>
          <w:tcPr>
            <w:tcW w:w="2693" w:type="dxa"/>
            <w:gridSpan w:val="2"/>
            <w:vAlign w:val="center"/>
          </w:tcPr>
          <w:p w:rsidR="00FD18D5" w:rsidRDefault="00FD18D5" w:rsidP="00DF30F5">
            <w:pPr>
              <w:pStyle w:val="ListeParagraf"/>
              <w:tabs>
                <w:tab w:val="left" w:pos="0"/>
              </w:tabs>
              <w:spacing w:before="120" w:after="120"/>
              <w:ind w:left="0"/>
              <w:rPr>
                <w:bCs/>
              </w:rPr>
            </w:pPr>
            <w:r>
              <w:rPr>
                <w:bCs/>
              </w:rPr>
              <w:t>Katılımcı Ülkeler</w:t>
            </w:r>
          </w:p>
        </w:tc>
        <w:tc>
          <w:tcPr>
            <w:tcW w:w="2552" w:type="dxa"/>
            <w:vMerge w:val="restart"/>
            <w:vAlign w:val="center"/>
          </w:tcPr>
          <w:p w:rsidR="00FD18D5" w:rsidRDefault="00FD18D5" w:rsidP="00DF30F5">
            <w:pPr>
              <w:pStyle w:val="ListeParagraf"/>
              <w:tabs>
                <w:tab w:val="left" w:pos="0"/>
              </w:tabs>
              <w:spacing w:before="120" w:after="120"/>
              <w:ind w:left="0"/>
              <w:rPr>
                <w:bCs/>
              </w:rPr>
            </w:pPr>
            <w:r>
              <w:rPr>
                <w:bCs/>
              </w:rPr>
              <w:t>Geçerli Karbon Birimi</w:t>
            </w:r>
          </w:p>
        </w:tc>
      </w:tr>
      <w:tr w:rsidR="00F654A3" w:rsidTr="00F654A3">
        <w:tc>
          <w:tcPr>
            <w:tcW w:w="1820" w:type="dxa"/>
            <w:vMerge/>
            <w:vAlign w:val="center"/>
          </w:tcPr>
          <w:p w:rsidR="00FD18D5" w:rsidRDefault="00FD18D5" w:rsidP="00DF30F5">
            <w:pPr>
              <w:pStyle w:val="ListeParagraf"/>
              <w:tabs>
                <w:tab w:val="left" w:pos="0"/>
              </w:tabs>
              <w:spacing w:before="120" w:after="120"/>
              <w:ind w:left="0"/>
              <w:rPr>
                <w:bCs/>
              </w:rPr>
            </w:pPr>
          </w:p>
        </w:tc>
        <w:tc>
          <w:tcPr>
            <w:tcW w:w="1299" w:type="dxa"/>
            <w:vMerge/>
            <w:vAlign w:val="center"/>
          </w:tcPr>
          <w:p w:rsidR="00FD18D5" w:rsidRDefault="00FD18D5" w:rsidP="00DF30F5">
            <w:pPr>
              <w:pStyle w:val="ListeParagraf"/>
              <w:tabs>
                <w:tab w:val="left" w:pos="0"/>
              </w:tabs>
              <w:spacing w:before="120" w:after="120"/>
              <w:ind w:left="0"/>
              <w:rPr>
                <w:bCs/>
              </w:rPr>
            </w:pPr>
          </w:p>
        </w:tc>
        <w:tc>
          <w:tcPr>
            <w:tcW w:w="1417" w:type="dxa"/>
            <w:vAlign w:val="center"/>
          </w:tcPr>
          <w:p w:rsidR="00FD18D5" w:rsidRDefault="00FD18D5" w:rsidP="00DF30F5">
            <w:pPr>
              <w:pStyle w:val="ListeParagraf"/>
              <w:tabs>
                <w:tab w:val="left" w:pos="0"/>
              </w:tabs>
              <w:spacing w:before="120" w:after="120"/>
              <w:ind w:left="0"/>
              <w:rPr>
                <w:bCs/>
              </w:rPr>
            </w:pPr>
            <w:r>
              <w:rPr>
                <w:bCs/>
              </w:rPr>
              <w:t>Yatırımcı (Karbon Alıcı)</w:t>
            </w:r>
          </w:p>
        </w:tc>
        <w:tc>
          <w:tcPr>
            <w:tcW w:w="1276" w:type="dxa"/>
            <w:vAlign w:val="center"/>
          </w:tcPr>
          <w:p w:rsidR="00FD18D5" w:rsidRDefault="00FD18D5" w:rsidP="00DF30F5">
            <w:pPr>
              <w:pStyle w:val="ListeParagraf"/>
              <w:tabs>
                <w:tab w:val="left" w:pos="0"/>
              </w:tabs>
              <w:spacing w:before="120" w:after="120"/>
              <w:ind w:left="0"/>
              <w:rPr>
                <w:bCs/>
              </w:rPr>
            </w:pPr>
            <w:r>
              <w:rPr>
                <w:bCs/>
              </w:rPr>
              <w:t>Ev Sahibi (Karbon Satıcı)</w:t>
            </w:r>
          </w:p>
        </w:tc>
        <w:tc>
          <w:tcPr>
            <w:tcW w:w="2552" w:type="dxa"/>
            <w:vMerge/>
            <w:vAlign w:val="center"/>
          </w:tcPr>
          <w:p w:rsidR="00FD18D5" w:rsidRDefault="00FD18D5" w:rsidP="00DF30F5">
            <w:pPr>
              <w:pStyle w:val="ListeParagraf"/>
              <w:tabs>
                <w:tab w:val="left" w:pos="0"/>
              </w:tabs>
              <w:spacing w:before="120" w:after="120"/>
              <w:ind w:left="0"/>
              <w:rPr>
                <w:bCs/>
              </w:rPr>
            </w:pPr>
          </w:p>
        </w:tc>
      </w:tr>
      <w:tr w:rsidR="00F654A3" w:rsidTr="00F654A3">
        <w:tc>
          <w:tcPr>
            <w:tcW w:w="1820" w:type="dxa"/>
            <w:vAlign w:val="center"/>
          </w:tcPr>
          <w:p w:rsidR="00FD18D5" w:rsidRDefault="00FD18D5" w:rsidP="00DF30F5">
            <w:pPr>
              <w:pStyle w:val="ListeParagraf"/>
              <w:tabs>
                <w:tab w:val="left" w:pos="0"/>
              </w:tabs>
              <w:spacing w:before="120" w:after="120"/>
              <w:ind w:left="0"/>
              <w:rPr>
                <w:bCs/>
              </w:rPr>
            </w:pPr>
            <w:r>
              <w:rPr>
                <w:bCs/>
              </w:rPr>
              <w:t>Temiz Kalınma Mekanizması (CDM)</w:t>
            </w:r>
          </w:p>
        </w:tc>
        <w:tc>
          <w:tcPr>
            <w:tcW w:w="1299" w:type="dxa"/>
            <w:vAlign w:val="center"/>
          </w:tcPr>
          <w:p w:rsidR="00FD18D5" w:rsidRDefault="00FD18D5" w:rsidP="00DF30F5">
            <w:pPr>
              <w:pStyle w:val="ListeParagraf"/>
              <w:tabs>
                <w:tab w:val="left" w:pos="0"/>
              </w:tabs>
              <w:spacing w:before="120" w:after="120"/>
              <w:ind w:left="0"/>
              <w:rPr>
                <w:bCs/>
              </w:rPr>
            </w:pPr>
            <w:r>
              <w:rPr>
                <w:bCs/>
              </w:rPr>
              <w:t>12. Madde</w:t>
            </w:r>
          </w:p>
        </w:tc>
        <w:tc>
          <w:tcPr>
            <w:tcW w:w="1417" w:type="dxa"/>
            <w:vAlign w:val="center"/>
          </w:tcPr>
          <w:p w:rsidR="00FD18D5" w:rsidRDefault="00FD18D5" w:rsidP="00DF30F5">
            <w:pPr>
              <w:pStyle w:val="ListeParagraf"/>
              <w:tabs>
                <w:tab w:val="left" w:pos="0"/>
              </w:tabs>
              <w:spacing w:before="120" w:after="120"/>
              <w:ind w:left="0"/>
              <w:rPr>
                <w:bCs/>
              </w:rPr>
            </w:pPr>
            <w:r>
              <w:rPr>
                <w:bCs/>
              </w:rPr>
              <w:t>Ek-B Ülkeleri</w:t>
            </w:r>
          </w:p>
        </w:tc>
        <w:tc>
          <w:tcPr>
            <w:tcW w:w="1276" w:type="dxa"/>
            <w:vAlign w:val="center"/>
          </w:tcPr>
          <w:p w:rsidR="00FD18D5" w:rsidRDefault="00FD18D5" w:rsidP="00DF30F5">
            <w:pPr>
              <w:pStyle w:val="ListeParagraf"/>
              <w:tabs>
                <w:tab w:val="left" w:pos="0"/>
              </w:tabs>
              <w:spacing w:before="120" w:after="120"/>
              <w:ind w:left="0"/>
              <w:rPr>
                <w:bCs/>
              </w:rPr>
            </w:pPr>
            <w:r>
              <w:rPr>
                <w:bCs/>
              </w:rPr>
              <w:t>Ek- I Dışı Ülkeler</w:t>
            </w:r>
          </w:p>
        </w:tc>
        <w:tc>
          <w:tcPr>
            <w:tcW w:w="2552" w:type="dxa"/>
            <w:vAlign w:val="center"/>
          </w:tcPr>
          <w:p w:rsidR="00FD18D5" w:rsidRDefault="00FD18D5" w:rsidP="00DF30F5">
            <w:pPr>
              <w:pStyle w:val="ListeParagraf"/>
              <w:tabs>
                <w:tab w:val="left" w:pos="0"/>
              </w:tabs>
              <w:spacing w:before="120" w:after="120"/>
              <w:ind w:left="0"/>
              <w:rPr>
                <w:bCs/>
              </w:rPr>
            </w:pPr>
            <w:r>
              <w:rPr>
                <w:bCs/>
              </w:rPr>
              <w:t>Sertifikalandırılmış Emisyon Azaltımı (CER)</w:t>
            </w:r>
          </w:p>
        </w:tc>
      </w:tr>
      <w:tr w:rsidR="00FD18D5" w:rsidTr="00F654A3">
        <w:tc>
          <w:tcPr>
            <w:tcW w:w="1820" w:type="dxa"/>
            <w:vAlign w:val="center"/>
          </w:tcPr>
          <w:p w:rsidR="00FD18D5" w:rsidRDefault="00FD18D5" w:rsidP="00DF30F5">
            <w:pPr>
              <w:pStyle w:val="ListeParagraf"/>
              <w:tabs>
                <w:tab w:val="left" w:pos="0"/>
              </w:tabs>
              <w:spacing w:before="120" w:after="120"/>
              <w:ind w:left="0"/>
              <w:rPr>
                <w:bCs/>
              </w:rPr>
            </w:pPr>
            <w:r>
              <w:rPr>
                <w:bCs/>
              </w:rPr>
              <w:t>Ortak Yürütme (JI)</w:t>
            </w:r>
          </w:p>
        </w:tc>
        <w:tc>
          <w:tcPr>
            <w:tcW w:w="1299" w:type="dxa"/>
            <w:vAlign w:val="center"/>
          </w:tcPr>
          <w:p w:rsidR="00FD18D5" w:rsidRDefault="00FD18D5" w:rsidP="00DF30F5">
            <w:pPr>
              <w:pStyle w:val="ListeParagraf"/>
              <w:tabs>
                <w:tab w:val="left" w:pos="0"/>
              </w:tabs>
              <w:spacing w:before="120" w:after="120"/>
              <w:ind w:left="0"/>
              <w:rPr>
                <w:bCs/>
              </w:rPr>
            </w:pPr>
            <w:r>
              <w:rPr>
                <w:bCs/>
              </w:rPr>
              <w:t>6. Madde</w:t>
            </w:r>
          </w:p>
        </w:tc>
        <w:tc>
          <w:tcPr>
            <w:tcW w:w="2693" w:type="dxa"/>
            <w:gridSpan w:val="2"/>
            <w:vAlign w:val="center"/>
          </w:tcPr>
          <w:p w:rsidR="00FD18D5" w:rsidRDefault="00FD18D5" w:rsidP="00DF30F5">
            <w:pPr>
              <w:pStyle w:val="ListeParagraf"/>
              <w:tabs>
                <w:tab w:val="left" w:pos="0"/>
              </w:tabs>
              <w:spacing w:before="120" w:after="120"/>
              <w:ind w:left="0"/>
              <w:rPr>
                <w:bCs/>
              </w:rPr>
            </w:pPr>
            <w:r>
              <w:rPr>
                <w:bCs/>
              </w:rPr>
              <w:t>Ek – B Ülkeleri</w:t>
            </w:r>
          </w:p>
        </w:tc>
        <w:tc>
          <w:tcPr>
            <w:tcW w:w="2552" w:type="dxa"/>
            <w:vAlign w:val="center"/>
          </w:tcPr>
          <w:p w:rsidR="00FD18D5" w:rsidRDefault="00FD18D5" w:rsidP="00DF30F5">
            <w:pPr>
              <w:pStyle w:val="ListeParagraf"/>
              <w:tabs>
                <w:tab w:val="left" w:pos="0"/>
              </w:tabs>
              <w:spacing w:before="120" w:after="120"/>
              <w:ind w:left="0"/>
              <w:rPr>
                <w:bCs/>
              </w:rPr>
            </w:pPr>
            <w:r>
              <w:rPr>
                <w:bCs/>
              </w:rPr>
              <w:t>Emisyon Azaltım Birimi (ERU)</w:t>
            </w:r>
          </w:p>
        </w:tc>
      </w:tr>
      <w:tr w:rsidR="00FD18D5" w:rsidTr="00F654A3">
        <w:tc>
          <w:tcPr>
            <w:tcW w:w="1820" w:type="dxa"/>
            <w:vAlign w:val="center"/>
          </w:tcPr>
          <w:p w:rsidR="00FD18D5" w:rsidRDefault="00FD18D5" w:rsidP="00DF30F5">
            <w:pPr>
              <w:pStyle w:val="ListeParagraf"/>
              <w:tabs>
                <w:tab w:val="left" w:pos="0"/>
              </w:tabs>
              <w:spacing w:before="120" w:after="120"/>
              <w:ind w:left="0"/>
              <w:rPr>
                <w:bCs/>
              </w:rPr>
            </w:pPr>
            <w:r>
              <w:rPr>
                <w:bCs/>
              </w:rPr>
              <w:t>Emisyon Ticareti (ET)</w:t>
            </w:r>
          </w:p>
        </w:tc>
        <w:tc>
          <w:tcPr>
            <w:tcW w:w="1299" w:type="dxa"/>
            <w:vAlign w:val="center"/>
          </w:tcPr>
          <w:p w:rsidR="00FD18D5" w:rsidRDefault="00FD18D5" w:rsidP="00DF30F5">
            <w:pPr>
              <w:pStyle w:val="ListeParagraf"/>
              <w:tabs>
                <w:tab w:val="left" w:pos="0"/>
              </w:tabs>
              <w:spacing w:before="120" w:after="120"/>
              <w:ind w:left="0"/>
              <w:rPr>
                <w:bCs/>
              </w:rPr>
            </w:pPr>
            <w:r>
              <w:rPr>
                <w:bCs/>
              </w:rPr>
              <w:t>17. Madde</w:t>
            </w:r>
          </w:p>
        </w:tc>
        <w:tc>
          <w:tcPr>
            <w:tcW w:w="2693" w:type="dxa"/>
            <w:gridSpan w:val="2"/>
            <w:vAlign w:val="center"/>
          </w:tcPr>
          <w:p w:rsidR="00FD18D5" w:rsidRDefault="00FD18D5" w:rsidP="00DF30F5">
            <w:pPr>
              <w:pStyle w:val="ListeParagraf"/>
              <w:tabs>
                <w:tab w:val="left" w:pos="0"/>
              </w:tabs>
              <w:spacing w:before="120" w:after="120"/>
              <w:ind w:left="0"/>
              <w:rPr>
                <w:bCs/>
              </w:rPr>
            </w:pPr>
            <w:r>
              <w:rPr>
                <w:bCs/>
              </w:rPr>
              <w:t>Ek – B Ülkeleri</w:t>
            </w:r>
          </w:p>
        </w:tc>
        <w:tc>
          <w:tcPr>
            <w:tcW w:w="2552" w:type="dxa"/>
            <w:vAlign w:val="center"/>
          </w:tcPr>
          <w:p w:rsidR="00FD18D5" w:rsidRDefault="00FD18D5" w:rsidP="00DF30F5">
            <w:pPr>
              <w:pStyle w:val="ListeParagraf"/>
              <w:tabs>
                <w:tab w:val="left" w:pos="0"/>
              </w:tabs>
              <w:spacing w:before="120" w:after="120"/>
              <w:ind w:left="0"/>
              <w:rPr>
                <w:bCs/>
              </w:rPr>
            </w:pPr>
            <w:r>
              <w:rPr>
                <w:bCs/>
              </w:rPr>
              <w:t>Tahsislendirilmiş Miktar Birimi (AAU)</w:t>
            </w:r>
          </w:p>
        </w:tc>
      </w:tr>
    </w:tbl>
    <w:p w:rsidR="00FD18D5" w:rsidRDefault="00FD18D5" w:rsidP="00DF30F5">
      <w:pPr>
        <w:pStyle w:val="ListeParagraf"/>
        <w:tabs>
          <w:tab w:val="left" w:pos="0"/>
        </w:tabs>
        <w:spacing w:before="120" w:after="120"/>
        <w:ind w:left="0"/>
        <w:jc w:val="both"/>
        <w:rPr>
          <w:bCs/>
          <w:sz w:val="20"/>
          <w:szCs w:val="20"/>
        </w:rPr>
      </w:pPr>
      <w:r w:rsidRPr="00256AB0">
        <w:rPr>
          <w:b/>
          <w:bCs/>
          <w:sz w:val="20"/>
          <w:szCs w:val="20"/>
        </w:rPr>
        <w:t>Kaynak:</w:t>
      </w:r>
      <w:r w:rsidRPr="00FD18D5">
        <w:rPr>
          <w:bCs/>
          <w:sz w:val="20"/>
          <w:szCs w:val="20"/>
        </w:rPr>
        <w:t xml:space="preserve"> </w:t>
      </w:r>
      <w:r w:rsidR="00137003">
        <w:rPr>
          <w:bCs/>
          <w:sz w:val="20"/>
          <w:szCs w:val="20"/>
        </w:rPr>
        <w:t>ÇOB</w:t>
      </w:r>
      <w:r w:rsidRPr="00FD18D5">
        <w:rPr>
          <w:bCs/>
          <w:sz w:val="20"/>
          <w:szCs w:val="20"/>
        </w:rPr>
        <w:t>, 2008: 18.</w:t>
      </w:r>
    </w:p>
    <w:p w:rsidR="00CB3518" w:rsidRDefault="00CB3518" w:rsidP="00F654A3">
      <w:pPr>
        <w:pStyle w:val="ListeParagraf"/>
        <w:tabs>
          <w:tab w:val="left" w:pos="0"/>
        </w:tabs>
        <w:ind w:left="0"/>
        <w:jc w:val="both"/>
        <w:rPr>
          <w:bCs/>
          <w:sz w:val="20"/>
          <w:szCs w:val="20"/>
        </w:rPr>
      </w:pPr>
    </w:p>
    <w:p w:rsidR="00CB3518" w:rsidRPr="000D3269" w:rsidRDefault="000D3269" w:rsidP="002A5760">
      <w:pPr>
        <w:pStyle w:val="ListeParagraf"/>
        <w:tabs>
          <w:tab w:val="left" w:pos="0"/>
        </w:tabs>
        <w:spacing w:before="240" w:after="240" w:line="360" w:lineRule="auto"/>
        <w:ind w:left="0"/>
        <w:jc w:val="both"/>
        <w:rPr>
          <w:bCs/>
        </w:rPr>
      </w:pPr>
      <w:r>
        <w:rPr>
          <w:bCs/>
        </w:rPr>
        <w:tab/>
      </w:r>
      <w:r w:rsidR="00326D34">
        <w:rPr>
          <w:bCs/>
        </w:rPr>
        <w:t xml:space="preserve">KP’nin 6. Maddesi, 12 maddesi ve 17 maddesi Ek-B ülkelerinin yükümlüklerini yerine getirmek amacıyla kendi ülkelerinde yürütecekleri çalışmaları destekler nitelikte olmasını öngörmektedir. </w:t>
      </w:r>
      <w:r w:rsidR="00B9472D">
        <w:rPr>
          <w:bCs/>
        </w:rPr>
        <w:t>Çizelge</w:t>
      </w:r>
      <w:r w:rsidR="00326D34">
        <w:rPr>
          <w:bCs/>
        </w:rPr>
        <w:t xml:space="preserve"> </w:t>
      </w:r>
      <w:proofErr w:type="gramStart"/>
      <w:r w:rsidR="00326D34">
        <w:rPr>
          <w:bCs/>
        </w:rPr>
        <w:t>2.2’de</w:t>
      </w:r>
      <w:proofErr w:type="gramEnd"/>
      <w:r w:rsidR="00326D34">
        <w:rPr>
          <w:bCs/>
        </w:rPr>
        <w:t xml:space="preserve"> süreçlerin tanımı gösterilmektedir. </w:t>
      </w:r>
    </w:p>
    <w:p w:rsidR="00CB3518" w:rsidRPr="00FD18D5" w:rsidRDefault="00CB3518" w:rsidP="00DF30F5">
      <w:pPr>
        <w:pStyle w:val="stil1"/>
        <w:spacing w:before="120" w:after="120"/>
        <w:rPr>
          <w:bCs/>
          <w:sz w:val="20"/>
          <w:szCs w:val="20"/>
        </w:rPr>
      </w:pPr>
      <w:bookmarkStart w:id="146" w:name="_Toc382298164"/>
      <w:r>
        <w:t>Şekil 2.</w:t>
      </w:r>
      <w:r w:rsidR="002F5803">
        <w:t>1</w:t>
      </w:r>
      <w:r>
        <w:t>4: Kyoto Protokolü Yükümlülükleri Kapsamında Esneklik Mekanizmalarının Kullanımı</w:t>
      </w:r>
      <w:bookmarkEnd w:id="146"/>
    </w:p>
    <w:p w:rsidR="00FD18D5" w:rsidRDefault="00CB3518" w:rsidP="00DF30F5">
      <w:pPr>
        <w:pStyle w:val="ListeParagraf"/>
        <w:tabs>
          <w:tab w:val="left" w:pos="0"/>
        </w:tabs>
        <w:spacing w:before="120" w:after="120"/>
        <w:ind w:left="0"/>
        <w:jc w:val="both"/>
        <w:rPr>
          <w:bCs/>
        </w:rPr>
      </w:pPr>
      <w:r>
        <w:rPr>
          <w:noProof/>
          <w:lang w:eastAsia="tr-TR"/>
        </w:rPr>
        <w:drawing>
          <wp:inline distT="0" distB="0" distL="0" distR="0" wp14:anchorId="256728F6" wp14:editId="019B2A88">
            <wp:extent cx="4444779" cy="3023609"/>
            <wp:effectExtent l="0" t="0" r="0" b="571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54510" cy="3030228"/>
                    </a:xfrm>
                    <a:prstGeom prst="rect">
                      <a:avLst/>
                    </a:prstGeom>
                  </pic:spPr>
                </pic:pic>
              </a:graphicData>
            </a:graphic>
          </wp:inline>
        </w:drawing>
      </w:r>
    </w:p>
    <w:p w:rsidR="00CB3518" w:rsidRDefault="00CB3518" w:rsidP="00DF30F5">
      <w:pPr>
        <w:pStyle w:val="ListeParagraf"/>
        <w:tabs>
          <w:tab w:val="left" w:pos="0"/>
        </w:tabs>
        <w:spacing w:before="120" w:after="120"/>
        <w:ind w:left="0"/>
        <w:jc w:val="both"/>
        <w:rPr>
          <w:bCs/>
          <w:sz w:val="20"/>
          <w:szCs w:val="20"/>
        </w:rPr>
      </w:pPr>
      <w:r w:rsidRPr="00256AB0">
        <w:rPr>
          <w:b/>
          <w:bCs/>
          <w:sz w:val="20"/>
          <w:szCs w:val="20"/>
        </w:rPr>
        <w:t>Kaynak:</w:t>
      </w:r>
      <w:r w:rsidRPr="00FD18D5">
        <w:rPr>
          <w:bCs/>
          <w:sz w:val="20"/>
          <w:szCs w:val="20"/>
        </w:rPr>
        <w:t xml:space="preserve"> Ç</w:t>
      </w:r>
      <w:r w:rsidR="00BB41DB">
        <w:rPr>
          <w:bCs/>
          <w:sz w:val="20"/>
          <w:szCs w:val="20"/>
        </w:rPr>
        <w:t xml:space="preserve">evre </w:t>
      </w:r>
      <w:r w:rsidRPr="00FD18D5">
        <w:rPr>
          <w:bCs/>
          <w:sz w:val="20"/>
          <w:szCs w:val="20"/>
        </w:rPr>
        <w:t>O</w:t>
      </w:r>
      <w:r w:rsidR="00BB41DB">
        <w:rPr>
          <w:bCs/>
          <w:sz w:val="20"/>
          <w:szCs w:val="20"/>
        </w:rPr>
        <w:t xml:space="preserve">rman </w:t>
      </w:r>
      <w:r w:rsidRPr="00FD18D5">
        <w:rPr>
          <w:bCs/>
          <w:sz w:val="20"/>
          <w:szCs w:val="20"/>
        </w:rPr>
        <w:t>B</w:t>
      </w:r>
      <w:r w:rsidR="00BB41DB">
        <w:rPr>
          <w:bCs/>
          <w:sz w:val="20"/>
          <w:szCs w:val="20"/>
        </w:rPr>
        <w:t>akanlığı</w:t>
      </w:r>
      <w:r w:rsidRPr="00FD18D5">
        <w:rPr>
          <w:bCs/>
          <w:sz w:val="20"/>
          <w:szCs w:val="20"/>
        </w:rPr>
        <w:t>, 2008: 18.</w:t>
      </w:r>
    </w:p>
    <w:p w:rsidR="008E7F22" w:rsidRDefault="00DA3EB2" w:rsidP="00DA3EB2">
      <w:pPr>
        <w:pStyle w:val="ListeParagraf"/>
        <w:tabs>
          <w:tab w:val="left" w:pos="0"/>
        </w:tabs>
        <w:spacing w:before="240" w:after="240" w:line="360" w:lineRule="auto"/>
        <w:ind w:left="0"/>
        <w:jc w:val="both"/>
        <w:rPr>
          <w:bCs/>
        </w:rPr>
      </w:pPr>
      <w:r>
        <w:rPr>
          <w:bCs/>
        </w:rPr>
        <w:tab/>
      </w:r>
      <w:r w:rsidR="00CB3518" w:rsidRPr="00CB3518">
        <w:rPr>
          <w:bCs/>
        </w:rPr>
        <w:t>Şekil 2.</w:t>
      </w:r>
      <w:r w:rsidR="002F5803">
        <w:rPr>
          <w:bCs/>
        </w:rPr>
        <w:t>1</w:t>
      </w:r>
      <w:r w:rsidR="00CB3518" w:rsidRPr="00CB3518">
        <w:rPr>
          <w:bCs/>
        </w:rPr>
        <w:t xml:space="preserve">4 </w:t>
      </w:r>
      <w:r w:rsidR="00CB3518">
        <w:rPr>
          <w:bCs/>
        </w:rPr>
        <w:t>Esneklik Mekanizmalarının KP Ek-B listesinde yer alan bir ülkenin emisyon azaltım hedeflerini yerine getirmek için nasıl kullanılacağını göstermektedir.</w:t>
      </w:r>
      <w:r>
        <w:rPr>
          <w:bCs/>
        </w:rPr>
        <w:t xml:space="preserve"> </w:t>
      </w:r>
      <w:r>
        <w:rPr>
          <w:bCs/>
        </w:rPr>
        <w:lastRenderedPageBreak/>
        <w:t>Yani, bir ülke 1990 yılında X miktarda olan emisyonlar, KP Ek-B listesinde yer alan orandan azaltıldıktan sonra, 2008-2012 döneminde salabileceği maksimum miktar AAU olarak tanımlanır (ÇOB, 2008: 18).</w:t>
      </w:r>
    </w:p>
    <w:p w:rsidR="008E7F22" w:rsidRPr="000A69DA" w:rsidRDefault="000A69DA" w:rsidP="00376C0F">
      <w:pPr>
        <w:pStyle w:val="Balk5"/>
      </w:pPr>
      <w:bookmarkStart w:id="147" w:name="_Toc384824008"/>
      <w:r>
        <w:t xml:space="preserve">2.2.1.2.2. </w:t>
      </w:r>
      <w:r w:rsidR="008E7F22" w:rsidRPr="000A69DA">
        <w:t>Emisyon Ticareti Türleri</w:t>
      </w:r>
      <w:bookmarkEnd w:id="147"/>
    </w:p>
    <w:p w:rsidR="00FF5611" w:rsidRDefault="001C1EDB" w:rsidP="001C1EDB">
      <w:pPr>
        <w:pStyle w:val="ListeParagraf"/>
        <w:tabs>
          <w:tab w:val="left" w:pos="0"/>
        </w:tabs>
        <w:spacing w:before="240" w:after="240" w:line="360" w:lineRule="auto"/>
        <w:ind w:left="0"/>
        <w:jc w:val="both"/>
        <w:rPr>
          <w:bCs/>
        </w:rPr>
      </w:pPr>
      <w:r>
        <w:rPr>
          <w:bCs/>
        </w:rPr>
        <w:tab/>
      </w:r>
      <w:r w:rsidR="003019A4" w:rsidRPr="001C7164">
        <w:rPr>
          <w:bCs/>
        </w:rPr>
        <w:t xml:space="preserve">2002-2006 döneminde İngiltere’de uygulanan Emisyon Ticareti Programı (UK-ETS) </w:t>
      </w:r>
      <w:r w:rsidR="001C7164">
        <w:rPr>
          <w:bCs/>
        </w:rPr>
        <w:t xml:space="preserve">hem 2005 yılında AB’de uygulamaya giren </w:t>
      </w:r>
      <w:r w:rsidR="008A2F53">
        <w:rPr>
          <w:bCs/>
        </w:rPr>
        <w:t>AB Emisyon Ticareti’ni oluşturmuş</w:t>
      </w:r>
      <w:r w:rsidR="001C7164">
        <w:rPr>
          <w:bCs/>
        </w:rPr>
        <w:t xml:space="preserve"> hem de dünyada uygulanan ilk emisyon ticareti kotası olması bakımından önemli bir adımdır (ÇOB, 2008: 19). </w:t>
      </w:r>
    </w:p>
    <w:p w:rsidR="008E7F22" w:rsidRPr="000A69DA" w:rsidRDefault="000A69DA" w:rsidP="00A118C6">
      <w:pPr>
        <w:pStyle w:val="Balk5"/>
      </w:pPr>
      <w:bookmarkStart w:id="148" w:name="_Toc384824009"/>
      <w:r>
        <w:t xml:space="preserve">2.2.1.2.3. </w:t>
      </w:r>
      <w:r w:rsidR="008E7F22" w:rsidRPr="000A69DA">
        <w:t xml:space="preserve">Avrupa Birliği </w:t>
      </w:r>
      <w:r w:rsidR="00DB4573">
        <w:t xml:space="preserve">Emisyon </w:t>
      </w:r>
      <w:r w:rsidR="008E7F22" w:rsidRPr="000A69DA">
        <w:t>Ticareti Sistemi (EU ETS)</w:t>
      </w:r>
      <w:bookmarkEnd w:id="148"/>
    </w:p>
    <w:p w:rsidR="00FF5611" w:rsidRDefault="003463A8" w:rsidP="00675CD0">
      <w:pPr>
        <w:pStyle w:val="ListeParagraf"/>
        <w:spacing w:before="240" w:after="240" w:line="360" w:lineRule="auto"/>
        <w:ind w:left="0" w:firstLine="708"/>
        <w:jc w:val="both"/>
        <w:rPr>
          <w:bCs/>
        </w:rPr>
      </w:pPr>
      <w:r>
        <w:rPr>
          <w:bCs/>
        </w:rPr>
        <w:t>Sera gazı</w:t>
      </w:r>
      <w:r w:rsidR="006E0E1A" w:rsidRPr="006E0E1A">
        <w:rPr>
          <w:bCs/>
        </w:rPr>
        <w:t xml:space="preserve"> emisyonlarını azaltmak amacıyla geliştirilmiş en büyük emisyon ticaret sistemi 2005 yılında faaliyete geçen Avrupa Birliği Emisyon Ticaret Sistemi</w:t>
      </w:r>
      <w:r w:rsidR="00120FF9">
        <w:rPr>
          <w:bCs/>
        </w:rPr>
        <w:t>’</w:t>
      </w:r>
      <w:r w:rsidR="006E0E1A" w:rsidRPr="006E0E1A">
        <w:rPr>
          <w:bCs/>
        </w:rPr>
        <w:t>dir (Europen Union Emission Trading</w:t>
      </w:r>
      <w:r w:rsidR="00CD1725">
        <w:rPr>
          <w:bCs/>
        </w:rPr>
        <w:t xml:space="preserve"> </w:t>
      </w:r>
      <w:r w:rsidR="006E0E1A" w:rsidRPr="006E0E1A">
        <w:rPr>
          <w:bCs/>
        </w:rPr>
        <w:t>-</w:t>
      </w:r>
      <w:r w:rsidR="00CD1725">
        <w:rPr>
          <w:bCs/>
        </w:rPr>
        <w:t xml:space="preserve"> </w:t>
      </w:r>
      <w:r w:rsidR="006E0E1A" w:rsidRPr="006E0E1A">
        <w:rPr>
          <w:bCs/>
        </w:rPr>
        <w:t>EU ETS).</w:t>
      </w:r>
      <w:r w:rsidR="00BD783A">
        <w:rPr>
          <w:bCs/>
        </w:rPr>
        <w:t xml:space="preserve"> EU ETS 2003 yılında yayınlanan 2003/87/</w:t>
      </w:r>
      <w:r w:rsidR="00CD1725">
        <w:rPr>
          <w:bCs/>
        </w:rPr>
        <w:t xml:space="preserve">EC sayılı yönetmelikle kurulmuştur. Sistemin içerisine elektrik santralleri, çimento, demir çelik, petrol rafineleri, cam, seramik ve kağıt gibi enerji yoğun sektörlerdeki büyük kirleticiler öncelikle dahil edilmiştir. Bu sisteme dahil olan firmalar toplam AB </w:t>
      </w:r>
      <w:r>
        <w:rPr>
          <w:bCs/>
        </w:rPr>
        <w:t>sera gazı</w:t>
      </w:r>
      <w:r w:rsidR="00CD1725">
        <w:rPr>
          <w:bCs/>
        </w:rPr>
        <w:t>nın %40’ına karşılık gelmektedir</w:t>
      </w:r>
      <w:r w:rsidR="005B690A">
        <w:rPr>
          <w:bCs/>
        </w:rPr>
        <w:t xml:space="preserve"> (ÇOB, 2008: 25).</w:t>
      </w:r>
      <w:r w:rsidR="00CD1725">
        <w:rPr>
          <w:bCs/>
        </w:rPr>
        <w:t xml:space="preserve"> </w:t>
      </w:r>
    </w:p>
    <w:p w:rsidR="00E0687E" w:rsidRPr="006E0E1A" w:rsidRDefault="00E0687E" w:rsidP="00675CD0">
      <w:pPr>
        <w:pStyle w:val="ListeParagraf"/>
        <w:spacing w:before="240" w:after="240" w:line="360" w:lineRule="auto"/>
        <w:ind w:left="0" w:firstLine="708"/>
        <w:jc w:val="both"/>
        <w:rPr>
          <w:bCs/>
        </w:rPr>
      </w:pPr>
      <w:r>
        <w:rPr>
          <w:bCs/>
        </w:rPr>
        <w:t>EU ETS’nin içindeki şirketler emisyon tahsisatlarını alıp satabilmekte ve emisyon sertifikalarını uluslararası piyasalarda pazarlayabilmektedir. AB ülkelerinin yanında Avrupa Ekonomi alanında ye</w:t>
      </w:r>
      <w:r w:rsidR="00016B88">
        <w:rPr>
          <w:bCs/>
        </w:rPr>
        <w:t>r alan İzlanda, Norveç ve Lihten</w:t>
      </w:r>
      <w:r>
        <w:rPr>
          <w:bCs/>
        </w:rPr>
        <w:t>ştayn gibi ülkeler de EU ETS’ye dahil olmuştur. EU ETS</w:t>
      </w:r>
      <w:r w:rsidR="00F52B13">
        <w:rPr>
          <w:bCs/>
        </w:rPr>
        <w:t>’nin içindeki tüm ülkeler sistem içinde kendilerine ait bir Ulusal Tahsisat Planı (National Allocation Plans) hazırlaması istenmektedir. Bu planda ülkelerin hangi sektörde ne kadar emisyon azaltımı yapacağı görülmektedir (Arı, 2010: 83)</w:t>
      </w:r>
      <w:r w:rsidR="00E07B28">
        <w:rPr>
          <w:bCs/>
        </w:rPr>
        <w:t>.</w:t>
      </w:r>
    </w:p>
    <w:p w:rsidR="00FF5611" w:rsidRDefault="00557934" w:rsidP="00675CD0">
      <w:pPr>
        <w:pStyle w:val="ListeParagraf"/>
        <w:tabs>
          <w:tab w:val="left" w:pos="0"/>
        </w:tabs>
        <w:spacing w:before="240" w:after="240" w:line="360" w:lineRule="auto"/>
        <w:ind w:left="0"/>
        <w:jc w:val="both"/>
        <w:rPr>
          <w:bCs/>
        </w:rPr>
      </w:pPr>
      <w:r w:rsidRPr="009862F7">
        <w:rPr>
          <w:bCs/>
        </w:rPr>
        <w:tab/>
      </w:r>
      <w:r w:rsidR="00694897" w:rsidRPr="009862F7">
        <w:rPr>
          <w:bCs/>
        </w:rPr>
        <w:t xml:space="preserve">AB’nin KP’de belirlediği </w:t>
      </w:r>
      <w:r w:rsidR="003463A8">
        <w:rPr>
          <w:bCs/>
        </w:rPr>
        <w:t>sera gazı</w:t>
      </w:r>
      <w:r w:rsidR="00694897" w:rsidRPr="009862F7">
        <w:rPr>
          <w:bCs/>
        </w:rPr>
        <w:t xml:space="preserve"> emisyonlarının 1990 düzeyinin %8 altında kalacağı taahhüdüne göre, </w:t>
      </w:r>
      <w:r w:rsidR="009862F7" w:rsidRPr="009862F7">
        <w:rPr>
          <w:bCs/>
        </w:rPr>
        <w:t>1 Ocak 2005’te</w:t>
      </w:r>
      <w:r w:rsidR="009862F7">
        <w:rPr>
          <w:bCs/>
        </w:rPr>
        <w:t xml:space="preserve"> faaliyete geçen EU ETS dünyada ilk uluslararası CO</w:t>
      </w:r>
      <w:r w:rsidR="009862F7">
        <w:rPr>
          <w:bCs/>
          <w:vertAlign w:val="subscript"/>
        </w:rPr>
        <w:t>2</w:t>
      </w:r>
      <w:r w:rsidR="009862F7">
        <w:rPr>
          <w:bCs/>
        </w:rPr>
        <w:t xml:space="preserve"> </w:t>
      </w:r>
      <w:r w:rsidR="00FA52B7">
        <w:rPr>
          <w:bCs/>
        </w:rPr>
        <w:t>emisyon</w:t>
      </w:r>
      <w:r w:rsidR="009862F7">
        <w:rPr>
          <w:bCs/>
        </w:rPr>
        <w:t xml:space="preserve"> ticaret sistemidir. Bu sistem AB’deki CO</w:t>
      </w:r>
      <w:r w:rsidR="009862F7">
        <w:rPr>
          <w:bCs/>
          <w:vertAlign w:val="subscript"/>
        </w:rPr>
        <w:t>2</w:t>
      </w:r>
      <w:r w:rsidR="009862F7">
        <w:rPr>
          <w:bCs/>
        </w:rPr>
        <w:t xml:space="preserve"> emisyonlarının yaklaşık yarısını kapsamaktadır (Tunahan, 2010: 205). </w:t>
      </w:r>
    </w:p>
    <w:p w:rsidR="00016B88" w:rsidRDefault="00016B88" w:rsidP="00675CD0">
      <w:pPr>
        <w:pStyle w:val="ListeParagraf"/>
        <w:tabs>
          <w:tab w:val="left" w:pos="0"/>
        </w:tabs>
        <w:spacing w:before="240" w:after="240" w:line="360" w:lineRule="auto"/>
        <w:ind w:left="0"/>
        <w:jc w:val="both"/>
        <w:rPr>
          <w:bCs/>
        </w:rPr>
      </w:pPr>
      <w:r>
        <w:rPr>
          <w:bCs/>
        </w:rPr>
        <w:tab/>
        <w:t xml:space="preserve">EU ETS ülkeleri sorumluluklarını yerine getirdiklerinde CDM ve JI projelerinden kazanılan emisyon sertifikalarını kullanabilmektedir. EU ETS’deki bu olanaklar likiditelerinin artmasına, emisyon sertifika fiyatlarının düşmesine ve CDM ve </w:t>
      </w:r>
      <w:r>
        <w:rPr>
          <w:bCs/>
        </w:rPr>
        <w:lastRenderedPageBreak/>
        <w:t>JI projelerinde ev sahibi ülkelerin sürdürebilir kalkınmasını güçlendirmektedir (Freestone ve Streck</w:t>
      </w:r>
      <w:r w:rsidR="00DF493D">
        <w:rPr>
          <w:bCs/>
        </w:rPr>
        <w:t>, 2005: 429).</w:t>
      </w:r>
    </w:p>
    <w:p w:rsidR="006B7977" w:rsidRDefault="006B7977" w:rsidP="00675CD0">
      <w:pPr>
        <w:pStyle w:val="ListeParagraf"/>
        <w:tabs>
          <w:tab w:val="left" w:pos="0"/>
        </w:tabs>
        <w:spacing w:before="240" w:after="240" w:line="360" w:lineRule="auto"/>
        <w:ind w:left="0"/>
        <w:jc w:val="both"/>
        <w:rPr>
          <w:bCs/>
        </w:rPr>
      </w:pPr>
      <w:r>
        <w:rPr>
          <w:bCs/>
        </w:rPr>
        <w:tab/>
        <w:t>AB ETS fosil yakıtlardan kaynaklanan CO</w:t>
      </w:r>
      <w:r>
        <w:rPr>
          <w:bCs/>
          <w:vertAlign w:val="subscript"/>
        </w:rPr>
        <w:t>2</w:t>
      </w:r>
      <w:r>
        <w:rPr>
          <w:bCs/>
        </w:rPr>
        <w:t xml:space="preserve"> emisyonlarının en az maliyetle azaltılmasını ve sınırlandırılmasını sağlayarak, üye ülkelerin KP kapsamındaki taahhütlerini gerçekleştirmek için kurulmuştur. 27 AB ülkesinde yaklaşık 12.000’in üzerinde işletmeyi kapsayan AB ETS dünyanın ilk büyük ölçekli Emisyon Ticaret Sistemi olarak kabul edilmektedir (Ellerman, 2008: 3; Çelikkol ve Özkan, 2011: 211).</w:t>
      </w:r>
    </w:p>
    <w:p w:rsidR="00CE0AF1" w:rsidRDefault="00CE0AF1" w:rsidP="00675CD0">
      <w:pPr>
        <w:pStyle w:val="ListeParagraf"/>
        <w:tabs>
          <w:tab w:val="left" w:pos="0"/>
        </w:tabs>
        <w:spacing w:before="240" w:after="240" w:line="360" w:lineRule="auto"/>
        <w:ind w:left="0"/>
        <w:jc w:val="both"/>
        <w:rPr>
          <w:bCs/>
        </w:rPr>
      </w:pPr>
      <w:r>
        <w:rPr>
          <w:bCs/>
        </w:rPr>
        <w:tab/>
        <w:t>EU ET</w:t>
      </w:r>
      <w:r w:rsidR="0046553E">
        <w:rPr>
          <w:bCs/>
        </w:rPr>
        <w:t xml:space="preserve">S 1 Ocak 2005 tarihinde başlamış olan üç dönem bulunmaktadır. 2005-2007 birinci dönem (1. </w:t>
      </w:r>
      <w:r w:rsidR="00316412">
        <w:rPr>
          <w:bCs/>
        </w:rPr>
        <w:t>f</w:t>
      </w:r>
      <w:r w:rsidR="0046553E">
        <w:rPr>
          <w:bCs/>
        </w:rPr>
        <w:t xml:space="preserve">az), 2008-2012 ikinci dönem (2. </w:t>
      </w:r>
      <w:r w:rsidR="00316412">
        <w:rPr>
          <w:bCs/>
        </w:rPr>
        <w:t>f</w:t>
      </w:r>
      <w:r w:rsidR="0046553E">
        <w:rPr>
          <w:bCs/>
        </w:rPr>
        <w:t>az) ve 2013-2020 dönemi (3. faz) olarak adlandırılmaktadır. KP yürürlüğe girmeden önce başlayan EU ETS ilk taahhüt dönemi olan 2008-2012 yılında kadar sistemle ilgili fizibilite çalışmaları yapılmıştır.</w:t>
      </w:r>
    </w:p>
    <w:p w:rsidR="009E5FAB" w:rsidRDefault="0046553E" w:rsidP="00675CD0">
      <w:pPr>
        <w:pStyle w:val="ListeParagraf"/>
        <w:tabs>
          <w:tab w:val="left" w:pos="0"/>
        </w:tabs>
        <w:spacing w:before="240" w:after="240" w:line="360" w:lineRule="auto"/>
        <w:ind w:left="0"/>
        <w:jc w:val="both"/>
        <w:rPr>
          <w:bCs/>
        </w:rPr>
      </w:pPr>
      <w:r>
        <w:rPr>
          <w:bCs/>
        </w:rPr>
        <w:tab/>
        <w:t xml:space="preserve">EU ETS’nin birinci döneminde ulusal tahsisat planları çok esnektir. </w:t>
      </w:r>
      <w:r w:rsidR="008032CE">
        <w:rPr>
          <w:bCs/>
        </w:rPr>
        <w:t>Kyoto mekanizmasınca e</w:t>
      </w:r>
      <w:r>
        <w:rPr>
          <w:bCs/>
        </w:rPr>
        <w:t>misyon</w:t>
      </w:r>
      <w:r w:rsidR="008032CE">
        <w:rPr>
          <w:bCs/>
        </w:rPr>
        <w:t xml:space="preserve"> salma hakkının verildiği </w:t>
      </w:r>
      <w:r w:rsidR="00C46FC8">
        <w:rPr>
          <w:bCs/>
        </w:rPr>
        <w:t>sertifikaların (EUA) büyük bir kısmı ücretsiz olarak dağıtılmı</w:t>
      </w:r>
      <w:r w:rsidR="00483988">
        <w:rPr>
          <w:bCs/>
        </w:rPr>
        <w:t>ştır. Bu dönemde sera gazlarından</w:t>
      </w:r>
      <w:r w:rsidR="00C46FC8">
        <w:rPr>
          <w:bCs/>
        </w:rPr>
        <w:t xml:space="preserve"> sadece CO</w:t>
      </w:r>
      <w:r w:rsidR="00C46FC8">
        <w:rPr>
          <w:bCs/>
          <w:vertAlign w:val="subscript"/>
        </w:rPr>
        <w:t>2</w:t>
      </w:r>
      <w:r w:rsidR="00C46FC8">
        <w:rPr>
          <w:bCs/>
        </w:rPr>
        <w:t xml:space="preserve"> için taahhüt istenmiştir (Arı, 2010: 84). Bu taahhütlerin yerine getirilmemesi cezası ton başına 40 Avro olarak belirlenmiştir (Karakaya, 2008: 5).</w:t>
      </w:r>
      <w:r w:rsidR="00181650">
        <w:rPr>
          <w:bCs/>
        </w:rPr>
        <w:t xml:space="preserve"> </w:t>
      </w:r>
      <w:r w:rsidR="009E5FAB">
        <w:rPr>
          <w:bCs/>
        </w:rPr>
        <w:t xml:space="preserve">Ulusal tahsisat planlarına göre dağıtılan EUA’ların %90’ı ücretsiz, yüzde 10’u açık arttırma ile dağıtılmıştır. Bu esneklikler, emisyon sertifikası fiyatlarında dengesiz hareketlerin meydana gelmesine sebep olmuştur. </w:t>
      </w:r>
      <w:r w:rsidR="00DD300E">
        <w:rPr>
          <w:bCs/>
        </w:rPr>
        <w:t>Bu döneme büyük eleştiriler de olmasına rağmen AB komisyonu hem bir deneyim sahibi olmuş hem de 2. faz için bir adaptasyon dönemi olmuştur (Ellerman, 2008: 11).</w:t>
      </w:r>
    </w:p>
    <w:p w:rsidR="0046553E" w:rsidRDefault="00532FA8" w:rsidP="00675CD0">
      <w:pPr>
        <w:pStyle w:val="ListeParagraf"/>
        <w:tabs>
          <w:tab w:val="left" w:pos="0"/>
        </w:tabs>
        <w:spacing w:before="240" w:after="240" w:line="360" w:lineRule="auto"/>
        <w:ind w:left="0"/>
        <w:jc w:val="both"/>
        <w:rPr>
          <w:bCs/>
        </w:rPr>
      </w:pPr>
      <w:r>
        <w:rPr>
          <w:bCs/>
        </w:rPr>
        <w:tab/>
      </w:r>
      <w:r w:rsidR="009E5FAB">
        <w:rPr>
          <w:bCs/>
        </w:rPr>
        <w:t xml:space="preserve">EU ETS ikinci dönemde (2008-2012) veriler daha iyi derlenmiş ve izleme sistemleri daha iyi denetlenmiştir. EU ETS’ye üye ülkeler kendi sorumluluklarını yerine getirmek için Avrupa Konseyine savunma verme yükümlülüğü altına girmişlerdir. Bu dönemde </w:t>
      </w:r>
      <w:r w:rsidR="00120FF9">
        <w:rPr>
          <w:bCs/>
        </w:rPr>
        <w:t xml:space="preserve">2005 yılına göre emisyonlar % </w:t>
      </w:r>
      <w:proofErr w:type="gramStart"/>
      <w:r w:rsidR="00120FF9">
        <w:rPr>
          <w:bCs/>
        </w:rPr>
        <w:t>6.</w:t>
      </w:r>
      <w:r w:rsidR="009E5FAB">
        <w:rPr>
          <w:bCs/>
        </w:rPr>
        <w:t>5</w:t>
      </w:r>
      <w:proofErr w:type="gramEnd"/>
      <w:r w:rsidR="009E5FAB">
        <w:rPr>
          <w:bCs/>
        </w:rPr>
        <w:t xml:space="preserve"> oranında azaltmayı hedeflemiştir.</w:t>
      </w:r>
      <w:r w:rsidR="00847AAA">
        <w:rPr>
          <w:bCs/>
        </w:rPr>
        <w:t xml:space="preserve"> Doğu Avrupa’nın Bulgaristan, Romanya, Letonya, Litvanya, Estonya, Slovakya ve Polonya gibi ülkelerin emisyon azaltım yüklerinde 2. fazdan 1. faza göre biraz fazladır (Ellerman, 2008: 19-20).</w:t>
      </w:r>
      <w:r w:rsidR="009E5FAB">
        <w:rPr>
          <w:bCs/>
        </w:rPr>
        <w:t xml:space="preserve"> 27 ülkenin</w:t>
      </w:r>
      <w:r w:rsidR="0046553E">
        <w:rPr>
          <w:bCs/>
        </w:rPr>
        <w:t xml:space="preserve"> </w:t>
      </w:r>
      <w:r w:rsidR="009E5FAB">
        <w:rPr>
          <w:bCs/>
        </w:rPr>
        <w:t>katıldığı bu dönemde</w:t>
      </w:r>
      <w:r>
        <w:rPr>
          <w:bCs/>
        </w:rPr>
        <w:t xml:space="preserve"> EUA sertifika</w:t>
      </w:r>
      <w:r w:rsidR="00847AAA">
        <w:rPr>
          <w:bCs/>
        </w:rPr>
        <w:t>la</w:t>
      </w:r>
      <w:r>
        <w:rPr>
          <w:bCs/>
        </w:rPr>
        <w:t>rı bir önceki döneme göre daha sıkı dağıtılarak fiyatların dengeli bir seyir izleyebileceği düşünülmüştür(Arı, 2010:</w:t>
      </w:r>
      <w:r w:rsidR="00847AAA">
        <w:rPr>
          <w:bCs/>
        </w:rPr>
        <w:t xml:space="preserve"> </w:t>
      </w:r>
      <w:r>
        <w:rPr>
          <w:bCs/>
        </w:rPr>
        <w:t xml:space="preserve">85). Yine bu dönemde taahhütlerin yerine getirilmemesi </w:t>
      </w:r>
      <w:r>
        <w:rPr>
          <w:bCs/>
        </w:rPr>
        <w:lastRenderedPageBreak/>
        <w:t>cezası 100 Avro olarak kararlaştırılmıştır (Karakaya, 2008: 5). Avrupa Komisyonu bu dönemdeki Kyoto taahhütlerini yerine getirmesi maliyetini %35 oranında düşür</w:t>
      </w:r>
      <w:r w:rsidR="00120FF9">
        <w:rPr>
          <w:bCs/>
        </w:rPr>
        <w:t xml:space="preserve">meyi ve 2. Fazın sonuna kadar </w:t>
      </w:r>
      <w:proofErr w:type="gramStart"/>
      <w:r w:rsidR="00120FF9">
        <w:rPr>
          <w:bCs/>
        </w:rPr>
        <w:t>1.</w:t>
      </w:r>
      <w:r>
        <w:rPr>
          <w:bCs/>
        </w:rPr>
        <w:t>3</w:t>
      </w:r>
      <w:proofErr w:type="gramEnd"/>
      <w:r>
        <w:rPr>
          <w:bCs/>
        </w:rPr>
        <w:t xml:space="preserve"> milyar Avro kazanç elde etmeyi hedeflemiştir (Freestone and Streck, 2005: 418).</w:t>
      </w:r>
    </w:p>
    <w:p w:rsidR="00850962" w:rsidRDefault="00A45B3D" w:rsidP="00850962">
      <w:pPr>
        <w:pStyle w:val="ListeParagraf"/>
        <w:tabs>
          <w:tab w:val="left" w:pos="0"/>
        </w:tabs>
        <w:spacing w:before="240" w:after="240" w:line="360" w:lineRule="auto"/>
        <w:ind w:left="0"/>
        <w:jc w:val="both"/>
      </w:pPr>
      <w:r>
        <w:rPr>
          <w:bCs/>
        </w:rPr>
        <w:tab/>
        <w:t xml:space="preserve">AB parlamentosu EU ETS ile 3. fazın (2013-2020) sonuna kadar </w:t>
      </w:r>
      <w:r w:rsidR="003463A8">
        <w:rPr>
          <w:bCs/>
        </w:rPr>
        <w:t>sera gazı</w:t>
      </w:r>
      <w:r>
        <w:rPr>
          <w:bCs/>
        </w:rPr>
        <w:t xml:space="preserve"> emisyonlarını 1990 yılına göre yüzde 20 azaltmayı hedeflemektedir. Bu dönemdeki emisyon tahsisatlarının %50’sini açık arttırma ile dağıtmayı planlamaktadır. </w:t>
      </w:r>
      <w:r w:rsidR="00D44B62">
        <w:rPr>
          <w:bCs/>
        </w:rPr>
        <w:t>Ayrıca 2020 yılındaki emisyonların, 2005 yılındaki emisyon miktarlarına göre %21 oranında azaltacağını taahhüt etmiştir (</w:t>
      </w:r>
      <w:r w:rsidR="00E96FCE">
        <w:rPr>
          <w:bCs/>
        </w:rPr>
        <w:t>Ellerman, 2008: 18-19</w:t>
      </w:r>
      <w:r w:rsidR="00D44B62">
        <w:rPr>
          <w:bCs/>
        </w:rPr>
        <w:t>).</w:t>
      </w:r>
      <w:r w:rsidR="00850962">
        <w:rPr>
          <w:bCs/>
        </w:rPr>
        <w:t xml:space="preserve"> </w:t>
      </w:r>
      <w:r w:rsidR="00850962">
        <w:t>Ayrıca AB b</w:t>
      </w:r>
      <w:r w:rsidR="00CC4053">
        <w:t xml:space="preserve">u 3. </w:t>
      </w:r>
      <w:proofErr w:type="gramStart"/>
      <w:r w:rsidR="00CC4053">
        <w:t>fazda  enerjisinin</w:t>
      </w:r>
      <w:proofErr w:type="gramEnd"/>
      <w:r w:rsidR="00CC4053">
        <w:t xml:space="preserve"> %</w:t>
      </w:r>
      <w:r w:rsidR="00850962">
        <w:t>20’sinin yenilenebilir kaynaklardan temin edilmesi ve enerji kullanımını %20 azaltmayı da hedeflemiştir (Mercan 2013: 104).</w:t>
      </w:r>
    </w:p>
    <w:p w:rsidR="00850962" w:rsidRPr="00850962" w:rsidRDefault="00EB7079" w:rsidP="00850962">
      <w:pPr>
        <w:pStyle w:val="ListeParagraf"/>
        <w:tabs>
          <w:tab w:val="left" w:pos="0"/>
        </w:tabs>
        <w:spacing w:before="240" w:after="240" w:line="360" w:lineRule="auto"/>
        <w:ind w:left="0"/>
        <w:jc w:val="both"/>
        <w:rPr>
          <w:bCs/>
        </w:rPr>
      </w:pPr>
      <w:r>
        <w:tab/>
      </w:r>
      <w:r w:rsidR="00C93671">
        <w:t>Yine bu 3. fazda</w:t>
      </w:r>
      <w:r w:rsidR="00850962">
        <w:t xml:space="preserve"> CDM ve JI projelerine </w:t>
      </w:r>
      <w:r w:rsidR="00C93671">
        <w:t>tüm dünya ülkeleri eklenerek</w:t>
      </w:r>
      <w:r w:rsidR="00850962">
        <w:t xml:space="preserve"> gelecekte imzalanacak küresel iklim değişikliği anlaşması için altyapı oluşturmakta hedeflenmektedir (EC, </w:t>
      </w:r>
      <w:proofErr w:type="gramStart"/>
      <w:r w:rsidR="00850962">
        <w:t>2009:12</w:t>
      </w:r>
      <w:proofErr w:type="gramEnd"/>
      <w:r w:rsidR="00850962">
        <w:t xml:space="preserve">). </w:t>
      </w:r>
      <w:r w:rsidR="00820D0A">
        <w:t xml:space="preserve">2013 yılından itibaren EU ETS’nin alanı genişletilerek hayvancılık, petrokimya üretimi ve alüminyum gibi sektörler sisteme dahil </w:t>
      </w:r>
      <w:proofErr w:type="gramStart"/>
      <w:r w:rsidR="00820D0A">
        <w:t xml:space="preserve">edilmesi </w:t>
      </w:r>
      <w:r w:rsidR="00850962">
        <w:t xml:space="preserve"> </w:t>
      </w:r>
      <w:r w:rsidR="00820D0A">
        <w:t>planlanmaktadır</w:t>
      </w:r>
      <w:proofErr w:type="gramEnd"/>
      <w:r w:rsidR="00820D0A">
        <w:t>. Yapılan bu düzenlemelerle</w:t>
      </w:r>
      <w:r w:rsidR="00850962">
        <w:t xml:space="preserve"> 2013 yılından itibaren yıllık 120-130 milyon ton CO</w:t>
      </w:r>
      <w:r w:rsidR="00850962" w:rsidRPr="00A5724E">
        <w:rPr>
          <w:vertAlign w:val="subscript"/>
        </w:rPr>
        <w:t>2</w:t>
      </w:r>
      <w:r w:rsidR="004D644E">
        <w:rPr>
          <w:vertAlign w:val="subscript"/>
        </w:rPr>
        <w:t xml:space="preserve"> </w:t>
      </w:r>
      <w:r w:rsidR="00850962">
        <w:t>emisyonu azaltarak toplam AB sera gazı emisyonu içinde EU ETS’nin kapsamı % 40’tan % 43’e çıkarılabilecektir (EC, 2009:</w:t>
      </w:r>
      <w:r w:rsidR="00820D0A">
        <w:t xml:space="preserve"> </w:t>
      </w:r>
      <w:r w:rsidR="00850962">
        <w:t>13).</w:t>
      </w:r>
      <w:r w:rsidR="006D7BF1">
        <w:t xml:space="preserve"> Ellerman’a (2008: 20) göre </w:t>
      </w:r>
      <w:r w:rsidR="00BF06D3">
        <w:t>1.</w:t>
      </w:r>
      <w:r w:rsidR="006D7BF1">
        <w:t xml:space="preserve"> ve </w:t>
      </w:r>
      <w:r w:rsidR="00BF06D3">
        <w:t>2.</w:t>
      </w:r>
      <w:r w:rsidR="006D7BF1">
        <w:t xml:space="preserve"> fazda ücretsiz dağıtılan permilerin 3. </w:t>
      </w:r>
      <w:r w:rsidR="00BF06D3">
        <w:t>f</w:t>
      </w:r>
      <w:r w:rsidR="006D7BF1">
        <w:t xml:space="preserve">azda dağıtılmayacağı ve AB içindeki Almanya, İngiltere ve Fransa gibi sanayileşmiş ülkeler Romanya ve Bulgaristan gibi ülkelerden permi satın alacaklardır. Açık arttırmayla satılacak olan bu permiler AB içindeki bu emisyon </w:t>
      </w:r>
      <w:r w:rsidR="00ED561E">
        <w:t>pazarını daha sürdürülebilir hale getirecektir.</w:t>
      </w:r>
    </w:p>
    <w:p w:rsidR="008E7F22" w:rsidRPr="00E74821" w:rsidRDefault="00E74821" w:rsidP="0031716B">
      <w:pPr>
        <w:pStyle w:val="Balk3"/>
        <w:numPr>
          <w:ilvl w:val="0"/>
          <w:numId w:val="0"/>
        </w:numPr>
      </w:pPr>
      <w:bookmarkStart w:id="149" w:name="_Toc384824010"/>
      <w:r>
        <w:t xml:space="preserve">2.2.2. </w:t>
      </w:r>
      <w:r w:rsidR="008E7F22" w:rsidRPr="00E74821">
        <w:t>Gönüllü Karbon Piyasaları</w:t>
      </w:r>
      <w:bookmarkEnd w:id="149"/>
    </w:p>
    <w:p w:rsidR="00A153F3" w:rsidRDefault="008277B3" w:rsidP="00C80023">
      <w:pPr>
        <w:shd w:val="clear" w:color="auto" w:fill="FFFFFF"/>
        <w:spacing w:before="240" w:after="240" w:line="360" w:lineRule="auto"/>
        <w:ind w:firstLine="708"/>
        <w:jc w:val="both"/>
        <w:textAlignment w:val="baseline"/>
        <w:rPr>
          <w:bCs/>
        </w:rPr>
      </w:pPr>
      <w:r w:rsidRPr="008277B3">
        <w:rPr>
          <w:bCs/>
        </w:rPr>
        <w:t>Gönüllü karbon piyasası</w:t>
      </w:r>
      <w:r>
        <w:rPr>
          <w:bCs/>
        </w:rPr>
        <w:t>;</w:t>
      </w:r>
      <w:r w:rsidRPr="008277B3">
        <w:rPr>
          <w:bCs/>
        </w:rPr>
        <w:t xml:space="preserve"> bireylerin, kurum ve kuruluşların, sivil toplum ö</w:t>
      </w:r>
      <w:r>
        <w:rPr>
          <w:bCs/>
        </w:rPr>
        <w:t xml:space="preserve">rgütlerinin faaliyetleri sonucunda meydana gelen </w:t>
      </w:r>
      <w:r w:rsidR="003463A8">
        <w:rPr>
          <w:bCs/>
        </w:rPr>
        <w:t>sera gazı</w:t>
      </w:r>
      <w:r>
        <w:rPr>
          <w:bCs/>
        </w:rPr>
        <w:t xml:space="preserve"> emisyonlarını</w:t>
      </w:r>
      <w:r w:rsidRPr="008277B3">
        <w:rPr>
          <w:bCs/>
        </w:rPr>
        <w:t xml:space="preserve"> gönüllü olarak azaltmalarını ve denkleştirmelerini kolaylaştırmak </w:t>
      </w:r>
      <w:r w:rsidR="003F1E15">
        <w:rPr>
          <w:bCs/>
        </w:rPr>
        <w:t>için kurulmuş piyasalardır</w:t>
      </w:r>
      <w:r w:rsidR="0079048B">
        <w:rPr>
          <w:rStyle w:val="DipnotBavurusu"/>
          <w:bCs/>
        </w:rPr>
        <w:footnoteReference w:id="37"/>
      </w:r>
      <w:r w:rsidR="003F1E15">
        <w:rPr>
          <w:bCs/>
        </w:rPr>
        <w:t xml:space="preserve">. </w:t>
      </w:r>
      <w:r w:rsidR="00A153F3">
        <w:rPr>
          <w:bCs/>
        </w:rPr>
        <w:t>Bu piyasalarda uluslararası hukuki bir taahhütten bağımsız olarak gönüllülük esasına göre emisyon azaltımı yapılmaktadır</w:t>
      </w:r>
      <w:r w:rsidR="000B1C13">
        <w:rPr>
          <w:bCs/>
        </w:rPr>
        <w:t xml:space="preserve">. Gönüllü emisyon ticaretinde yer alan taraflar, hükümet politikaları ve hedeflerinden bağımsız olarak </w:t>
      </w:r>
      <w:r w:rsidR="003463A8">
        <w:rPr>
          <w:bCs/>
        </w:rPr>
        <w:t>sera gazı</w:t>
      </w:r>
      <w:r w:rsidR="000B1C13">
        <w:rPr>
          <w:bCs/>
        </w:rPr>
        <w:t xml:space="preserve"> emisyonlarını azaltmayı ve/veya denkleştirmeyi hedeflemektedirler</w:t>
      </w:r>
      <w:r w:rsidR="00A153F3">
        <w:rPr>
          <w:bCs/>
        </w:rPr>
        <w:t xml:space="preserve"> (Arı, 2010: 66).</w:t>
      </w:r>
    </w:p>
    <w:p w:rsidR="008277B3" w:rsidRPr="008277B3" w:rsidRDefault="00A153F3" w:rsidP="00C80023">
      <w:pPr>
        <w:shd w:val="clear" w:color="auto" w:fill="FFFFFF"/>
        <w:spacing w:before="240" w:after="240" w:line="360" w:lineRule="auto"/>
        <w:ind w:firstLine="708"/>
        <w:jc w:val="both"/>
        <w:textAlignment w:val="baseline"/>
        <w:rPr>
          <w:bCs/>
        </w:rPr>
      </w:pPr>
      <w:r>
        <w:rPr>
          <w:bCs/>
        </w:rPr>
        <w:lastRenderedPageBreak/>
        <w:t>Gönüllü karbon</w:t>
      </w:r>
      <w:r w:rsidR="003F1E15">
        <w:rPr>
          <w:bCs/>
        </w:rPr>
        <w:t xml:space="preserve"> piyasalardaki işleyiş</w:t>
      </w:r>
      <w:r w:rsidR="008277B3" w:rsidRPr="008277B3">
        <w:rPr>
          <w:bCs/>
        </w:rPr>
        <w:t>, Kyoto Protokolü kapsamında zorunlu olarak uygulanan Esneklik Mekanizmalarına benze</w:t>
      </w:r>
      <w:r w:rsidR="003F1E15">
        <w:rPr>
          <w:bCs/>
        </w:rPr>
        <w:t>yen bi</w:t>
      </w:r>
      <w:r w:rsidR="008277B3" w:rsidRPr="008277B3">
        <w:rPr>
          <w:bCs/>
        </w:rPr>
        <w:t>r</w:t>
      </w:r>
      <w:r w:rsidR="003F1E15">
        <w:rPr>
          <w:bCs/>
        </w:rPr>
        <w:t xml:space="preserve"> işleyiştir</w:t>
      </w:r>
      <w:r w:rsidR="008277B3" w:rsidRPr="008277B3">
        <w:rPr>
          <w:bCs/>
        </w:rPr>
        <w:t xml:space="preserve">. Gönüllü karbon piyasasını Kyoto Protokolü kapsamındaki zorunlu süreçlerden ayıran en önemli fark, işlem gören </w:t>
      </w:r>
      <w:r w:rsidR="003F1E15">
        <w:rPr>
          <w:bCs/>
        </w:rPr>
        <w:t>emisyon</w:t>
      </w:r>
      <w:r w:rsidR="008277B3" w:rsidRPr="008277B3">
        <w:rPr>
          <w:bCs/>
        </w:rPr>
        <w:t xml:space="preserve"> azaltımlarının ulusal yükümlülük kapsamı dışında </w:t>
      </w:r>
      <w:r w:rsidR="006553CA">
        <w:rPr>
          <w:bCs/>
        </w:rPr>
        <w:t>gerçekleşmesidir. Gönüllü karbon piyasaları devletin belirlediği politikalardan farklı olarak gönüllülük esasına dayanmaktadır. Ayrıca, bir k</w:t>
      </w:r>
      <w:r w:rsidR="008277B3" w:rsidRPr="008277B3">
        <w:rPr>
          <w:bCs/>
        </w:rPr>
        <w:t>atılım için herhangi bir sınırlama yoktur.</w:t>
      </w:r>
      <w:r w:rsidR="006553CA">
        <w:rPr>
          <w:bCs/>
        </w:rPr>
        <w:t xml:space="preserve"> Günümüzde gönüllü karbon ticareti, Kyoto Protokolü</w:t>
      </w:r>
      <w:r w:rsidR="008277B3" w:rsidRPr="008277B3">
        <w:rPr>
          <w:bCs/>
        </w:rPr>
        <w:t xml:space="preserve"> kapsamına girmeyen sektörler ve ülkelerde geçerlidir.</w:t>
      </w:r>
      <w:r w:rsidR="006553CA">
        <w:rPr>
          <w:bCs/>
        </w:rPr>
        <w:t xml:space="preserve"> Gönüllü karbon piyasalarında işleyen süreç,</w:t>
      </w:r>
      <w:r w:rsidR="008277B3" w:rsidRPr="008277B3">
        <w:rPr>
          <w:bCs/>
        </w:rPr>
        <w:t xml:space="preserve"> yasal yaptırımlardan farklı olarak</w:t>
      </w:r>
      <w:r w:rsidR="00EC70E1">
        <w:rPr>
          <w:rStyle w:val="DipnotBavurusu"/>
          <w:bCs/>
        </w:rPr>
        <w:footnoteReference w:id="38"/>
      </w:r>
      <w:r w:rsidR="008277B3" w:rsidRPr="008277B3">
        <w:rPr>
          <w:bCs/>
        </w:rPr>
        <w:t>;</w:t>
      </w:r>
    </w:p>
    <w:p w:rsidR="008277B3" w:rsidRPr="002D101E" w:rsidRDefault="003F1E15" w:rsidP="00CC4053">
      <w:pPr>
        <w:pStyle w:val="ListeParagraf"/>
        <w:numPr>
          <w:ilvl w:val="0"/>
          <w:numId w:val="16"/>
        </w:numPr>
        <w:tabs>
          <w:tab w:val="clear" w:pos="720"/>
          <w:tab w:val="left" w:pos="284"/>
        </w:tabs>
        <w:spacing w:before="120" w:after="120" w:line="360" w:lineRule="auto"/>
        <w:ind w:left="0" w:firstLine="0"/>
        <w:jc w:val="both"/>
        <w:textAlignment w:val="baseline"/>
        <w:rPr>
          <w:bCs/>
        </w:rPr>
      </w:pPr>
      <w:r>
        <w:rPr>
          <w:bCs/>
        </w:rPr>
        <w:t>İ</w:t>
      </w:r>
      <w:r w:rsidR="008277B3" w:rsidRPr="002D101E">
        <w:rPr>
          <w:bCs/>
        </w:rPr>
        <w:t>klim değişikliğinin etkilerinin azaltılması için istekli olmak (çevreci duyarlılık),</w:t>
      </w:r>
    </w:p>
    <w:p w:rsidR="008277B3" w:rsidRPr="008277B3" w:rsidRDefault="003F1E15" w:rsidP="00CC4053">
      <w:pPr>
        <w:numPr>
          <w:ilvl w:val="0"/>
          <w:numId w:val="16"/>
        </w:numPr>
        <w:tabs>
          <w:tab w:val="clear" w:pos="720"/>
          <w:tab w:val="num" w:pos="284"/>
        </w:tabs>
        <w:spacing w:before="120" w:after="120" w:line="360" w:lineRule="auto"/>
        <w:ind w:left="225" w:hanging="225"/>
        <w:jc w:val="both"/>
        <w:textAlignment w:val="baseline"/>
        <w:rPr>
          <w:bCs/>
        </w:rPr>
      </w:pPr>
      <w:r>
        <w:rPr>
          <w:bCs/>
        </w:rPr>
        <w:t>K</w:t>
      </w:r>
      <w:r w:rsidR="008277B3" w:rsidRPr="008277B3">
        <w:rPr>
          <w:bCs/>
        </w:rPr>
        <w:t>amu yararı için finans sağlama konusunda yenilikçi yaklaşımlar içerisinde olmak,</w:t>
      </w:r>
    </w:p>
    <w:p w:rsidR="008277B3" w:rsidRPr="008277B3" w:rsidRDefault="003F1E15" w:rsidP="00CC4053">
      <w:pPr>
        <w:numPr>
          <w:ilvl w:val="0"/>
          <w:numId w:val="16"/>
        </w:numPr>
        <w:tabs>
          <w:tab w:val="clear" w:pos="720"/>
          <w:tab w:val="num" w:pos="284"/>
        </w:tabs>
        <w:spacing w:before="120" w:after="120" w:line="360" w:lineRule="auto"/>
        <w:ind w:left="225" w:hanging="225"/>
        <w:jc w:val="both"/>
        <w:textAlignment w:val="baseline"/>
        <w:rPr>
          <w:bCs/>
        </w:rPr>
      </w:pPr>
      <w:r>
        <w:rPr>
          <w:bCs/>
        </w:rPr>
        <w:t>P</w:t>
      </w:r>
      <w:r w:rsidR="008277B3" w:rsidRPr="008277B3">
        <w:rPr>
          <w:bCs/>
        </w:rPr>
        <w:t>aydaşlar ile ilişkileri güçlendirmek,</w:t>
      </w:r>
    </w:p>
    <w:p w:rsidR="008277B3" w:rsidRPr="008277B3" w:rsidRDefault="003F1E15" w:rsidP="00CC4053">
      <w:pPr>
        <w:numPr>
          <w:ilvl w:val="0"/>
          <w:numId w:val="16"/>
        </w:numPr>
        <w:tabs>
          <w:tab w:val="clear" w:pos="720"/>
          <w:tab w:val="num" w:pos="284"/>
        </w:tabs>
        <w:spacing w:before="120" w:after="120" w:line="360" w:lineRule="auto"/>
        <w:ind w:left="225" w:hanging="225"/>
        <w:jc w:val="both"/>
        <w:textAlignment w:val="baseline"/>
        <w:rPr>
          <w:bCs/>
        </w:rPr>
      </w:pPr>
      <w:r>
        <w:rPr>
          <w:bCs/>
        </w:rPr>
        <w:t>U</w:t>
      </w:r>
      <w:r w:rsidR="008277B3" w:rsidRPr="008277B3">
        <w:rPr>
          <w:bCs/>
        </w:rPr>
        <w:t>lusal ve bölgesel yükümlülükler ve planlamalar için hazırlanıyor olmak,</w:t>
      </w:r>
    </w:p>
    <w:p w:rsidR="008277B3" w:rsidRPr="008277B3" w:rsidRDefault="003F1E15" w:rsidP="00CC4053">
      <w:pPr>
        <w:numPr>
          <w:ilvl w:val="0"/>
          <w:numId w:val="16"/>
        </w:numPr>
        <w:tabs>
          <w:tab w:val="clear" w:pos="720"/>
          <w:tab w:val="num" w:pos="284"/>
        </w:tabs>
        <w:spacing w:before="120" w:after="120" w:line="360" w:lineRule="auto"/>
        <w:ind w:left="225" w:hanging="225"/>
        <w:jc w:val="both"/>
        <w:textAlignment w:val="baseline"/>
        <w:rPr>
          <w:bCs/>
        </w:rPr>
      </w:pPr>
      <w:r>
        <w:rPr>
          <w:bCs/>
        </w:rPr>
        <w:t>K</w:t>
      </w:r>
      <w:r w:rsidR="008277B3" w:rsidRPr="008277B3">
        <w:rPr>
          <w:bCs/>
        </w:rPr>
        <w:t>arbon kredilerinin tekrar satılmasıyla kar elde etmek,</w:t>
      </w:r>
    </w:p>
    <w:p w:rsidR="008277B3" w:rsidRPr="008277B3" w:rsidRDefault="003F1E15" w:rsidP="00CC4053">
      <w:pPr>
        <w:numPr>
          <w:ilvl w:val="0"/>
          <w:numId w:val="16"/>
        </w:numPr>
        <w:tabs>
          <w:tab w:val="clear" w:pos="720"/>
          <w:tab w:val="num" w:pos="284"/>
        </w:tabs>
        <w:spacing w:before="120" w:after="120" w:line="360" w:lineRule="auto"/>
        <w:ind w:left="225" w:hanging="225"/>
        <w:jc w:val="both"/>
        <w:textAlignment w:val="baseline"/>
        <w:rPr>
          <w:bCs/>
        </w:rPr>
      </w:pPr>
      <w:r>
        <w:rPr>
          <w:bCs/>
        </w:rPr>
        <w:t>Y</w:t>
      </w:r>
      <w:r w:rsidR="008277B3" w:rsidRPr="008277B3">
        <w:rPr>
          <w:bCs/>
        </w:rPr>
        <w:t>enilenebilir enerji ve enerji verimliliği programlarının birleştirilmesi gibi amaçlar için geliştirilmektedir.</w:t>
      </w:r>
    </w:p>
    <w:p w:rsidR="00FF5611" w:rsidRPr="000B1C13" w:rsidRDefault="000B1C13" w:rsidP="00C80023">
      <w:pPr>
        <w:spacing w:before="240" w:after="240" w:line="360" w:lineRule="auto"/>
        <w:ind w:firstLine="708"/>
        <w:jc w:val="both"/>
        <w:rPr>
          <w:bCs/>
        </w:rPr>
      </w:pPr>
      <w:r>
        <w:rPr>
          <w:bCs/>
        </w:rPr>
        <w:t xml:space="preserve">Hukuki olarak </w:t>
      </w:r>
      <w:r w:rsidR="003463A8">
        <w:rPr>
          <w:bCs/>
        </w:rPr>
        <w:t>sera gazı</w:t>
      </w:r>
      <w:r w:rsidR="00C80023">
        <w:rPr>
          <w:bCs/>
        </w:rPr>
        <w:t xml:space="preserve"> emisyon azaltımında bulunamayan gönüllü karbon piyasaları, gönüllü piyasadan alınan emisyon sertifikaları ülkelerin Kyoto Protokolü kapsamındaki taahhütleri karşılamada kullanılmamaktadır. Bu nedenle gönüllü emisyon sertifikalarının (VER) fiyatı, Kyoto Protokolü Mekanizmasının al</w:t>
      </w:r>
      <w:r w:rsidR="001E370A">
        <w:rPr>
          <w:bCs/>
        </w:rPr>
        <w:t>tındaki CER ve ERU sertifikalarının fiyatından düşüktür</w:t>
      </w:r>
      <w:r w:rsidR="00F85112">
        <w:rPr>
          <w:bCs/>
        </w:rPr>
        <w:t xml:space="preserve"> (Arı, 2010:</w:t>
      </w:r>
      <w:r w:rsidR="001E370A">
        <w:rPr>
          <w:bCs/>
        </w:rPr>
        <w:t xml:space="preserve"> 67). </w:t>
      </w:r>
    </w:p>
    <w:p w:rsidR="00B20332" w:rsidRDefault="00387770" w:rsidP="00387770">
      <w:pPr>
        <w:tabs>
          <w:tab w:val="left" w:pos="0"/>
        </w:tabs>
        <w:spacing w:before="240" w:after="240" w:line="360" w:lineRule="auto"/>
        <w:jc w:val="both"/>
      </w:pPr>
      <w:r>
        <w:tab/>
      </w:r>
      <w:r w:rsidR="008640C1">
        <w:t>Türkiye gibi Kyoto Protokolü’ne imza atıp yükümlülük almayan veya Kyoto protokolünü imzalamayan ülkeler, gönüllü karbon piyasasında işlem yaparak Piyasa Temelli Esneklik Mekanizması (Emisyon Ticareti-ET) ve Proje Tabanlı Mekanizmalar</w:t>
      </w:r>
      <w:r w:rsidR="00B20332">
        <w:t xml:space="preserve">da </w:t>
      </w:r>
      <w:r w:rsidR="008640C1">
        <w:t>(Temiz Kalkınma Mekanizması-CDM ve Ortak Yürütme Mekanizması-JI)</w:t>
      </w:r>
      <w:r>
        <w:t xml:space="preserve"> </w:t>
      </w:r>
      <w:r w:rsidR="00B20332">
        <w:t xml:space="preserve">işlem yapmak için hazırlık yaparlar. Yani gönüllü karbon piyasaları esneklik mekanizmalarına girmede bir hazırlık dönemi olarak nitelendirilmektedir. </w:t>
      </w:r>
    </w:p>
    <w:p w:rsidR="0082394A" w:rsidRDefault="0082394A" w:rsidP="00387770">
      <w:pPr>
        <w:tabs>
          <w:tab w:val="left" w:pos="0"/>
        </w:tabs>
        <w:spacing w:before="240" w:after="240" w:line="360" w:lineRule="auto"/>
        <w:jc w:val="both"/>
      </w:pPr>
    </w:p>
    <w:p w:rsidR="00376C0F" w:rsidRDefault="00A118C6" w:rsidP="0031716B">
      <w:pPr>
        <w:pStyle w:val="Balk3"/>
        <w:numPr>
          <w:ilvl w:val="0"/>
          <w:numId w:val="0"/>
        </w:numPr>
      </w:pPr>
      <w:bookmarkStart w:id="150" w:name="_Toc384824011"/>
      <w:r>
        <w:lastRenderedPageBreak/>
        <w:t>2.2.3</w:t>
      </w:r>
      <w:r w:rsidR="00376C0F" w:rsidRPr="00623121">
        <w:t>. Karbon Vergisi</w:t>
      </w:r>
      <w:bookmarkEnd w:id="150"/>
    </w:p>
    <w:p w:rsidR="00370742" w:rsidRDefault="00376C0F" w:rsidP="00370742">
      <w:pPr>
        <w:spacing w:before="240" w:after="240" w:line="360" w:lineRule="auto"/>
        <w:ind w:firstLine="708"/>
        <w:jc w:val="both"/>
        <w:rPr>
          <w:bCs/>
        </w:rPr>
      </w:pPr>
      <w:r w:rsidRPr="00365D6F">
        <w:rPr>
          <w:bCs/>
        </w:rPr>
        <w:t xml:space="preserve">Karbon </w:t>
      </w:r>
      <w:r w:rsidR="006E175C">
        <w:rPr>
          <w:bCs/>
        </w:rPr>
        <w:t>vergisi</w:t>
      </w:r>
      <w:r>
        <w:rPr>
          <w:bCs/>
        </w:rPr>
        <w:t xml:space="preserve">, </w:t>
      </w:r>
      <w:r w:rsidR="00370742">
        <w:rPr>
          <w:bCs/>
        </w:rPr>
        <w:t>iklim değişikliğinin önlenmesi sürecinde sürdürülebilir bir kalkınma açısından önem arz etmektedir. Bu bağlamda, çevre kirliliğinin önlenmesinde aktif kullanılan piyasa temelli iktisadi araçların</w:t>
      </w:r>
      <w:r w:rsidR="00C56A77">
        <w:rPr>
          <w:bCs/>
        </w:rPr>
        <w:t>dan biri olan</w:t>
      </w:r>
      <w:r w:rsidR="00370742">
        <w:rPr>
          <w:bCs/>
        </w:rPr>
        <w:t xml:space="preserve"> karbon vergisi </w:t>
      </w:r>
      <w:r w:rsidR="00370742" w:rsidRPr="00365D6F">
        <w:rPr>
          <w:bCs/>
        </w:rPr>
        <w:t>desteklense de günümüzde yalnızca sınırlı sayıda ülkeler (İsveç, Norveç, Hollanda, Danimarka, Finlandiya, İtalya...) tarafından uygulanmaktadır.</w:t>
      </w:r>
    </w:p>
    <w:p w:rsidR="00370742" w:rsidRDefault="003B7263" w:rsidP="00454B0D">
      <w:pPr>
        <w:spacing w:before="240" w:after="240" w:line="360" w:lineRule="auto"/>
        <w:ind w:firstLine="708"/>
        <w:jc w:val="both"/>
        <w:rPr>
          <w:bCs/>
        </w:rPr>
      </w:pPr>
      <w:r>
        <w:rPr>
          <w:bCs/>
        </w:rPr>
        <w:t>Sözkonusu vergi, çevre kirliliğine neden olan herhangi bir iktisadi kurumun, çevreye vermiş olduğu bu zarardan dolayı, ortaya çıkardığı emisyon miktarı başına vergiye tabi tutulmasını içermektedir (Karakaya ve Özçağ, 2004: 5).</w:t>
      </w:r>
      <w:r w:rsidR="00A377BC">
        <w:rPr>
          <w:bCs/>
        </w:rPr>
        <w:t xml:space="preserve"> </w:t>
      </w:r>
      <w:r w:rsidR="00B021F1">
        <w:rPr>
          <w:bCs/>
        </w:rPr>
        <w:t>B</w:t>
      </w:r>
      <w:r w:rsidR="00454B0D">
        <w:rPr>
          <w:bCs/>
        </w:rPr>
        <w:t>u vergi devlet için bir gelir iken,</w:t>
      </w:r>
      <w:r w:rsidR="00B021F1">
        <w:rPr>
          <w:bCs/>
        </w:rPr>
        <w:t xml:space="preserve"> işletmeler açısından ek bir maliyet teşkil etmektedir. </w:t>
      </w:r>
    </w:p>
    <w:p w:rsidR="00A167A0" w:rsidRPr="00365D6F" w:rsidRDefault="00A167A0" w:rsidP="003F1E15">
      <w:pPr>
        <w:spacing w:before="240" w:after="240" w:line="360" w:lineRule="auto"/>
        <w:ind w:firstLine="708"/>
        <w:jc w:val="both"/>
        <w:rPr>
          <w:bCs/>
        </w:rPr>
      </w:pPr>
      <w:r>
        <w:rPr>
          <w:bCs/>
        </w:rPr>
        <w:t xml:space="preserve">İklim değişikliğinin önlenmesinde karbon vergisinin kullanılması yönünde yapılan çalışmalarda </w:t>
      </w:r>
      <w:r w:rsidR="00481AD1">
        <w:rPr>
          <w:bCs/>
        </w:rPr>
        <w:t>(Brovoll ve Bodil, 2004; Scrimgeour vd</w:t>
      </w:r>
      <w:proofErr w:type="gramStart"/>
      <w:r w:rsidR="00481AD1">
        <w:rPr>
          <w:bCs/>
        </w:rPr>
        <w:t>.,</w:t>
      </w:r>
      <w:proofErr w:type="gramEnd"/>
      <w:r w:rsidR="00481AD1">
        <w:rPr>
          <w:bCs/>
        </w:rPr>
        <w:t xml:space="preserve"> 2005)</w:t>
      </w:r>
      <w:r w:rsidR="004B561B">
        <w:rPr>
          <w:bCs/>
        </w:rPr>
        <w:t xml:space="preserve"> karbon vergisinin iklim değişikliğinin önlenmesi bakımından kullanılabilecek etkin bir araç olduğu söylenmektedir (Hotunluoğlu ve Tekeli, 2007: 110-111).</w:t>
      </w:r>
    </w:p>
    <w:p w:rsidR="00376C0F" w:rsidRDefault="00376C0F" w:rsidP="00376C0F">
      <w:pPr>
        <w:pStyle w:val="ListeParagraf"/>
        <w:tabs>
          <w:tab w:val="left" w:pos="0"/>
        </w:tabs>
        <w:spacing w:before="240" w:after="240" w:line="360" w:lineRule="auto"/>
        <w:ind w:left="0"/>
        <w:jc w:val="both"/>
        <w:rPr>
          <w:bCs/>
        </w:rPr>
      </w:pPr>
      <w:r>
        <w:rPr>
          <w:bCs/>
        </w:rPr>
        <w:tab/>
        <w:t>Ekonomistler uzun dönemde, çevre koruma araçları olarak, vergilerin kullanılmasını tercih ederler. Birçok ekonomi analizine göre, önemli dışsallıklar içeren durumlarda fiyatların olması gereken düzeye çekmek için vergilerin uygulanması en etkili ekonomi politikasıdır (Goulder, 1995: 157).</w:t>
      </w:r>
    </w:p>
    <w:p w:rsidR="00BC7AF5" w:rsidRDefault="00202852" w:rsidP="00BC7AF5">
      <w:pPr>
        <w:spacing w:before="240" w:after="240" w:line="360" w:lineRule="auto"/>
        <w:ind w:firstLine="708"/>
        <w:jc w:val="both"/>
        <w:rPr>
          <w:bCs/>
        </w:rPr>
      </w:pPr>
      <w:r>
        <w:rPr>
          <w:bCs/>
        </w:rPr>
        <w:t xml:space="preserve">Karbon vergisinin diğer bir özelliği, </w:t>
      </w:r>
      <w:r w:rsidR="003463A8">
        <w:rPr>
          <w:bCs/>
        </w:rPr>
        <w:t>sera gazı</w:t>
      </w:r>
      <w:r>
        <w:rPr>
          <w:bCs/>
        </w:rPr>
        <w:t xml:space="preserve"> emisyonlarının neden olduğu ekonomik dışsallıkların içselleştirilmesini desteklemektedir. Yani, karbon vergisi negatif dışsallıkların fiyat mekanizması yolu ile içselliştirilmesini savunan “kirleten öder” </w:t>
      </w:r>
      <w:r w:rsidR="00BC7AF5">
        <w:rPr>
          <w:bCs/>
        </w:rPr>
        <w:t>ilkesi olarak ni</w:t>
      </w:r>
      <w:r>
        <w:rPr>
          <w:bCs/>
        </w:rPr>
        <w:t xml:space="preserve">telendirilen Pigouvian vergi yaklaşımı altında sınıflandırılmaktadır (Kovancılar, 2001, 12). Bu yaklaşımla, </w:t>
      </w:r>
      <w:r w:rsidR="00BC7AF5">
        <w:rPr>
          <w:bCs/>
        </w:rPr>
        <w:t>karbon vergisinin toplum refahını yükselttiğini ve karbon vergisinin marjinal çevre maliyetine eşit olduğunu söyleyebiliriz (Hotunluoğlu ve Tekeli, 2007: 111-112).</w:t>
      </w:r>
    </w:p>
    <w:p w:rsidR="006D42F8" w:rsidRDefault="00E94AC2" w:rsidP="00376C0F">
      <w:pPr>
        <w:pStyle w:val="DipnotMetni"/>
        <w:spacing w:before="240" w:after="240" w:line="360" w:lineRule="auto"/>
        <w:ind w:firstLine="708"/>
        <w:jc w:val="both"/>
        <w:rPr>
          <w:bCs/>
          <w:sz w:val="24"/>
          <w:szCs w:val="24"/>
        </w:rPr>
      </w:pPr>
      <w:r>
        <w:rPr>
          <w:bCs/>
          <w:sz w:val="24"/>
          <w:szCs w:val="24"/>
        </w:rPr>
        <w:t>Karbon vergisinin uygulanmasının önündeki en büyük engeller ise bu verginin küresel düzeyde uygulanabilmesi ve ülkeler arasında anlaşmaya varması zor görünmektedir. Öncelikli böyle bir verginin maliyetlerinin ülkeler arasındaki dağılımı eşit değildir. Gelişmekte olan ekonomiler daha yüksek maliyetlerle karşılaştığında</w:t>
      </w:r>
      <w:r w:rsidR="00BC32D4">
        <w:rPr>
          <w:bCs/>
          <w:sz w:val="24"/>
          <w:szCs w:val="24"/>
        </w:rPr>
        <w:t>, gelişmiş ülkelerin mali desteği olmadan böyle bir anlaşmaya karşı çıkacaklardır.</w:t>
      </w:r>
      <w:r w:rsidR="00BC32D4" w:rsidRPr="00BC32D4">
        <w:t xml:space="preserve"> </w:t>
      </w:r>
      <w:r w:rsidR="00BC32D4" w:rsidRPr="00BC32D4">
        <w:rPr>
          <w:bCs/>
          <w:sz w:val="24"/>
          <w:szCs w:val="24"/>
        </w:rPr>
        <w:t xml:space="preserve">Bir </w:t>
      </w:r>
      <w:r w:rsidR="00BC32D4" w:rsidRPr="00BC32D4">
        <w:rPr>
          <w:bCs/>
          <w:sz w:val="24"/>
          <w:szCs w:val="24"/>
        </w:rPr>
        <w:lastRenderedPageBreak/>
        <w:t>karbon vergisinin uygulanmas</w:t>
      </w:r>
      <w:r w:rsidR="00BC32D4">
        <w:rPr>
          <w:bCs/>
          <w:sz w:val="24"/>
          <w:szCs w:val="24"/>
        </w:rPr>
        <w:t>ı</w:t>
      </w:r>
      <w:r w:rsidR="00BC32D4" w:rsidRPr="00BC32D4">
        <w:rPr>
          <w:bCs/>
          <w:sz w:val="24"/>
          <w:szCs w:val="24"/>
        </w:rPr>
        <w:t xml:space="preserve"> durumunda ülkeler aras</w:t>
      </w:r>
      <w:r w:rsidR="00BC32D4">
        <w:rPr>
          <w:bCs/>
          <w:sz w:val="24"/>
          <w:szCs w:val="24"/>
        </w:rPr>
        <w:t>ı</w:t>
      </w:r>
      <w:r w:rsidR="00BC32D4" w:rsidRPr="00BC32D4">
        <w:rPr>
          <w:bCs/>
          <w:sz w:val="24"/>
          <w:szCs w:val="24"/>
        </w:rPr>
        <w:t xml:space="preserve"> kazanan ve kaybedenler gibi, böyle bir vergiye ülke içi politik destek verilebilmesi aç</w:t>
      </w:r>
      <w:r w:rsidR="00BC32D4">
        <w:rPr>
          <w:bCs/>
          <w:sz w:val="24"/>
          <w:szCs w:val="24"/>
        </w:rPr>
        <w:t>ı</w:t>
      </w:r>
      <w:r w:rsidR="00BC32D4" w:rsidRPr="00BC32D4">
        <w:rPr>
          <w:bCs/>
          <w:sz w:val="24"/>
          <w:szCs w:val="24"/>
        </w:rPr>
        <w:t>s</w:t>
      </w:r>
      <w:r w:rsidR="00BC32D4">
        <w:rPr>
          <w:bCs/>
          <w:sz w:val="24"/>
          <w:szCs w:val="24"/>
        </w:rPr>
        <w:t>ı</w:t>
      </w:r>
      <w:r w:rsidR="00BC32D4" w:rsidRPr="00BC32D4">
        <w:rPr>
          <w:bCs/>
          <w:sz w:val="24"/>
          <w:szCs w:val="24"/>
        </w:rPr>
        <w:t>ndan ülke içi kazanan ve kaybedenlerin durumu da büyük önem arz etmektedir</w:t>
      </w:r>
      <w:r w:rsidR="00BC32D4">
        <w:rPr>
          <w:bCs/>
          <w:sz w:val="24"/>
          <w:szCs w:val="24"/>
        </w:rPr>
        <w:t xml:space="preserve"> </w:t>
      </w:r>
      <w:r w:rsidR="00BC32D4" w:rsidRPr="00BC32D4">
        <w:rPr>
          <w:bCs/>
          <w:sz w:val="24"/>
          <w:szCs w:val="24"/>
        </w:rPr>
        <w:t>(Kovancılar, 2001, 17)</w:t>
      </w:r>
      <w:r w:rsidR="00BC32D4">
        <w:rPr>
          <w:bCs/>
          <w:sz w:val="24"/>
          <w:szCs w:val="24"/>
        </w:rPr>
        <w:t xml:space="preserve">. Örnek olarak </w:t>
      </w:r>
      <w:r w:rsidR="00376C0F" w:rsidRPr="00215E26">
        <w:rPr>
          <w:bCs/>
          <w:sz w:val="24"/>
          <w:szCs w:val="24"/>
        </w:rPr>
        <w:t xml:space="preserve">Norveç'in karbon yasasına göre doğaya </w:t>
      </w:r>
      <w:r w:rsidR="00BC32D4">
        <w:rPr>
          <w:bCs/>
          <w:sz w:val="24"/>
          <w:szCs w:val="24"/>
        </w:rPr>
        <w:t>bıraktığı</w:t>
      </w:r>
      <w:r w:rsidR="00376C0F" w:rsidRPr="00215E26">
        <w:rPr>
          <w:bCs/>
          <w:sz w:val="24"/>
          <w:szCs w:val="24"/>
        </w:rPr>
        <w:t xml:space="preserve"> </w:t>
      </w:r>
      <w:r w:rsidR="00765B19" w:rsidRPr="00215E26">
        <w:rPr>
          <w:bCs/>
          <w:sz w:val="24"/>
          <w:szCs w:val="24"/>
        </w:rPr>
        <w:t>CO</w:t>
      </w:r>
      <w:r w:rsidR="00765B19" w:rsidRPr="00D534FD">
        <w:rPr>
          <w:bCs/>
          <w:sz w:val="24"/>
          <w:szCs w:val="24"/>
          <w:vertAlign w:val="subscript"/>
        </w:rPr>
        <w:t>2</w:t>
      </w:r>
      <w:r w:rsidR="00BC32D4">
        <w:rPr>
          <w:bCs/>
          <w:sz w:val="24"/>
          <w:szCs w:val="24"/>
        </w:rPr>
        <w:t xml:space="preserve"> oranı arttıkça, ödediği vergi de artmaktadır</w:t>
      </w:r>
      <w:r w:rsidR="00376C0F" w:rsidRPr="00215E26">
        <w:rPr>
          <w:bCs/>
          <w:sz w:val="24"/>
          <w:szCs w:val="24"/>
        </w:rPr>
        <w:t>.</w:t>
      </w:r>
      <w:r w:rsidR="00376C0F">
        <w:rPr>
          <w:rStyle w:val="DipnotBavurusu"/>
          <w:bCs/>
          <w:sz w:val="24"/>
          <w:szCs w:val="24"/>
        </w:rPr>
        <w:footnoteReference w:id="39"/>
      </w:r>
      <w:r w:rsidR="00376C0F" w:rsidRPr="00093D10">
        <w:rPr>
          <w:bCs/>
          <w:sz w:val="24"/>
          <w:szCs w:val="24"/>
        </w:rPr>
        <w:t xml:space="preserve"> </w:t>
      </w:r>
    </w:p>
    <w:p w:rsidR="006D42F8" w:rsidRDefault="006D42F8" w:rsidP="00376C0F">
      <w:pPr>
        <w:pStyle w:val="DipnotMetni"/>
        <w:spacing w:before="240" w:after="240" w:line="360" w:lineRule="auto"/>
        <w:ind w:firstLine="708"/>
        <w:jc w:val="both"/>
        <w:rPr>
          <w:bCs/>
          <w:sz w:val="24"/>
          <w:szCs w:val="24"/>
        </w:rPr>
        <w:sectPr w:rsidR="006D42F8" w:rsidSect="008522AA">
          <w:pgSz w:w="11906" w:h="16838"/>
          <w:pgMar w:top="1701" w:right="1134" w:bottom="1134" w:left="2268" w:header="709" w:footer="709" w:gutter="0"/>
          <w:cols w:space="708"/>
          <w:docGrid w:linePitch="360"/>
        </w:sectPr>
      </w:pPr>
    </w:p>
    <w:p w:rsidR="0044255F" w:rsidRPr="007B618B" w:rsidRDefault="007B618B" w:rsidP="00E71421">
      <w:pPr>
        <w:pStyle w:val="Balk1"/>
      </w:pPr>
      <w:bookmarkStart w:id="151" w:name="_Toc384824012"/>
      <w:r w:rsidRPr="007B618B">
        <w:lastRenderedPageBreak/>
        <w:t>ÜÇÜNCÜ BÖLÜM</w:t>
      </w:r>
      <w:bookmarkEnd w:id="151"/>
    </w:p>
    <w:p w:rsidR="0044255F" w:rsidRDefault="003463A8" w:rsidP="00E71421">
      <w:pPr>
        <w:pStyle w:val="Balk1"/>
      </w:pPr>
      <w:bookmarkStart w:id="152" w:name="_Toc384824013"/>
      <w:r>
        <w:t>SERA GAZI</w:t>
      </w:r>
      <w:r w:rsidR="00A118C6">
        <w:t xml:space="preserve"> EMİSYONLARININ MAKROEKONOMİK DEĞİŞKENLER</w:t>
      </w:r>
      <w:r w:rsidR="004D2395">
        <w:t>LE</w:t>
      </w:r>
      <w:r w:rsidR="005C54EA">
        <w:t xml:space="preserve"> İLİŞKİSİ</w:t>
      </w:r>
      <w:bookmarkEnd w:id="152"/>
    </w:p>
    <w:p w:rsidR="00027773" w:rsidRDefault="00027773" w:rsidP="00027773">
      <w:pPr>
        <w:spacing w:before="240" w:after="240" w:line="360" w:lineRule="auto"/>
        <w:ind w:firstLine="709"/>
        <w:jc w:val="both"/>
      </w:pPr>
      <w:r>
        <w:t xml:space="preserve">Çalışmanın bu bölümünde, </w:t>
      </w:r>
      <w:r w:rsidR="00AC6DC6" w:rsidRPr="00AC6DC6">
        <w:t>makroekonomik değişkenler</w:t>
      </w:r>
      <w:r w:rsidR="00AC6DC6">
        <w:t>in</w:t>
      </w:r>
      <w:r w:rsidR="00AC6DC6" w:rsidRPr="00AC6DC6">
        <w:t xml:space="preserve"> </w:t>
      </w:r>
      <w:r w:rsidR="003463A8">
        <w:t>sera gazı</w:t>
      </w:r>
      <w:r w:rsidR="00AC6DC6">
        <w:t xml:space="preserve"> emisyonu</w:t>
      </w:r>
      <w:r>
        <w:t xml:space="preserve"> üzerindeki etkileri incelenecektir. Literatürde yapılan çalışmalarda </w:t>
      </w:r>
      <w:r w:rsidR="003463A8">
        <w:t>sera gazı</w:t>
      </w:r>
      <w:r>
        <w:t xml:space="preserve"> emisyonlarına en çok etki eden faktörlerin başında ek</w:t>
      </w:r>
      <w:r w:rsidR="00C0423B">
        <w:t>onomik büyüme, enerji tüketimi ve dış ticaret</w:t>
      </w:r>
      <w:r>
        <w:t xml:space="preserve"> gibi makroekonomik değişkenler gelmektedir. </w:t>
      </w:r>
    </w:p>
    <w:p w:rsidR="0044255F" w:rsidRPr="00EF04D4" w:rsidRDefault="00BF2572" w:rsidP="00EF04D4">
      <w:pPr>
        <w:pStyle w:val="Balk2"/>
        <w:numPr>
          <w:ilvl w:val="0"/>
          <w:numId w:val="0"/>
        </w:numPr>
        <w:ind w:left="360" w:hanging="360"/>
      </w:pPr>
      <w:bookmarkStart w:id="153" w:name="_Toc384824014"/>
      <w:r w:rsidRPr="00EF04D4">
        <w:t>3.1.</w:t>
      </w:r>
      <w:r w:rsidR="007B618B" w:rsidRPr="00EF04D4">
        <w:t xml:space="preserve"> </w:t>
      </w:r>
      <w:r w:rsidR="00BA402E">
        <w:t>EKONOMİK BÜYÜMENİN ETKİLERİ</w:t>
      </w:r>
      <w:bookmarkEnd w:id="153"/>
    </w:p>
    <w:p w:rsidR="00AB1686" w:rsidRDefault="00AB1686" w:rsidP="00AB1686">
      <w:pPr>
        <w:spacing w:before="240" w:after="240" w:line="360" w:lineRule="auto"/>
      </w:pPr>
      <w:r>
        <w:tab/>
        <w:t xml:space="preserve">Bu bölümde önce; </w:t>
      </w:r>
      <w:r w:rsidR="00F12DB1">
        <w:t xml:space="preserve">ekonomik büyümenin </w:t>
      </w:r>
      <w:r>
        <w:t>sera gazı emisyon</w:t>
      </w:r>
      <w:r w:rsidR="00F12DB1">
        <w:t>una</w:t>
      </w:r>
      <w:r>
        <w:t xml:space="preserve"> etkileri teorik olarak incelenecek, sonra konuyla ilgili literatür özeti verilecektir. </w:t>
      </w:r>
    </w:p>
    <w:p w:rsidR="00AB1686" w:rsidRPr="00AB1686" w:rsidRDefault="00C83CF7" w:rsidP="0031716B">
      <w:pPr>
        <w:pStyle w:val="Balk3"/>
        <w:numPr>
          <w:ilvl w:val="0"/>
          <w:numId w:val="0"/>
        </w:numPr>
      </w:pPr>
      <w:bookmarkStart w:id="154" w:name="_Toc384824015"/>
      <w:r>
        <w:t xml:space="preserve">3.1.1. </w:t>
      </w:r>
      <w:r w:rsidR="00AB1686" w:rsidRPr="00AB1686">
        <w:t>Teorik Çerçeve</w:t>
      </w:r>
      <w:bookmarkEnd w:id="154"/>
    </w:p>
    <w:p w:rsidR="00027773" w:rsidRDefault="00027773" w:rsidP="005C7490">
      <w:pPr>
        <w:spacing w:before="240" w:after="240" w:line="360" w:lineRule="auto"/>
        <w:ind w:firstLine="709"/>
        <w:jc w:val="both"/>
      </w:pPr>
      <w:r>
        <w:t>Dünyadaki nüfus yoğunluğu v</w:t>
      </w:r>
      <w:r w:rsidR="00AC6DC6">
        <w:t xml:space="preserve">e ekonomik gelişmelerin artması, </w:t>
      </w:r>
      <w:r>
        <w:t xml:space="preserve">çevresel problemleri de beraberinde getirmiştir. </w:t>
      </w:r>
      <w:proofErr w:type="gramStart"/>
      <w:r w:rsidR="0055060C">
        <w:t>Nobel ödüllü Simon Kuznet</w:t>
      </w:r>
      <w:r w:rsidR="00E67A40">
        <w:t>s</w:t>
      </w:r>
      <w:r w:rsidR="0055060C">
        <w:t>’in 1955 yılında yayınlanan ve ekonomik büyüme ile sera gazı emisyonları arasındaki ilişkiyi inceleyen</w:t>
      </w:r>
      <w:r w:rsidR="0055060C" w:rsidRPr="007F4815">
        <w:t xml:space="preserve"> “Economic Growth and Income Inequality” </w:t>
      </w:r>
      <w:r w:rsidR="0055060C">
        <w:t>(</w:t>
      </w:r>
      <w:r w:rsidR="0055060C" w:rsidRPr="007F4815">
        <w:t xml:space="preserve">Ekonomik büyüme ve gelir </w:t>
      </w:r>
      <w:r w:rsidR="0055060C">
        <w:t>adaletsizliği) çalışmasında; ekonomik büyümeyle birlikte ilk dönemde çevre kirliliğinin artacağı, kişi başına düşen milli gelir belirli bir</w:t>
      </w:r>
      <w:r w:rsidR="004D7FFC">
        <w:t xml:space="preserve"> eşik değeri aştıktan sonra</w:t>
      </w:r>
      <w:r w:rsidR="0055060C">
        <w:t xml:space="preserve">, devletlerin ve bireylerin çevre duyarlılığının artacağı ve alınan önlemlerle çevre kirliliğinin azalacağı ifade edilmektedir. </w:t>
      </w:r>
      <w:proofErr w:type="gramEnd"/>
      <w:r w:rsidR="004D7FFC">
        <w:t>Çevre kirliliğinde oluşan bu değişimin grafiksel gösterimine l</w:t>
      </w:r>
      <w:r w:rsidR="0055060C">
        <w:t xml:space="preserve">iteratürde </w:t>
      </w:r>
      <w:r>
        <w:t>Çevresel Kuznet</w:t>
      </w:r>
      <w:r w:rsidR="00E67A40">
        <w:t>s</w:t>
      </w:r>
      <w:r>
        <w:t xml:space="preserve"> Eğrisi (EKC) </w:t>
      </w:r>
      <w:r w:rsidR="004D7FFC">
        <w:t xml:space="preserve">denilmektedir. </w:t>
      </w:r>
    </w:p>
    <w:p w:rsidR="006274A6" w:rsidRDefault="006274A6" w:rsidP="00027773">
      <w:pPr>
        <w:spacing w:before="240" w:after="240" w:line="360" w:lineRule="auto"/>
        <w:ind w:firstLine="706"/>
        <w:jc w:val="both"/>
      </w:pPr>
    </w:p>
    <w:p w:rsidR="006274A6" w:rsidRDefault="006274A6" w:rsidP="00027773">
      <w:pPr>
        <w:spacing w:before="240" w:after="240" w:line="360" w:lineRule="auto"/>
        <w:ind w:firstLine="706"/>
        <w:jc w:val="both"/>
      </w:pPr>
    </w:p>
    <w:p w:rsidR="006274A6" w:rsidRDefault="006274A6" w:rsidP="00027773">
      <w:pPr>
        <w:spacing w:before="240" w:after="240" w:line="360" w:lineRule="auto"/>
        <w:ind w:firstLine="706"/>
        <w:jc w:val="both"/>
      </w:pPr>
    </w:p>
    <w:p w:rsidR="006274A6" w:rsidRDefault="006274A6" w:rsidP="00027773">
      <w:pPr>
        <w:spacing w:before="240" w:after="240" w:line="360" w:lineRule="auto"/>
        <w:ind w:firstLine="706"/>
        <w:jc w:val="both"/>
      </w:pPr>
    </w:p>
    <w:p w:rsidR="006274A6" w:rsidRDefault="006274A6" w:rsidP="00027773">
      <w:pPr>
        <w:spacing w:before="240" w:after="240" w:line="360" w:lineRule="auto"/>
        <w:ind w:firstLine="706"/>
        <w:jc w:val="both"/>
      </w:pPr>
    </w:p>
    <w:p w:rsidR="006274A6" w:rsidRDefault="006274A6" w:rsidP="00027773">
      <w:pPr>
        <w:spacing w:before="240" w:after="240" w:line="360" w:lineRule="auto"/>
        <w:ind w:firstLine="706"/>
        <w:jc w:val="both"/>
      </w:pPr>
    </w:p>
    <w:p w:rsidR="00027773" w:rsidRDefault="00165148" w:rsidP="005C7490">
      <w:pPr>
        <w:pStyle w:val="stil1"/>
        <w:spacing w:before="120"/>
      </w:pPr>
      <w:bookmarkStart w:id="155" w:name="_Toc382298165"/>
      <w:r>
        <w:lastRenderedPageBreak/>
        <w:t xml:space="preserve">Şekil </w:t>
      </w:r>
      <w:proofErr w:type="gramStart"/>
      <w:r>
        <w:t>3.</w:t>
      </w:r>
      <w:r w:rsidR="00027773" w:rsidRPr="004E7273">
        <w:t>1</w:t>
      </w:r>
      <w:proofErr w:type="gramEnd"/>
      <w:r w:rsidR="00027773" w:rsidRPr="004E7273">
        <w:t>:</w:t>
      </w:r>
      <w:r w:rsidR="00027773">
        <w:t xml:space="preserve"> </w:t>
      </w:r>
      <w:r w:rsidR="00E67A40" w:rsidRPr="00E67A40">
        <w:t xml:space="preserve">Çevresel </w:t>
      </w:r>
      <w:r w:rsidR="00027773" w:rsidRPr="00E67A40">
        <w:t>Kuznets Eğrisi</w:t>
      </w:r>
      <w:bookmarkEnd w:id="155"/>
    </w:p>
    <w:p w:rsidR="00AA3CAD" w:rsidRDefault="00AA3CAD" w:rsidP="005C7490">
      <w:pPr>
        <w:pStyle w:val="stil1"/>
        <w:spacing w:before="120"/>
      </w:pPr>
      <w:r>
        <w:rPr>
          <w:noProof/>
          <w:lang w:eastAsia="tr-TR"/>
        </w:rPr>
        <w:drawing>
          <wp:inline distT="0" distB="0" distL="0" distR="0" wp14:anchorId="38BB499F" wp14:editId="040424AB">
            <wp:extent cx="3436620" cy="2492530"/>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9384" cy="2494535"/>
                    </a:xfrm>
                    <a:prstGeom prst="rect">
                      <a:avLst/>
                    </a:prstGeom>
                    <a:noFill/>
                  </pic:spPr>
                </pic:pic>
              </a:graphicData>
            </a:graphic>
          </wp:inline>
        </w:drawing>
      </w:r>
    </w:p>
    <w:p w:rsidR="00027773" w:rsidRDefault="00027773" w:rsidP="005C7490">
      <w:pPr>
        <w:spacing w:before="120"/>
        <w:rPr>
          <w:sz w:val="20"/>
          <w:szCs w:val="20"/>
        </w:rPr>
      </w:pPr>
      <w:r w:rsidRPr="004E7273">
        <w:rPr>
          <w:b/>
          <w:sz w:val="20"/>
          <w:szCs w:val="20"/>
        </w:rPr>
        <w:t>Kaynak:</w:t>
      </w:r>
      <w:r w:rsidRPr="00791530">
        <w:rPr>
          <w:sz w:val="20"/>
          <w:szCs w:val="20"/>
        </w:rPr>
        <w:t xml:space="preserve"> </w:t>
      </w:r>
      <w:r>
        <w:rPr>
          <w:sz w:val="20"/>
          <w:szCs w:val="20"/>
        </w:rPr>
        <w:t xml:space="preserve">Dinda’nın  (2004:434) </w:t>
      </w:r>
      <w:r w:rsidR="0075781A">
        <w:rPr>
          <w:sz w:val="20"/>
          <w:szCs w:val="20"/>
        </w:rPr>
        <w:t>çalışması referans alınarak tarafımızdan çizil</w:t>
      </w:r>
      <w:r>
        <w:rPr>
          <w:sz w:val="20"/>
          <w:szCs w:val="20"/>
        </w:rPr>
        <w:t>miştir.</w:t>
      </w:r>
    </w:p>
    <w:p w:rsidR="00AA3CAD" w:rsidRDefault="00AA3CAD" w:rsidP="005C7490">
      <w:pPr>
        <w:spacing w:before="120"/>
        <w:rPr>
          <w:sz w:val="20"/>
          <w:szCs w:val="20"/>
        </w:rPr>
      </w:pPr>
    </w:p>
    <w:p w:rsidR="00027773" w:rsidRDefault="00976CFD" w:rsidP="0087410E">
      <w:pPr>
        <w:spacing w:before="240" w:after="240" w:line="360" w:lineRule="auto"/>
        <w:ind w:firstLine="709"/>
        <w:jc w:val="both"/>
      </w:pPr>
      <w:r>
        <w:t xml:space="preserve">Şekil </w:t>
      </w:r>
      <w:proofErr w:type="gramStart"/>
      <w:r>
        <w:t>3.</w:t>
      </w:r>
      <w:r w:rsidR="005E7483">
        <w:t>1’de</w:t>
      </w:r>
      <w:proofErr w:type="gramEnd"/>
      <w:r w:rsidR="005E7483">
        <w:t xml:space="preserve"> </w:t>
      </w:r>
      <w:r w:rsidR="00C20D28">
        <w:t>kişi başı milli gelir artışıyla birlikte</w:t>
      </w:r>
      <w:r w:rsidR="00027773">
        <w:t>,</w:t>
      </w:r>
      <w:r w:rsidR="00C20D28">
        <w:t xml:space="preserve"> kişi başına atmosfere salınan karbon miktarının ilk dönemlerde arttığı, </w:t>
      </w:r>
      <w:r w:rsidR="005353DA">
        <w:t>dönüm noktasından</w:t>
      </w:r>
      <w:r w:rsidR="00C20D28">
        <w:t xml:space="preserve"> sonra ise kişi başına karbon emisyonun azaldığı görülmektedir. </w:t>
      </w:r>
      <w:r w:rsidR="00027773">
        <w:t xml:space="preserve">Ekonomik büyümeyle çevresel kirlilik arasında ters U şeklinde bir ilişkinin olması EKC’nin varlığını göstermektedir. EKC ile ilgili yapılan çalışmalarda kullanılan zaman serisi ve cross-section </w:t>
      </w:r>
      <w:r w:rsidR="005E7483">
        <w:t xml:space="preserve">(yatay kesit) </w:t>
      </w:r>
      <w:r w:rsidR="00027773">
        <w:t xml:space="preserve">teknikleri farklı sonuçlar vermektedir (Harbaugh vd. 2002). Özellikle eşik </w:t>
      </w:r>
      <w:r w:rsidR="00F976D6">
        <w:t>gelir düzeyi hesaplamalarında farklı sonuçlara ulaşılmaktadır</w:t>
      </w:r>
      <w:r w:rsidR="00027773">
        <w:t xml:space="preserve">. </w:t>
      </w:r>
      <w:r w:rsidR="00F976D6">
        <w:t>Kritik gelir düzeyi olarak</w:t>
      </w:r>
      <w:r w:rsidR="00027773">
        <w:t xml:space="preserve"> </w:t>
      </w:r>
      <w:r w:rsidR="00027773" w:rsidRPr="00EC6C86">
        <w:t>3000$</w:t>
      </w:r>
      <w:r w:rsidR="00027773">
        <w:t xml:space="preserve"> ile </w:t>
      </w:r>
      <w:r w:rsidR="004C5C63">
        <w:t>100.</w:t>
      </w:r>
      <w:r w:rsidR="00027773" w:rsidRPr="00EC6C86">
        <w:t>000$</w:t>
      </w:r>
      <w:r w:rsidR="00027773">
        <w:t xml:space="preserve"> arasında değiş</w:t>
      </w:r>
      <w:r w:rsidR="00F976D6">
        <w:t xml:space="preserve">en değerlere ulaşılmıştır </w:t>
      </w:r>
      <w:r w:rsidR="00F976D6" w:rsidRPr="00AF567E">
        <w:t>(</w:t>
      </w:r>
      <w:r w:rsidR="00AF567E" w:rsidRPr="00AF567E">
        <w:t>Dinda, 2004: 442;</w:t>
      </w:r>
      <w:r w:rsidR="00F976D6" w:rsidRPr="00AF567E">
        <w:t xml:space="preserve"> </w:t>
      </w:r>
      <w:r w:rsidR="00CF258A">
        <w:t>Akbostancı vd</w:t>
      </w:r>
      <w:proofErr w:type="gramStart"/>
      <w:r w:rsidR="00CF258A">
        <w:t>.,</w:t>
      </w:r>
      <w:proofErr w:type="gramEnd"/>
      <w:r w:rsidR="00CF258A">
        <w:t xml:space="preserve"> 2009: 862; Jaunky, 2011: 1230).</w:t>
      </w:r>
      <w:r w:rsidR="00027773" w:rsidRPr="00DC7AF6">
        <w:rPr>
          <w:color w:val="FF0000"/>
        </w:rPr>
        <w:t xml:space="preserve"> </w:t>
      </w:r>
      <w:r w:rsidR="00027773">
        <w:t xml:space="preserve">Grosman ve Kruger (1995) çalışmalarında bu eşik </w:t>
      </w:r>
      <w:r w:rsidR="00D05509">
        <w:t>gelir düzeyini</w:t>
      </w:r>
      <w:r w:rsidR="004C5C63">
        <w:t xml:space="preserve"> 8.</w:t>
      </w:r>
      <w:r w:rsidR="00027773">
        <w:t>000</w:t>
      </w:r>
      <w:r w:rsidR="00027773" w:rsidRPr="00EC6C86">
        <w:t>$</w:t>
      </w:r>
      <w:r w:rsidR="00BC33B5">
        <w:t xml:space="preserve"> olarak bulmuş ve benzer eşik değerler Çizelge 3:</w:t>
      </w:r>
      <w:r w:rsidR="003513DB">
        <w:t xml:space="preserve"> </w:t>
      </w:r>
      <w:r w:rsidR="00BC33B5">
        <w:t xml:space="preserve">1’de verilmiştir. </w:t>
      </w:r>
      <w:r w:rsidR="00027773">
        <w:t xml:space="preserve"> </w:t>
      </w:r>
    </w:p>
    <w:p w:rsidR="000955F7" w:rsidRDefault="000955F7" w:rsidP="00027773">
      <w:pPr>
        <w:spacing w:before="240" w:after="240" w:line="360" w:lineRule="auto"/>
        <w:ind w:firstLine="708"/>
        <w:jc w:val="both"/>
      </w:pPr>
    </w:p>
    <w:p w:rsidR="000955F7" w:rsidRDefault="000955F7" w:rsidP="00027773">
      <w:pPr>
        <w:spacing w:before="240" w:after="240" w:line="360" w:lineRule="auto"/>
        <w:ind w:firstLine="708"/>
        <w:jc w:val="both"/>
      </w:pPr>
    </w:p>
    <w:p w:rsidR="000955F7" w:rsidRDefault="000955F7" w:rsidP="00027773">
      <w:pPr>
        <w:spacing w:before="240" w:after="240" w:line="360" w:lineRule="auto"/>
        <w:ind w:firstLine="708"/>
        <w:jc w:val="both"/>
      </w:pPr>
    </w:p>
    <w:p w:rsidR="000955F7" w:rsidRDefault="000955F7" w:rsidP="00027773">
      <w:pPr>
        <w:spacing w:before="240" w:after="240" w:line="360" w:lineRule="auto"/>
        <w:ind w:firstLine="708"/>
        <w:jc w:val="both"/>
      </w:pPr>
    </w:p>
    <w:p w:rsidR="000955F7" w:rsidRDefault="000955F7" w:rsidP="000955F7">
      <w:pPr>
        <w:spacing w:before="240" w:after="240" w:line="360" w:lineRule="auto"/>
        <w:jc w:val="both"/>
      </w:pPr>
    </w:p>
    <w:p w:rsidR="000955F7" w:rsidRDefault="000955F7" w:rsidP="000955F7">
      <w:pPr>
        <w:spacing w:before="240" w:after="240" w:line="360" w:lineRule="auto"/>
        <w:jc w:val="both"/>
      </w:pPr>
    </w:p>
    <w:p w:rsidR="0087410E" w:rsidRDefault="0087410E" w:rsidP="000955F7">
      <w:pPr>
        <w:spacing w:before="240" w:after="240" w:line="360" w:lineRule="auto"/>
        <w:jc w:val="both"/>
      </w:pPr>
    </w:p>
    <w:p w:rsidR="000955F7" w:rsidRPr="000955F7" w:rsidRDefault="000955F7" w:rsidP="000D38D2">
      <w:pPr>
        <w:pStyle w:val="it6"/>
      </w:pPr>
      <w:bookmarkStart w:id="156" w:name="_Toc384716098"/>
      <w:r w:rsidRPr="000955F7">
        <w:lastRenderedPageBreak/>
        <w:t xml:space="preserve">Çizelge </w:t>
      </w:r>
      <w:proofErr w:type="gramStart"/>
      <w:r w:rsidRPr="000955F7">
        <w:t>3.1</w:t>
      </w:r>
      <w:proofErr w:type="gramEnd"/>
      <w:r w:rsidRPr="000955F7">
        <w:t xml:space="preserve">: </w:t>
      </w:r>
      <w:r w:rsidR="003513DB">
        <w:t>Dönüm No</w:t>
      </w:r>
      <w:r w:rsidR="008216FA">
        <w:t>ktaları</w:t>
      </w:r>
      <w:r w:rsidR="00F006F8">
        <w:t xml:space="preserve"> (Turning Point)</w:t>
      </w:r>
      <w:bookmarkEnd w:id="156"/>
    </w:p>
    <w:tbl>
      <w:tblPr>
        <w:tblW w:w="8208" w:type="dxa"/>
        <w:tblInd w:w="55" w:type="dxa"/>
        <w:tblCellMar>
          <w:left w:w="70" w:type="dxa"/>
          <w:right w:w="70" w:type="dxa"/>
        </w:tblCellMar>
        <w:tblLook w:val="04A0" w:firstRow="1" w:lastRow="0" w:firstColumn="1" w:lastColumn="0" w:noHBand="0" w:noVBand="1"/>
      </w:tblPr>
      <w:tblGrid>
        <w:gridCol w:w="1480"/>
        <w:gridCol w:w="1440"/>
        <w:gridCol w:w="1348"/>
        <w:gridCol w:w="2240"/>
        <w:gridCol w:w="1700"/>
      </w:tblGrid>
      <w:tr w:rsidR="008216FA" w:rsidTr="0067051B">
        <w:trPr>
          <w:trHeight w:val="20"/>
        </w:trPr>
        <w:tc>
          <w:tcPr>
            <w:tcW w:w="148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rsidR="008216FA" w:rsidRPr="006964C6" w:rsidRDefault="008216FA" w:rsidP="006964C6">
            <w:pPr>
              <w:spacing w:before="120" w:after="120"/>
              <w:jc w:val="center"/>
              <w:rPr>
                <w:b/>
                <w:bCs/>
                <w:color w:val="000000"/>
                <w:sz w:val="20"/>
                <w:szCs w:val="20"/>
              </w:rPr>
            </w:pPr>
            <w:r w:rsidRPr="006964C6">
              <w:rPr>
                <w:b/>
                <w:bCs/>
                <w:color w:val="000000"/>
                <w:sz w:val="20"/>
                <w:szCs w:val="20"/>
              </w:rPr>
              <w:t>Yazarlar</w:t>
            </w:r>
          </w:p>
        </w:tc>
        <w:tc>
          <w:tcPr>
            <w:tcW w:w="1440" w:type="dxa"/>
            <w:tcBorders>
              <w:top w:val="single" w:sz="4" w:space="0" w:color="auto"/>
              <w:left w:val="nil"/>
              <w:bottom w:val="double" w:sz="6" w:space="0" w:color="auto"/>
              <w:right w:val="single" w:sz="4" w:space="0" w:color="auto"/>
            </w:tcBorders>
            <w:shd w:val="clear" w:color="auto" w:fill="auto"/>
            <w:vAlign w:val="center"/>
            <w:hideMark/>
          </w:tcPr>
          <w:p w:rsidR="008216FA" w:rsidRPr="006964C6" w:rsidRDefault="008216FA" w:rsidP="006964C6">
            <w:pPr>
              <w:spacing w:before="120" w:after="120"/>
              <w:jc w:val="center"/>
              <w:rPr>
                <w:b/>
                <w:bCs/>
                <w:color w:val="000000"/>
                <w:sz w:val="20"/>
                <w:szCs w:val="20"/>
              </w:rPr>
            </w:pPr>
            <w:r w:rsidRPr="006964C6">
              <w:rPr>
                <w:b/>
                <w:bCs/>
                <w:color w:val="000000"/>
                <w:sz w:val="20"/>
                <w:szCs w:val="20"/>
              </w:rPr>
              <w:t>Kullanılan Tahminciler</w:t>
            </w:r>
          </w:p>
        </w:tc>
        <w:tc>
          <w:tcPr>
            <w:tcW w:w="1348" w:type="dxa"/>
            <w:tcBorders>
              <w:top w:val="single" w:sz="4" w:space="0" w:color="auto"/>
              <w:left w:val="nil"/>
              <w:bottom w:val="double" w:sz="6" w:space="0" w:color="auto"/>
              <w:right w:val="single" w:sz="4" w:space="0" w:color="auto"/>
            </w:tcBorders>
            <w:shd w:val="clear" w:color="auto" w:fill="auto"/>
            <w:vAlign w:val="center"/>
            <w:hideMark/>
          </w:tcPr>
          <w:p w:rsidR="008216FA" w:rsidRPr="006964C6" w:rsidRDefault="008216FA" w:rsidP="006964C6">
            <w:pPr>
              <w:spacing w:before="120" w:after="120"/>
              <w:jc w:val="center"/>
              <w:rPr>
                <w:b/>
                <w:bCs/>
                <w:color w:val="000000"/>
                <w:sz w:val="20"/>
                <w:szCs w:val="20"/>
              </w:rPr>
            </w:pPr>
            <w:r w:rsidRPr="006964C6">
              <w:rPr>
                <w:b/>
                <w:bCs/>
                <w:color w:val="000000"/>
                <w:sz w:val="20"/>
                <w:szCs w:val="20"/>
              </w:rPr>
              <w:t>Zaman Periyodu</w:t>
            </w:r>
          </w:p>
        </w:tc>
        <w:tc>
          <w:tcPr>
            <w:tcW w:w="2240" w:type="dxa"/>
            <w:tcBorders>
              <w:top w:val="single" w:sz="4" w:space="0" w:color="auto"/>
              <w:left w:val="nil"/>
              <w:bottom w:val="double" w:sz="6" w:space="0" w:color="auto"/>
              <w:right w:val="single" w:sz="4" w:space="0" w:color="auto"/>
            </w:tcBorders>
            <w:shd w:val="clear" w:color="auto" w:fill="auto"/>
            <w:vAlign w:val="center"/>
            <w:hideMark/>
          </w:tcPr>
          <w:p w:rsidR="008216FA" w:rsidRPr="006964C6" w:rsidRDefault="008216FA" w:rsidP="006964C6">
            <w:pPr>
              <w:spacing w:before="120" w:after="120"/>
              <w:jc w:val="center"/>
              <w:rPr>
                <w:b/>
                <w:bCs/>
                <w:color w:val="000000"/>
                <w:sz w:val="20"/>
                <w:szCs w:val="20"/>
              </w:rPr>
            </w:pPr>
            <w:r w:rsidRPr="006964C6">
              <w:rPr>
                <w:b/>
                <w:bCs/>
                <w:color w:val="000000"/>
                <w:sz w:val="20"/>
                <w:szCs w:val="20"/>
              </w:rPr>
              <w:t>Dönüm Noktası (Turning Point)</w:t>
            </w:r>
          </w:p>
        </w:tc>
        <w:tc>
          <w:tcPr>
            <w:tcW w:w="1700" w:type="dxa"/>
            <w:tcBorders>
              <w:top w:val="single" w:sz="4" w:space="0" w:color="auto"/>
              <w:left w:val="nil"/>
              <w:bottom w:val="double" w:sz="6" w:space="0" w:color="auto"/>
              <w:right w:val="single" w:sz="4" w:space="0" w:color="auto"/>
            </w:tcBorders>
            <w:shd w:val="clear" w:color="auto" w:fill="auto"/>
            <w:vAlign w:val="center"/>
            <w:hideMark/>
          </w:tcPr>
          <w:p w:rsidR="008216FA" w:rsidRPr="006964C6" w:rsidRDefault="008216FA" w:rsidP="006964C6">
            <w:pPr>
              <w:spacing w:before="120" w:after="120"/>
              <w:jc w:val="center"/>
              <w:rPr>
                <w:b/>
                <w:bCs/>
                <w:color w:val="000000"/>
                <w:sz w:val="20"/>
                <w:szCs w:val="20"/>
              </w:rPr>
            </w:pPr>
            <w:r w:rsidRPr="006964C6">
              <w:rPr>
                <w:b/>
                <w:bCs/>
                <w:color w:val="000000"/>
                <w:sz w:val="20"/>
                <w:szCs w:val="20"/>
              </w:rPr>
              <w:t>Ülkeler</w:t>
            </w:r>
          </w:p>
        </w:tc>
      </w:tr>
      <w:tr w:rsidR="008216FA" w:rsidTr="0067051B">
        <w:trPr>
          <w:trHeight w:val="2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Selden and Song, 1994</w:t>
            </w:r>
          </w:p>
        </w:tc>
        <w:tc>
          <w:tcPr>
            <w:tcW w:w="144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Random ve Fixed Effekt OLS</w:t>
            </w:r>
          </w:p>
        </w:tc>
        <w:tc>
          <w:tcPr>
            <w:tcW w:w="1348"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1979-1987</w:t>
            </w:r>
          </w:p>
        </w:tc>
        <w:tc>
          <w:tcPr>
            <w:tcW w:w="224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10391$-10620$</w:t>
            </w:r>
          </w:p>
        </w:tc>
        <w:tc>
          <w:tcPr>
            <w:tcW w:w="170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22 OECD ve 8 gelişmekte olan ülke</w:t>
            </w:r>
          </w:p>
        </w:tc>
      </w:tr>
      <w:tr w:rsidR="008216FA" w:rsidTr="0067051B">
        <w:trPr>
          <w:trHeight w:val="2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Panayotou 1993, 1995</w:t>
            </w:r>
          </w:p>
        </w:tc>
        <w:tc>
          <w:tcPr>
            <w:tcW w:w="144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OLS</w:t>
            </w:r>
          </w:p>
        </w:tc>
        <w:tc>
          <w:tcPr>
            <w:tcW w:w="1348"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1987-1988</w:t>
            </w:r>
          </w:p>
        </w:tc>
        <w:tc>
          <w:tcPr>
            <w:tcW w:w="224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3137$</w:t>
            </w:r>
          </w:p>
        </w:tc>
        <w:tc>
          <w:tcPr>
            <w:tcW w:w="170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55 gelişmiş ve gelişmekte olan ülke</w:t>
            </w:r>
          </w:p>
        </w:tc>
      </w:tr>
      <w:tr w:rsidR="008216FA" w:rsidTr="0067051B">
        <w:trPr>
          <w:trHeight w:val="2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Cole vd</w:t>
            </w:r>
            <w:proofErr w:type="gramStart"/>
            <w:r w:rsidRPr="006964C6">
              <w:rPr>
                <w:color w:val="000000"/>
                <w:sz w:val="20"/>
                <w:szCs w:val="20"/>
              </w:rPr>
              <w:t>.,</w:t>
            </w:r>
            <w:proofErr w:type="gramEnd"/>
            <w:r w:rsidRPr="006964C6">
              <w:rPr>
                <w:color w:val="000000"/>
                <w:sz w:val="20"/>
                <w:szCs w:val="20"/>
              </w:rPr>
              <w:t xml:space="preserve"> 1997</w:t>
            </w:r>
          </w:p>
        </w:tc>
        <w:tc>
          <w:tcPr>
            <w:tcW w:w="144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Random ve Fixed Effekt OLS</w:t>
            </w:r>
          </w:p>
        </w:tc>
        <w:tc>
          <w:tcPr>
            <w:tcW w:w="1348"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1970-1992</w:t>
            </w:r>
          </w:p>
        </w:tc>
        <w:tc>
          <w:tcPr>
            <w:tcW w:w="224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8232$</w:t>
            </w:r>
          </w:p>
        </w:tc>
        <w:tc>
          <w:tcPr>
            <w:tcW w:w="170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11 OECD ülkesi</w:t>
            </w:r>
          </w:p>
        </w:tc>
      </w:tr>
      <w:tr w:rsidR="008216FA" w:rsidTr="0067051B">
        <w:trPr>
          <w:trHeight w:val="2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Stern and Common, 2001</w:t>
            </w:r>
          </w:p>
        </w:tc>
        <w:tc>
          <w:tcPr>
            <w:tcW w:w="144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 xml:space="preserve">Random ve Fixed Effekt  </w:t>
            </w:r>
          </w:p>
        </w:tc>
        <w:tc>
          <w:tcPr>
            <w:tcW w:w="1348"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1960-1990</w:t>
            </w:r>
          </w:p>
        </w:tc>
        <w:tc>
          <w:tcPr>
            <w:tcW w:w="224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101166$</w:t>
            </w:r>
          </w:p>
        </w:tc>
        <w:tc>
          <w:tcPr>
            <w:tcW w:w="170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73 gelişmiş ve gelişmekte olan ülke</w:t>
            </w:r>
          </w:p>
        </w:tc>
      </w:tr>
      <w:tr w:rsidR="008216FA" w:rsidTr="0067051B">
        <w:trPr>
          <w:trHeight w:val="2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Halkos, 2003</w:t>
            </w:r>
          </w:p>
        </w:tc>
        <w:tc>
          <w:tcPr>
            <w:tcW w:w="144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GMM, Random Coeffients</w:t>
            </w:r>
          </w:p>
        </w:tc>
        <w:tc>
          <w:tcPr>
            <w:tcW w:w="1348"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1960-1990</w:t>
            </w:r>
          </w:p>
        </w:tc>
        <w:tc>
          <w:tcPr>
            <w:tcW w:w="224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2805$-6230$</w:t>
            </w:r>
          </w:p>
        </w:tc>
        <w:tc>
          <w:tcPr>
            <w:tcW w:w="170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73 gelişmiş ve gelişmekte olan ülke</w:t>
            </w:r>
          </w:p>
        </w:tc>
      </w:tr>
      <w:tr w:rsidR="008216FA" w:rsidTr="0067051B">
        <w:trPr>
          <w:trHeight w:val="2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Akbostancı vd</w:t>
            </w:r>
            <w:proofErr w:type="gramStart"/>
            <w:r w:rsidRPr="006964C6">
              <w:rPr>
                <w:color w:val="000000"/>
                <w:sz w:val="20"/>
                <w:szCs w:val="20"/>
              </w:rPr>
              <w:t>.,</w:t>
            </w:r>
            <w:proofErr w:type="gramEnd"/>
            <w:r w:rsidRPr="006964C6">
              <w:rPr>
                <w:color w:val="000000"/>
                <w:sz w:val="20"/>
                <w:szCs w:val="20"/>
              </w:rPr>
              <w:t>2009</w:t>
            </w:r>
          </w:p>
        </w:tc>
        <w:tc>
          <w:tcPr>
            <w:tcW w:w="1440" w:type="dxa"/>
            <w:tcBorders>
              <w:top w:val="nil"/>
              <w:left w:val="nil"/>
              <w:bottom w:val="single" w:sz="4" w:space="0" w:color="auto"/>
              <w:right w:val="single" w:sz="4" w:space="0" w:color="auto"/>
            </w:tcBorders>
            <w:shd w:val="clear" w:color="auto" w:fill="auto"/>
            <w:noWrap/>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Pooled EGLS</w:t>
            </w:r>
          </w:p>
        </w:tc>
        <w:tc>
          <w:tcPr>
            <w:tcW w:w="1348"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1992-2001</w:t>
            </w:r>
          </w:p>
        </w:tc>
        <w:tc>
          <w:tcPr>
            <w:tcW w:w="224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1934$-5817$</w:t>
            </w:r>
          </w:p>
        </w:tc>
        <w:tc>
          <w:tcPr>
            <w:tcW w:w="170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58 il- Türkiye</w:t>
            </w:r>
          </w:p>
        </w:tc>
      </w:tr>
      <w:tr w:rsidR="008216FA" w:rsidTr="0067051B">
        <w:trPr>
          <w:trHeight w:val="2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Fodha ve Zaghdoud, 2010</w:t>
            </w:r>
          </w:p>
        </w:tc>
        <w:tc>
          <w:tcPr>
            <w:tcW w:w="144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VAR, ECM</w:t>
            </w:r>
          </w:p>
        </w:tc>
        <w:tc>
          <w:tcPr>
            <w:tcW w:w="1348"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1961-2004</w:t>
            </w:r>
          </w:p>
        </w:tc>
        <w:tc>
          <w:tcPr>
            <w:tcW w:w="224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1200$-3700$</w:t>
            </w:r>
          </w:p>
        </w:tc>
        <w:tc>
          <w:tcPr>
            <w:tcW w:w="170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Tunus</w:t>
            </w:r>
          </w:p>
        </w:tc>
      </w:tr>
      <w:tr w:rsidR="008216FA" w:rsidTr="0067051B">
        <w:trPr>
          <w:trHeight w:val="2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Lee vd</w:t>
            </w:r>
            <w:proofErr w:type="gramStart"/>
            <w:r w:rsidRPr="006964C6">
              <w:rPr>
                <w:color w:val="000000"/>
                <w:sz w:val="20"/>
                <w:szCs w:val="20"/>
              </w:rPr>
              <w:t>.,</w:t>
            </w:r>
            <w:proofErr w:type="gramEnd"/>
            <w:r w:rsidRPr="006964C6">
              <w:rPr>
                <w:color w:val="000000"/>
                <w:sz w:val="20"/>
                <w:szCs w:val="20"/>
              </w:rPr>
              <w:t xml:space="preserve"> 2010</w:t>
            </w:r>
          </w:p>
        </w:tc>
        <w:tc>
          <w:tcPr>
            <w:tcW w:w="144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 xml:space="preserve">GMM </w:t>
            </w:r>
          </w:p>
        </w:tc>
        <w:tc>
          <w:tcPr>
            <w:tcW w:w="1348"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1980-2001</w:t>
            </w:r>
          </w:p>
        </w:tc>
        <w:tc>
          <w:tcPr>
            <w:tcW w:w="224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Amerika 13956$, Avrupa 38221$</w:t>
            </w:r>
          </w:p>
        </w:tc>
        <w:tc>
          <w:tcPr>
            <w:tcW w:w="170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97 Amerika ve Avrupa Ülkesi</w:t>
            </w:r>
          </w:p>
        </w:tc>
      </w:tr>
      <w:tr w:rsidR="008216FA" w:rsidTr="0067051B">
        <w:trPr>
          <w:trHeight w:val="2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Bella vd. 2010</w:t>
            </w:r>
          </w:p>
        </w:tc>
        <w:tc>
          <w:tcPr>
            <w:tcW w:w="144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FE, RE,</w:t>
            </w:r>
            <w:r w:rsidR="00D4548C" w:rsidRPr="006964C6">
              <w:rPr>
                <w:color w:val="000000"/>
                <w:sz w:val="20"/>
                <w:szCs w:val="20"/>
              </w:rPr>
              <w:t xml:space="preserve"> </w:t>
            </w:r>
            <w:r w:rsidRPr="006964C6">
              <w:rPr>
                <w:color w:val="000000"/>
                <w:sz w:val="20"/>
                <w:szCs w:val="20"/>
              </w:rPr>
              <w:t>PMG</w:t>
            </w:r>
          </w:p>
        </w:tc>
        <w:tc>
          <w:tcPr>
            <w:tcW w:w="1348"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1971-2006</w:t>
            </w:r>
          </w:p>
        </w:tc>
        <w:tc>
          <w:tcPr>
            <w:tcW w:w="224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Tüm ülkeler 80$-54405$ OECD 2141$-54405$ OECD dışı 80$-36884$</w:t>
            </w:r>
          </w:p>
        </w:tc>
        <w:tc>
          <w:tcPr>
            <w:tcW w:w="1700" w:type="dxa"/>
            <w:tcBorders>
              <w:top w:val="nil"/>
              <w:left w:val="nil"/>
              <w:bottom w:val="single" w:sz="4" w:space="0" w:color="auto"/>
              <w:right w:val="single" w:sz="4" w:space="0" w:color="auto"/>
            </w:tcBorders>
            <w:shd w:val="clear" w:color="auto" w:fill="auto"/>
            <w:vAlign w:val="center"/>
            <w:hideMark/>
          </w:tcPr>
          <w:p w:rsidR="008216FA" w:rsidRPr="006964C6" w:rsidRDefault="008216FA" w:rsidP="006964C6">
            <w:pPr>
              <w:spacing w:before="120" w:after="120"/>
              <w:jc w:val="center"/>
              <w:rPr>
                <w:color w:val="000000"/>
                <w:sz w:val="20"/>
                <w:szCs w:val="20"/>
              </w:rPr>
            </w:pPr>
            <w:r w:rsidRPr="006964C6">
              <w:rPr>
                <w:color w:val="000000"/>
                <w:sz w:val="20"/>
                <w:szCs w:val="20"/>
              </w:rPr>
              <w:t xml:space="preserve">77 ülke, 22 OECD, 55 OECD dışı </w:t>
            </w:r>
          </w:p>
        </w:tc>
      </w:tr>
    </w:tbl>
    <w:p w:rsidR="000955F7" w:rsidRPr="00BD27EC" w:rsidRDefault="00EA3373" w:rsidP="006964C6">
      <w:pPr>
        <w:spacing w:before="120" w:after="120"/>
        <w:jc w:val="both"/>
        <w:rPr>
          <w:sz w:val="20"/>
          <w:szCs w:val="20"/>
        </w:rPr>
      </w:pPr>
      <w:r w:rsidRPr="00EA3373">
        <w:rPr>
          <w:b/>
          <w:sz w:val="20"/>
          <w:szCs w:val="20"/>
        </w:rPr>
        <w:t>Kaynak</w:t>
      </w:r>
      <w:r w:rsidR="00BD27EC" w:rsidRPr="00EA3373">
        <w:rPr>
          <w:b/>
          <w:sz w:val="20"/>
          <w:szCs w:val="20"/>
        </w:rPr>
        <w:t>:</w:t>
      </w:r>
      <w:r w:rsidR="00BD27EC" w:rsidRPr="00BD27EC">
        <w:rPr>
          <w:sz w:val="20"/>
          <w:szCs w:val="20"/>
        </w:rPr>
        <w:t xml:space="preserve"> Yazar tarafından oluşturulmuştur.</w:t>
      </w:r>
    </w:p>
    <w:p w:rsidR="00D60AB0" w:rsidRDefault="00027773" w:rsidP="00D60AB0">
      <w:pPr>
        <w:spacing w:before="240" w:after="240" w:line="360" w:lineRule="auto"/>
        <w:ind w:firstLine="708"/>
        <w:jc w:val="both"/>
      </w:pPr>
      <w:r>
        <w:rPr>
          <w:color w:val="000000"/>
        </w:rPr>
        <w:t xml:space="preserve">Dinda, ( 2004: 440-441)  </w:t>
      </w:r>
      <w:r>
        <w:t>çalışmasında kişi başı karbon emisyonu, kişi başı reel gelir ve kişi başı enerji tüketimi arasındaki uzun dönem ilişki</w:t>
      </w:r>
      <w:r w:rsidR="003E39BE">
        <w:t>sini,</w:t>
      </w:r>
      <w:r>
        <w:t xml:space="preserve"> logaritmik doğr</w:t>
      </w:r>
      <w:r w:rsidR="003E39BE">
        <w:t>usal fonksiyon şeklinde tanımlamıştır:</w:t>
      </w:r>
    </w:p>
    <w:p w:rsidR="00744184" w:rsidRPr="00D60AB0" w:rsidRDefault="00E56A11" w:rsidP="00D60AB0">
      <w:pPr>
        <w:spacing w:before="240" w:after="240" w:line="360" w:lineRule="auto"/>
        <w:ind w:firstLine="708"/>
        <w:jc w:val="both"/>
      </w:pPr>
      <m:oMath>
        <m:sSub>
          <m:sSubPr>
            <m:ctrlPr>
              <w:rPr>
                <w:rFonts w:ascii="Cambria Math" w:hAnsi="Cambria Math"/>
                <w:i/>
              </w:rPr>
            </m:ctrlPr>
          </m:sSubPr>
          <m:e>
            <m:r>
              <w:rPr>
                <w:rFonts w:ascii="Cambria Math" w:hAnsi="Cambria Math"/>
              </w:rPr>
              <m:t>CO</m:t>
            </m:r>
          </m:e>
          <m:sub>
            <m:r>
              <w:rPr>
                <w:rFonts w:ascii="Cambria Math" w:hAnsi="Cambria Math"/>
              </w:rPr>
              <m:t xml:space="preserve">it  </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i0</m:t>
            </m:r>
          </m:sub>
        </m:sSub>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 α</m:t>
            </m:r>
          </m:e>
          <m:sub>
            <m:r>
              <w:rPr>
                <w:rFonts w:ascii="Cambria Math" w:hAnsi="Cambria Math"/>
              </w:rPr>
              <m:t>2</m:t>
            </m:r>
          </m:sub>
        </m:sSub>
        <m:sSubSup>
          <m:sSubSupPr>
            <m:ctrlPr>
              <w:rPr>
                <w:rFonts w:ascii="Cambria Math" w:hAnsi="Cambria Math"/>
                <w:i/>
              </w:rPr>
            </m:ctrlPr>
          </m:sSubSupPr>
          <m:e>
            <m:r>
              <w:rPr>
                <w:rFonts w:ascii="Cambria Math" w:hAnsi="Cambria Math"/>
              </w:rPr>
              <m:t>Y</m:t>
            </m:r>
          </m:e>
          <m:sub>
            <m:r>
              <w:rPr>
                <w:rFonts w:ascii="Cambria Math" w:hAnsi="Cambria Math"/>
              </w:rPr>
              <m:t>it</m:t>
            </m:r>
          </m:sub>
          <m:sup>
            <m:r>
              <w:rPr>
                <w:rFonts w:ascii="Cambria Math" w:hAnsi="Cambria Math"/>
              </w:rPr>
              <m:t>2</m:t>
            </m:r>
          </m:sup>
        </m:sSubSup>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3</m:t>
            </m:r>
          </m:sub>
        </m:sSub>
        <m:sSubSup>
          <m:sSubSupPr>
            <m:ctrlPr>
              <w:rPr>
                <w:rFonts w:ascii="Cambria Math" w:hAnsi="Cambria Math"/>
                <w:i/>
              </w:rPr>
            </m:ctrlPr>
          </m:sSubSupPr>
          <m:e>
            <m:r>
              <w:rPr>
                <w:rFonts w:ascii="Cambria Math" w:hAnsi="Cambria Math"/>
              </w:rPr>
              <m:t>Y</m:t>
            </m:r>
          </m:e>
          <m:sub>
            <m:r>
              <w:rPr>
                <w:rFonts w:ascii="Cambria Math" w:hAnsi="Cambria Math"/>
              </w:rPr>
              <m:t>it</m:t>
            </m:r>
          </m:sub>
          <m:sup>
            <m:r>
              <w:rPr>
                <w:rFonts w:ascii="Cambria Math" w:hAnsi="Cambria Math"/>
              </w:rPr>
              <m:t>3</m:t>
            </m:r>
          </m:sup>
        </m:sSubSup>
        <m:r>
          <w:rPr>
            <w:rFonts w:ascii="Cambria Math" w:hAnsi="Cambria Math"/>
          </w:rPr>
          <m:t>+</m:t>
        </m:r>
        <m:sSub>
          <m:sSubPr>
            <m:ctrlPr>
              <w:rPr>
                <w:rFonts w:ascii="Cambria Math" w:hAnsi="Cambria Math"/>
                <w:i/>
              </w:rPr>
            </m:ctrlPr>
          </m:sSubPr>
          <m:e>
            <m:r>
              <w:rPr>
                <w:rFonts w:ascii="Cambria Math" w:hAnsi="Cambria Math"/>
                <w:color w:val="000000"/>
              </w:rPr>
              <m:t>ε</m:t>
            </m:r>
          </m:e>
          <m:sub>
            <m:r>
              <w:rPr>
                <w:rFonts w:ascii="Cambria Math" w:hAnsi="Cambria Math"/>
              </w:rPr>
              <m:t>it</m:t>
            </m:r>
          </m:sub>
        </m:sSub>
      </m:oMath>
      <w:r w:rsidR="00D60AB0">
        <w:tab/>
      </w:r>
      <w:r w:rsidR="00D60AB0">
        <w:tab/>
      </w:r>
      <w:r w:rsidR="00D60AB0">
        <w:tab/>
      </w:r>
      <w:r w:rsidR="00632F24">
        <w:t xml:space="preserve">                          </w:t>
      </w:r>
      <w:r w:rsidR="00D60AB0">
        <w:t>(</w:t>
      </w:r>
      <w:r w:rsidR="00960EF3">
        <w:t>3.</w:t>
      </w:r>
      <w:r w:rsidR="00D60AB0">
        <w:t>1)</w:t>
      </w:r>
    </w:p>
    <w:p w:rsidR="00027773" w:rsidRDefault="00027773" w:rsidP="006964C6">
      <w:pPr>
        <w:spacing w:before="240" w:after="240" w:line="360" w:lineRule="auto"/>
        <w:jc w:val="both"/>
        <w:rPr>
          <w:color w:val="000000"/>
        </w:rPr>
      </w:pPr>
      <w:r>
        <w:rPr>
          <w:color w:val="000000"/>
        </w:rPr>
        <w:t xml:space="preserve">Burada; </w:t>
      </w:r>
      <w:r w:rsidRPr="00F73BDC">
        <w:rPr>
          <w:i/>
          <w:color w:val="000000"/>
        </w:rPr>
        <w:t>CO</w:t>
      </w:r>
      <w:r w:rsidR="00082CAD">
        <w:rPr>
          <w:color w:val="000000"/>
        </w:rPr>
        <w:t xml:space="preserve"> karbondioksit emisyonu, </w:t>
      </w:r>
      <w:r w:rsidRPr="009C6F7C">
        <w:rPr>
          <w:i/>
          <w:color w:val="000000"/>
        </w:rPr>
        <w:t>Y</w:t>
      </w:r>
      <w:r>
        <w:rPr>
          <w:color w:val="000000"/>
        </w:rPr>
        <w:t xml:space="preserve"> kişi başı reel gelir</w:t>
      </w:r>
      <w:r w:rsidR="00082CAD">
        <w:rPr>
          <w:color w:val="000000"/>
        </w:rPr>
        <w:t>,</w:t>
      </w:r>
      <w:r>
        <w:rPr>
          <w:color w:val="000000"/>
        </w:rPr>
        <w:t xml:space="preserve"> </w:t>
      </w:r>
      <w:r w:rsidRPr="009C6F7C">
        <w:rPr>
          <w:i/>
          <w:color w:val="000000"/>
        </w:rPr>
        <w:t>Y</w:t>
      </w:r>
      <w:r>
        <w:rPr>
          <w:i/>
          <w:color w:val="000000"/>
          <w:vertAlign w:val="superscript"/>
        </w:rPr>
        <w:t>2</w:t>
      </w:r>
      <w:r>
        <w:rPr>
          <w:color w:val="000000"/>
        </w:rPr>
        <w:t xml:space="preserve"> kişi başı reel gelirin karesi,</w:t>
      </w:r>
      <w:r w:rsidRPr="000D73F2">
        <w:rPr>
          <w:i/>
          <w:color w:val="000000"/>
        </w:rPr>
        <w:t xml:space="preserve"> </w:t>
      </w:r>
      <w:r w:rsidRPr="009C6F7C">
        <w:rPr>
          <w:i/>
          <w:color w:val="000000"/>
        </w:rPr>
        <w:t>Y</w:t>
      </w:r>
      <w:r>
        <w:rPr>
          <w:i/>
          <w:color w:val="000000"/>
          <w:vertAlign w:val="superscript"/>
        </w:rPr>
        <w:t>3</w:t>
      </w:r>
      <w:r>
        <w:rPr>
          <w:color w:val="000000"/>
        </w:rPr>
        <w:t xml:space="preserve"> kişi başı reel gelirin küpünü</w:t>
      </w:r>
      <w:r w:rsidR="006E4A0F">
        <w:rPr>
          <w:color w:val="000000"/>
        </w:rPr>
        <w:t xml:space="preserve"> </w:t>
      </w:r>
      <w:r>
        <w:rPr>
          <w:color w:val="000000"/>
        </w:rPr>
        <w:t xml:space="preserve">ve </w:t>
      </w:r>
      <w:r w:rsidRPr="00F73BDC">
        <w:rPr>
          <w:i/>
          <w:color w:val="000000"/>
        </w:rPr>
        <w:t>ε</w:t>
      </w:r>
      <w:proofErr w:type="gramStart"/>
      <w:r w:rsidRPr="00F73BDC">
        <w:rPr>
          <w:i/>
          <w:color w:val="000000"/>
          <w:vertAlign w:val="subscript"/>
        </w:rPr>
        <w:t>t</w:t>
      </w:r>
      <w:r>
        <w:rPr>
          <w:i/>
          <w:color w:val="000000"/>
          <w:vertAlign w:val="subscript"/>
        </w:rPr>
        <w:t xml:space="preserve"> </w:t>
      </w:r>
      <w:r w:rsidR="00082CAD">
        <w:rPr>
          <w:i/>
          <w:color w:val="000000"/>
          <w:vertAlign w:val="subscript"/>
        </w:rPr>
        <w:t xml:space="preserve"> </w:t>
      </w:r>
      <w:r>
        <w:rPr>
          <w:color w:val="000000"/>
        </w:rPr>
        <w:t>hata</w:t>
      </w:r>
      <w:proofErr w:type="gramEnd"/>
      <w:r>
        <w:rPr>
          <w:color w:val="000000"/>
        </w:rPr>
        <w:t xml:space="preserve"> terimini göstermektedir. 1. denklemdeki </w:t>
      </w:r>
      <w:r w:rsidRPr="0027194B">
        <w:rPr>
          <w:color w:val="000000"/>
        </w:rPr>
        <w:t>α</w:t>
      </w:r>
      <w:r>
        <w:rPr>
          <w:color w:val="000000"/>
        </w:rPr>
        <w:t xml:space="preserve"> parametreleri (i=</w:t>
      </w:r>
      <w:proofErr w:type="gramStart"/>
      <w:r>
        <w:rPr>
          <w:color w:val="000000"/>
        </w:rPr>
        <w:t>1,2,3</w:t>
      </w:r>
      <w:proofErr w:type="gramEnd"/>
      <w:r>
        <w:rPr>
          <w:color w:val="000000"/>
        </w:rPr>
        <w:t>,) sırasıyla uzun dönem kişi başı karbon emisyonları, kişi başı reel gelir v</w:t>
      </w:r>
      <w:r w:rsidR="00273048">
        <w:rPr>
          <w:color w:val="000000"/>
        </w:rPr>
        <w:t>e kişi başı reel gelirin karesi ve</w:t>
      </w:r>
      <w:r>
        <w:rPr>
          <w:color w:val="000000"/>
        </w:rPr>
        <w:t xml:space="preserve"> kişi başı reel gelirin küpü esneklik tahminlerini vermektedir. EKC hipoteziyle uzun dönem esneklik </w:t>
      </w:r>
      <w:r>
        <w:rPr>
          <w:color w:val="000000"/>
        </w:rPr>
        <w:lastRenderedPageBreak/>
        <w:t xml:space="preserve">tahmininde kişi başı reel gelir ile kişi başı reel gelirin karesinin </w:t>
      </w:r>
      <w:r w:rsidRPr="00377AB0">
        <w:rPr>
          <w:i/>
          <w:color w:val="000000"/>
        </w:rPr>
        <w:t>α</w:t>
      </w:r>
      <w:r>
        <w:rPr>
          <w:i/>
          <w:color w:val="000000"/>
          <w:vertAlign w:val="subscript"/>
        </w:rPr>
        <w:t>1</w:t>
      </w:r>
      <w:r>
        <w:rPr>
          <w:i/>
          <w:color w:val="000000"/>
        </w:rPr>
        <w:t xml:space="preserve"> &gt; </w:t>
      </w:r>
      <w:r>
        <w:rPr>
          <w:color w:val="000000"/>
        </w:rPr>
        <w:t xml:space="preserve">0 ve </w:t>
      </w:r>
      <w:r w:rsidRPr="00377AB0">
        <w:rPr>
          <w:i/>
          <w:color w:val="000000"/>
        </w:rPr>
        <w:t>α</w:t>
      </w:r>
      <w:r>
        <w:rPr>
          <w:i/>
          <w:color w:val="000000"/>
          <w:vertAlign w:val="subscript"/>
        </w:rPr>
        <w:t>2</w:t>
      </w:r>
      <w:r>
        <w:rPr>
          <w:i/>
          <w:color w:val="000000"/>
        </w:rPr>
        <w:t xml:space="preserve"> &lt;  </w:t>
      </w:r>
      <w:r>
        <w:rPr>
          <w:color w:val="000000"/>
        </w:rPr>
        <w:t>0 olması be</w:t>
      </w:r>
      <w:r w:rsidR="0055060C">
        <w:rPr>
          <w:color w:val="000000"/>
        </w:rPr>
        <w:t>klenir. Bunun anlamı, Çevresel K</w:t>
      </w:r>
      <w:r>
        <w:rPr>
          <w:color w:val="000000"/>
        </w:rPr>
        <w:t>uznet</w:t>
      </w:r>
      <w:r w:rsidR="0055060C">
        <w:rPr>
          <w:color w:val="000000"/>
        </w:rPr>
        <w:t>s E</w:t>
      </w:r>
      <w:r>
        <w:rPr>
          <w:color w:val="000000"/>
        </w:rPr>
        <w:t>ğrisi</w:t>
      </w:r>
      <w:r w:rsidR="0055060C">
        <w:rPr>
          <w:color w:val="000000"/>
        </w:rPr>
        <w:t>’</w:t>
      </w:r>
      <w:r>
        <w:rPr>
          <w:color w:val="000000"/>
        </w:rPr>
        <w:t>nin varlığını gösterir. Yani ters U şeklinin gerçekleşmesidir. Kişi başı reel gelir arttığında karbon emisyonları belirli bir eşiğe kadar artar ve daha sonra bu eşikten aşağıya doğru azalmaya başlar (Öztürk ve Acaravci, 2012: 2).</w:t>
      </w:r>
    </w:p>
    <w:p w:rsidR="00027773" w:rsidRDefault="00027773" w:rsidP="006964C6">
      <w:pPr>
        <w:autoSpaceDE w:val="0"/>
        <w:autoSpaceDN w:val="0"/>
        <w:adjustRightInd w:val="0"/>
        <w:spacing w:before="240" w:after="240" w:line="360" w:lineRule="auto"/>
        <w:rPr>
          <w:color w:val="000000"/>
        </w:rPr>
      </w:pPr>
      <w:r w:rsidRPr="00F11E77">
        <w:rPr>
          <w:color w:val="000000"/>
        </w:rPr>
        <w:t>Model (1)’in tahmini ile gelir-çevre kirliliğ</w:t>
      </w:r>
      <w:r>
        <w:rPr>
          <w:color w:val="000000"/>
        </w:rPr>
        <w:t>i/</w:t>
      </w:r>
      <w:r w:rsidRPr="00F11E77">
        <w:rPr>
          <w:color w:val="000000"/>
        </w:rPr>
        <w:t>bozulmaları arasında, aşağıdaki muhtemel sonuçlar elde edilebilmektedir</w:t>
      </w:r>
      <w:r>
        <w:rPr>
          <w:color w:val="000000"/>
        </w:rPr>
        <w:t>;</w:t>
      </w:r>
    </w:p>
    <w:p w:rsidR="00027773" w:rsidRPr="00F11E77" w:rsidRDefault="00027773" w:rsidP="006964C6">
      <w:pPr>
        <w:autoSpaceDE w:val="0"/>
        <w:autoSpaceDN w:val="0"/>
        <w:adjustRightInd w:val="0"/>
        <w:spacing w:before="120" w:after="120" w:line="360" w:lineRule="auto"/>
        <w:rPr>
          <w:color w:val="000000"/>
        </w:rPr>
      </w:pPr>
      <w:r w:rsidRPr="00F11E77">
        <w:rPr>
          <w:color w:val="000000"/>
        </w:rPr>
        <w:t xml:space="preserve"> (i) </w:t>
      </w:r>
      <w:r w:rsidRPr="00377AB0">
        <w:rPr>
          <w:i/>
          <w:color w:val="000000"/>
        </w:rPr>
        <w:t>α</w:t>
      </w:r>
      <w:r>
        <w:rPr>
          <w:i/>
          <w:color w:val="000000"/>
          <w:vertAlign w:val="subscript"/>
        </w:rPr>
        <w:t xml:space="preserve">1 </w:t>
      </w:r>
      <w:r>
        <w:rPr>
          <w:i/>
          <w:color w:val="000000"/>
        </w:rPr>
        <w:t>=</w:t>
      </w:r>
      <w:r>
        <w:rPr>
          <w:i/>
          <w:color w:val="000000"/>
          <w:vertAlign w:val="subscript"/>
        </w:rPr>
        <w:t xml:space="preserve">  </w:t>
      </w:r>
      <w:r w:rsidRPr="00377AB0">
        <w:rPr>
          <w:i/>
          <w:color w:val="000000"/>
        </w:rPr>
        <w:t>α</w:t>
      </w:r>
      <w:r>
        <w:rPr>
          <w:i/>
          <w:color w:val="000000"/>
          <w:vertAlign w:val="subscript"/>
        </w:rPr>
        <w:t xml:space="preserve">2 </w:t>
      </w:r>
      <w:r>
        <w:rPr>
          <w:i/>
          <w:color w:val="000000"/>
        </w:rPr>
        <w:t>=</w:t>
      </w:r>
      <w:r>
        <w:rPr>
          <w:i/>
          <w:color w:val="000000"/>
          <w:vertAlign w:val="subscript"/>
        </w:rPr>
        <w:t xml:space="preserve"> </w:t>
      </w:r>
      <w:r w:rsidRPr="00377AB0">
        <w:rPr>
          <w:i/>
          <w:color w:val="000000"/>
        </w:rPr>
        <w:t>α</w:t>
      </w:r>
      <w:r>
        <w:rPr>
          <w:i/>
          <w:color w:val="000000"/>
          <w:vertAlign w:val="subscript"/>
        </w:rPr>
        <w:t xml:space="preserve">3 </w:t>
      </w:r>
      <w:r>
        <w:rPr>
          <w:i/>
          <w:color w:val="000000"/>
        </w:rPr>
        <w:t>=</w:t>
      </w:r>
      <w:r>
        <w:rPr>
          <w:i/>
          <w:color w:val="000000"/>
          <w:vertAlign w:val="subscript"/>
        </w:rPr>
        <w:t xml:space="preserve">   </w:t>
      </w:r>
      <w:proofErr w:type="gramStart"/>
      <w:r>
        <w:rPr>
          <w:i/>
          <w:color w:val="000000"/>
        </w:rPr>
        <w:t xml:space="preserve">0 </w:t>
      </w:r>
      <w:r>
        <w:rPr>
          <w:i/>
          <w:color w:val="000000"/>
          <w:vertAlign w:val="subscript"/>
        </w:rPr>
        <w:t xml:space="preserve">  </w:t>
      </w:r>
      <w:r>
        <w:rPr>
          <w:color w:val="000000"/>
        </w:rPr>
        <w:t>karbon</w:t>
      </w:r>
      <w:proofErr w:type="gramEnd"/>
      <w:r>
        <w:rPr>
          <w:color w:val="000000"/>
        </w:rPr>
        <w:t xml:space="preserve"> emisyonları</w:t>
      </w:r>
      <w:r w:rsidRPr="00F11E77">
        <w:rPr>
          <w:color w:val="000000"/>
        </w:rPr>
        <w:t xml:space="preserve"> ve </w:t>
      </w:r>
      <w:r>
        <w:rPr>
          <w:color w:val="000000"/>
        </w:rPr>
        <w:t>gelir</w:t>
      </w:r>
      <w:r w:rsidRPr="00F11E77">
        <w:rPr>
          <w:color w:val="000000"/>
        </w:rPr>
        <w:t xml:space="preserve"> arasında herhangi bir ilişki yoktur.</w:t>
      </w:r>
    </w:p>
    <w:p w:rsidR="00027773" w:rsidRPr="00F11E77" w:rsidRDefault="00027773" w:rsidP="006964C6">
      <w:pPr>
        <w:autoSpaceDE w:val="0"/>
        <w:autoSpaceDN w:val="0"/>
        <w:adjustRightInd w:val="0"/>
        <w:spacing w:before="120" w:after="120" w:line="360" w:lineRule="auto"/>
        <w:rPr>
          <w:color w:val="000000"/>
        </w:rPr>
      </w:pPr>
      <w:r w:rsidRPr="00F11E77">
        <w:rPr>
          <w:color w:val="000000"/>
        </w:rPr>
        <w:t xml:space="preserve">(ii) </w:t>
      </w:r>
      <w:r w:rsidRPr="00377AB0">
        <w:rPr>
          <w:i/>
          <w:color w:val="000000"/>
        </w:rPr>
        <w:t>α</w:t>
      </w:r>
      <w:r>
        <w:rPr>
          <w:i/>
          <w:color w:val="000000"/>
          <w:vertAlign w:val="subscript"/>
        </w:rPr>
        <w:t>1</w:t>
      </w:r>
      <w:r>
        <w:rPr>
          <w:color w:val="000000"/>
        </w:rPr>
        <w:t xml:space="preserve"> </w:t>
      </w:r>
      <w:r w:rsidRPr="00F11E77">
        <w:rPr>
          <w:color w:val="000000"/>
        </w:rPr>
        <w:t xml:space="preserve">&gt; </w:t>
      </w:r>
      <w:r>
        <w:rPr>
          <w:color w:val="000000"/>
        </w:rPr>
        <w:t xml:space="preserve">0 </w:t>
      </w:r>
      <w:r w:rsidRPr="00F11E77">
        <w:rPr>
          <w:color w:val="000000"/>
        </w:rPr>
        <w:t xml:space="preserve">ve </w:t>
      </w:r>
      <w:r w:rsidRPr="00377AB0">
        <w:rPr>
          <w:i/>
          <w:color w:val="000000"/>
        </w:rPr>
        <w:t>α</w:t>
      </w:r>
      <w:r>
        <w:rPr>
          <w:i/>
          <w:color w:val="000000"/>
          <w:vertAlign w:val="subscript"/>
        </w:rPr>
        <w:t>2</w:t>
      </w:r>
      <w:r w:rsidRPr="00F11E77">
        <w:rPr>
          <w:color w:val="000000"/>
        </w:rPr>
        <w:t xml:space="preserve"> = </w:t>
      </w:r>
      <w:r w:rsidRPr="00377AB0">
        <w:rPr>
          <w:i/>
          <w:color w:val="000000"/>
        </w:rPr>
        <w:t>α</w:t>
      </w:r>
      <w:r>
        <w:rPr>
          <w:i/>
          <w:color w:val="000000"/>
          <w:vertAlign w:val="subscript"/>
        </w:rPr>
        <w:t>3</w:t>
      </w:r>
      <w:r w:rsidRPr="00F11E77">
        <w:rPr>
          <w:color w:val="000000"/>
        </w:rPr>
        <w:t xml:space="preserve"> = </w:t>
      </w:r>
      <w:proofErr w:type="gramStart"/>
      <w:r>
        <w:rPr>
          <w:color w:val="000000"/>
        </w:rPr>
        <w:t xml:space="preserve">0 </w:t>
      </w:r>
      <w:r w:rsidRPr="00F11E77">
        <w:rPr>
          <w:color w:val="000000"/>
        </w:rPr>
        <w:t xml:space="preserve"> </w:t>
      </w:r>
      <w:r w:rsidRPr="000054FE">
        <w:rPr>
          <w:color w:val="000000"/>
        </w:rPr>
        <w:t>karbon</w:t>
      </w:r>
      <w:proofErr w:type="gramEnd"/>
      <w:r w:rsidRPr="000054FE">
        <w:rPr>
          <w:color w:val="000000"/>
        </w:rPr>
        <w:t xml:space="preserve"> emisyonları ve gelir arasında </w:t>
      </w:r>
      <w:r>
        <w:rPr>
          <w:color w:val="000000"/>
        </w:rPr>
        <w:t>line</w:t>
      </w:r>
      <w:r w:rsidR="00AD444C">
        <w:rPr>
          <w:color w:val="000000"/>
        </w:rPr>
        <w:t>e</w:t>
      </w:r>
      <w:r>
        <w:rPr>
          <w:color w:val="000000"/>
        </w:rPr>
        <w:t>r bir ilişki vardır</w:t>
      </w:r>
      <w:r w:rsidRPr="00F11E77">
        <w:rPr>
          <w:color w:val="000000"/>
        </w:rPr>
        <w:t>.</w:t>
      </w:r>
    </w:p>
    <w:p w:rsidR="00027773" w:rsidRPr="00F11E77" w:rsidRDefault="00027773" w:rsidP="006964C6">
      <w:pPr>
        <w:autoSpaceDE w:val="0"/>
        <w:autoSpaceDN w:val="0"/>
        <w:adjustRightInd w:val="0"/>
        <w:spacing w:before="120" w:after="120" w:line="360" w:lineRule="auto"/>
        <w:rPr>
          <w:color w:val="000000"/>
        </w:rPr>
      </w:pPr>
      <w:r w:rsidRPr="00F11E77">
        <w:rPr>
          <w:color w:val="000000"/>
        </w:rPr>
        <w:t xml:space="preserve">(iii) </w:t>
      </w:r>
      <w:r w:rsidRPr="00377AB0">
        <w:rPr>
          <w:i/>
          <w:color w:val="000000"/>
        </w:rPr>
        <w:t>α</w:t>
      </w:r>
      <w:r>
        <w:rPr>
          <w:i/>
          <w:color w:val="000000"/>
          <w:vertAlign w:val="subscript"/>
        </w:rPr>
        <w:t>1</w:t>
      </w:r>
      <w:r>
        <w:rPr>
          <w:color w:val="000000"/>
        </w:rPr>
        <w:t xml:space="preserve"> &lt;</w:t>
      </w:r>
      <w:r w:rsidRPr="00F11E77">
        <w:rPr>
          <w:color w:val="000000"/>
        </w:rPr>
        <w:t xml:space="preserve"> </w:t>
      </w:r>
      <w:r>
        <w:rPr>
          <w:color w:val="000000"/>
        </w:rPr>
        <w:t xml:space="preserve">0 </w:t>
      </w:r>
      <w:r w:rsidRPr="00F11E77">
        <w:rPr>
          <w:color w:val="000000"/>
        </w:rPr>
        <w:t xml:space="preserve">ve </w:t>
      </w:r>
      <w:r w:rsidRPr="00377AB0">
        <w:rPr>
          <w:i/>
          <w:color w:val="000000"/>
        </w:rPr>
        <w:t>α</w:t>
      </w:r>
      <w:r>
        <w:rPr>
          <w:i/>
          <w:color w:val="000000"/>
          <w:vertAlign w:val="subscript"/>
        </w:rPr>
        <w:t>2</w:t>
      </w:r>
      <w:r w:rsidRPr="00F11E77">
        <w:rPr>
          <w:color w:val="000000"/>
        </w:rPr>
        <w:t xml:space="preserve"> = </w:t>
      </w:r>
      <w:r w:rsidRPr="00377AB0">
        <w:rPr>
          <w:i/>
          <w:color w:val="000000"/>
        </w:rPr>
        <w:t>α</w:t>
      </w:r>
      <w:r>
        <w:rPr>
          <w:i/>
          <w:color w:val="000000"/>
          <w:vertAlign w:val="subscript"/>
        </w:rPr>
        <w:t>3</w:t>
      </w:r>
      <w:r w:rsidRPr="00F11E77">
        <w:rPr>
          <w:color w:val="000000"/>
        </w:rPr>
        <w:t xml:space="preserve"> = </w:t>
      </w:r>
      <w:proofErr w:type="gramStart"/>
      <w:r>
        <w:rPr>
          <w:color w:val="000000"/>
        </w:rPr>
        <w:t xml:space="preserve">0 </w:t>
      </w:r>
      <w:r w:rsidRPr="00F11E77">
        <w:rPr>
          <w:color w:val="000000"/>
        </w:rPr>
        <w:t xml:space="preserve">  </w:t>
      </w:r>
      <w:r w:rsidRPr="000054FE">
        <w:rPr>
          <w:color w:val="000000"/>
        </w:rPr>
        <w:t>karbon</w:t>
      </w:r>
      <w:proofErr w:type="gramEnd"/>
      <w:r w:rsidRPr="000054FE">
        <w:rPr>
          <w:color w:val="000000"/>
        </w:rPr>
        <w:t xml:space="preserve"> emisyonları ve gelir arasında </w:t>
      </w:r>
      <w:r w:rsidR="00EA6B6C">
        <w:rPr>
          <w:color w:val="000000"/>
        </w:rPr>
        <w:t>monoton</w:t>
      </w:r>
      <w:r w:rsidRPr="00F11E77">
        <w:rPr>
          <w:color w:val="000000"/>
        </w:rPr>
        <w:t xml:space="preserve"> artan bir ilişki vardır.</w:t>
      </w:r>
    </w:p>
    <w:p w:rsidR="00027773" w:rsidRPr="00F11E77" w:rsidRDefault="00027773" w:rsidP="006964C6">
      <w:pPr>
        <w:autoSpaceDE w:val="0"/>
        <w:autoSpaceDN w:val="0"/>
        <w:adjustRightInd w:val="0"/>
        <w:spacing w:before="120" w:after="120" w:line="360" w:lineRule="auto"/>
        <w:rPr>
          <w:color w:val="000000"/>
        </w:rPr>
      </w:pPr>
      <w:r w:rsidRPr="00F11E77">
        <w:rPr>
          <w:color w:val="000000"/>
        </w:rPr>
        <w:t xml:space="preserve">(iv) </w:t>
      </w:r>
      <w:r w:rsidRPr="00377AB0">
        <w:rPr>
          <w:i/>
          <w:color w:val="000000"/>
        </w:rPr>
        <w:t>α</w:t>
      </w:r>
      <w:r>
        <w:rPr>
          <w:i/>
          <w:color w:val="000000"/>
          <w:vertAlign w:val="subscript"/>
        </w:rPr>
        <w:t>1</w:t>
      </w:r>
      <w:r>
        <w:rPr>
          <w:color w:val="000000"/>
        </w:rPr>
        <w:t xml:space="preserve"> &gt;</w:t>
      </w:r>
      <w:r w:rsidRPr="00F11E77">
        <w:rPr>
          <w:color w:val="000000"/>
        </w:rPr>
        <w:t xml:space="preserve"> </w:t>
      </w:r>
      <w:r>
        <w:rPr>
          <w:color w:val="000000"/>
        </w:rPr>
        <w:t xml:space="preserve">0 </w:t>
      </w:r>
      <w:r w:rsidRPr="00F11E77">
        <w:rPr>
          <w:color w:val="000000"/>
        </w:rPr>
        <w:t xml:space="preserve">ve </w:t>
      </w:r>
      <w:r w:rsidRPr="00377AB0">
        <w:rPr>
          <w:i/>
          <w:color w:val="000000"/>
        </w:rPr>
        <w:t>α</w:t>
      </w:r>
      <w:r>
        <w:rPr>
          <w:i/>
          <w:color w:val="000000"/>
          <w:vertAlign w:val="subscript"/>
        </w:rPr>
        <w:t>2</w:t>
      </w:r>
      <w:r w:rsidRPr="00F11E77">
        <w:rPr>
          <w:color w:val="000000"/>
        </w:rPr>
        <w:t xml:space="preserve"> </w:t>
      </w:r>
      <w:r>
        <w:rPr>
          <w:color w:val="000000"/>
        </w:rPr>
        <w:t>&lt; 0 ve</w:t>
      </w:r>
      <w:r w:rsidRPr="00F11E77">
        <w:rPr>
          <w:color w:val="000000"/>
        </w:rPr>
        <w:t xml:space="preserve"> </w:t>
      </w:r>
      <w:r w:rsidRPr="00377AB0">
        <w:rPr>
          <w:i/>
          <w:color w:val="000000"/>
        </w:rPr>
        <w:t>α</w:t>
      </w:r>
      <w:r>
        <w:rPr>
          <w:i/>
          <w:color w:val="000000"/>
          <w:vertAlign w:val="subscript"/>
        </w:rPr>
        <w:t>3</w:t>
      </w:r>
      <w:r w:rsidRPr="00F11E77">
        <w:rPr>
          <w:color w:val="000000"/>
        </w:rPr>
        <w:t xml:space="preserve"> = </w:t>
      </w:r>
      <w:proofErr w:type="gramStart"/>
      <w:r>
        <w:rPr>
          <w:color w:val="000000"/>
        </w:rPr>
        <w:t xml:space="preserve">0 </w:t>
      </w:r>
      <w:r w:rsidRPr="00F11E77">
        <w:rPr>
          <w:color w:val="000000"/>
        </w:rPr>
        <w:t xml:space="preserve"> </w:t>
      </w:r>
      <w:r w:rsidRPr="000054FE">
        <w:rPr>
          <w:color w:val="000000"/>
        </w:rPr>
        <w:t>karbon</w:t>
      </w:r>
      <w:proofErr w:type="gramEnd"/>
      <w:r w:rsidRPr="000054FE">
        <w:rPr>
          <w:color w:val="000000"/>
        </w:rPr>
        <w:t xml:space="preserve"> emisyonları ve gelir arasında</w:t>
      </w:r>
      <w:r>
        <w:rPr>
          <w:color w:val="000000"/>
        </w:rPr>
        <w:t xml:space="preserve"> ters-U biçimli bir </w:t>
      </w:r>
      <w:r w:rsidRPr="00F11E77">
        <w:rPr>
          <w:color w:val="000000"/>
        </w:rPr>
        <w:t>ilişki vardır.</w:t>
      </w:r>
    </w:p>
    <w:p w:rsidR="00027773" w:rsidRPr="00F11E77" w:rsidRDefault="00027773" w:rsidP="006964C6">
      <w:pPr>
        <w:autoSpaceDE w:val="0"/>
        <w:autoSpaceDN w:val="0"/>
        <w:adjustRightInd w:val="0"/>
        <w:spacing w:before="120" w:after="120" w:line="360" w:lineRule="auto"/>
        <w:rPr>
          <w:color w:val="000000"/>
        </w:rPr>
      </w:pPr>
      <w:r w:rsidRPr="00F11E77">
        <w:rPr>
          <w:color w:val="000000"/>
        </w:rPr>
        <w:t xml:space="preserve">(v) </w:t>
      </w:r>
      <w:r w:rsidRPr="00377AB0">
        <w:rPr>
          <w:i/>
          <w:color w:val="000000"/>
        </w:rPr>
        <w:t>α</w:t>
      </w:r>
      <w:r>
        <w:rPr>
          <w:i/>
          <w:color w:val="000000"/>
          <w:vertAlign w:val="subscript"/>
        </w:rPr>
        <w:t>1</w:t>
      </w:r>
      <w:r>
        <w:rPr>
          <w:color w:val="000000"/>
        </w:rPr>
        <w:t xml:space="preserve"> &lt;</w:t>
      </w:r>
      <w:r w:rsidRPr="00F11E77">
        <w:rPr>
          <w:color w:val="000000"/>
        </w:rPr>
        <w:t xml:space="preserve"> </w:t>
      </w:r>
      <w:r>
        <w:rPr>
          <w:color w:val="000000"/>
        </w:rPr>
        <w:t xml:space="preserve">0 </w:t>
      </w:r>
      <w:r w:rsidRPr="00F11E77">
        <w:rPr>
          <w:color w:val="000000"/>
        </w:rPr>
        <w:t xml:space="preserve">ve </w:t>
      </w:r>
      <w:r w:rsidRPr="00377AB0">
        <w:rPr>
          <w:i/>
          <w:color w:val="000000"/>
        </w:rPr>
        <w:t>α</w:t>
      </w:r>
      <w:r>
        <w:rPr>
          <w:i/>
          <w:color w:val="000000"/>
          <w:vertAlign w:val="subscript"/>
        </w:rPr>
        <w:t>2</w:t>
      </w:r>
      <w:r w:rsidRPr="00F11E77">
        <w:rPr>
          <w:color w:val="000000"/>
        </w:rPr>
        <w:t xml:space="preserve"> </w:t>
      </w:r>
      <w:r>
        <w:rPr>
          <w:color w:val="000000"/>
        </w:rPr>
        <w:t>&gt; 0 ve</w:t>
      </w:r>
      <w:r w:rsidRPr="00F11E77">
        <w:rPr>
          <w:color w:val="000000"/>
        </w:rPr>
        <w:t xml:space="preserve"> </w:t>
      </w:r>
      <w:r w:rsidRPr="00377AB0">
        <w:rPr>
          <w:i/>
          <w:color w:val="000000"/>
        </w:rPr>
        <w:t>α</w:t>
      </w:r>
      <w:r>
        <w:rPr>
          <w:i/>
          <w:color w:val="000000"/>
          <w:vertAlign w:val="subscript"/>
        </w:rPr>
        <w:t>3</w:t>
      </w:r>
      <w:r w:rsidRPr="00F11E77">
        <w:rPr>
          <w:color w:val="000000"/>
        </w:rPr>
        <w:t xml:space="preserve"> = </w:t>
      </w:r>
      <w:r>
        <w:rPr>
          <w:color w:val="000000"/>
        </w:rPr>
        <w:t xml:space="preserve">0 </w:t>
      </w:r>
      <w:r w:rsidRPr="000054FE">
        <w:rPr>
          <w:color w:val="000000"/>
        </w:rPr>
        <w:t>karbon emisyonları ve gelir arasında</w:t>
      </w:r>
      <w:r>
        <w:rPr>
          <w:color w:val="000000"/>
        </w:rPr>
        <w:t xml:space="preserve"> </w:t>
      </w:r>
      <w:r w:rsidRPr="00F11E77">
        <w:rPr>
          <w:color w:val="000000"/>
        </w:rPr>
        <w:t>U biçimli bir ilişki vardır.</w:t>
      </w:r>
    </w:p>
    <w:p w:rsidR="00027773" w:rsidRPr="00F11E77" w:rsidRDefault="00027773" w:rsidP="006964C6">
      <w:pPr>
        <w:autoSpaceDE w:val="0"/>
        <w:autoSpaceDN w:val="0"/>
        <w:adjustRightInd w:val="0"/>
        <w:spacing w:before="120" w:after="120" w:line="360" w:lineRule="auto"/>
        <w:rPr>
          <w:color w:val="000000"/>
        </w:rPr>
      </w:pPr>
      <w:r w:rsidRPr="00F11E77">
        <w:rPr>
          <w:color w:val="000000"/>
        </w:rPr>
        <w:t xml:space="preserve">(vi) </w:t>
      </w:r>
      <w:r w:rsidRPr="00377AB0">
        <w:rPr>
          <w:i/>
          <w:color w:val="000000"/>
        </w:rPr>
        <w:t>α</w:t>
      </w:r>
      <w:r>
        <w:rPr>
          <w:i/>
          <w:color w:val="000000"/>
          <w:vertAlign w:val="subscript"/>
        </w:rPr>
        <w:t>1</w:t>
      </w:r>
      <w:r>
        <w:rPr>
          <w:color w:val="000000"/>
        </w:rPr>
        <w:t xml:space="preserve"> &gt;</w:t>
      </w:r>
      <w:r w:rsidRPr="00F11E77">
        <w:rPr>
          <w:color w:val="000000"/>
        </w:rPr>
        <w:t xml:space="preserve"> </w:t>
      </w:r>
      <w:r>
        <w:rPr>
          <w:color w:val="000000"/>
        </w:rPr>
        <w:t xml:space="preserve">0 </w:t>
      </w:r>
      <w:r w:rsidRPr="00F11E77">
        <w:rPr>
          <w:color w:val="000000"/>
        </w:rPr>
        <w:t xml:space="preserve">ve </w:t>
      </w:r>
      <w:r w:rsidRPr="00377AB0">
        <w:rPr>
          <w:i/>
          <w:color w:val="000000"/>
        </w:rPr>
        <w:t>α</w:t>
      </w:r>
      <w:r>
        <w:rPr>
          <w:i/>
          <w:color w:val="000000"/>
          <w:vertAlign w:val="subscript"/>
        </w:rPr>
        <w:t>2</w:t>
      </w:r>
      <w:r w:rsidRPr="00F11E77">
        <w:rPr>
          <w:color w:val="000000"/>
        </w:rPr>
        <w:t xml:space="preserve"> </w:t>
      </w:r>
      <w:r>
        <w:rPr>
          <w:color w:val="000000"/>
        </w:rPr>
        <w:t>&lt; 0 ve</w:t>
      </w:r>
      <w:r w:rsidRPr="00F11E77">
        <w:rPr>
          <w:color w:val="000000"/>
        </w:rPr>
        <w:t xml:space="preserve"> </w:t>
      </w:r>
      <w:r w:rsidRPr="00377AB0">
        <w:rPr>
          <w:i/>
          <w:color w:val="000000"/>
        </w:rPr>
        <w:t>α</w:t>
      </w:r>
      <w:r>
        <w:rPr>
          <w:i/>
          <w:color w:val="000000"/>
          <w:vertAlign w:val="subscript"/>
        </w:rPr>
        <w:t>3</w:t>
      </w:r>
      <w:r w:rsidRPr="00F11E77">
        <w:rPr>
          <w:color w:val="000000"/>
        </w:rPr>
        <w:t xml:space="preserve"> </w:t>
      </w:r>
      <w:r>
        <w:rPr>
          <w:color w:val="000000"/>
        </w:rPr>
        <w:t>&gt;</w:t>
      </w:r>
      <w:r w:rsidRPr="00F11E77">
        <w:rPr>
          <w:color w:val="000000"/>
        </w:rPr>
        <w:t xml:space="preserve"> </w:t>
      </w:r>
      <w:r>
        <w:rPr>
          <w:color w:val="000000"/>
        </w:rPr>
        <w:t xml:space="preserve">0 </w:t>
      </w:r>
      <w:r w:rsidRPr="000054FE">
        <w:rPr>
          <w:color w:val="000000"/>
        </w:rPr>
        <w:t>karbon emisyonları ve gelir arasında</w:t>
      </w:r>
      <w:r w:rsidRPr="00F11E77">
        <w:rPr>
          <w:color w:val="000000"/>
        </w:rPr>
        <w:t xml:space="preserve"> N-biçimli bir ilişki vardır.</w:t>
      </w:r>
    </w:p>
    <w:p w:rsidR="00027773" w:rsidRPr="000A086B" w:rsidRDefault="00027773" w:rsidP="006964C6">
      <w:pPr>
        <w:autoSpaceDE w:val="0"/>
        <w:autoSpaceDN w:val="0"/>
        <w:adjustRightInd w:val="0"/>
        <w:spacing w:before="120" w:after="120" w:line="360" w:lineRule="auto"/>
        <w:rPr>
          <w:color w:val="000000"/>
        </w:rPr>
      </w:pPr>
      <w:r w:rsidRPr="00F11E77">
        <w:rPr>
          <w:color w:val="000000"/>
        </w:rPr>
        <w:t xml:space="preserve">(vii) </w:t>
      </w:r>
      <w:r w:rsidRPr="00377AB0">
        <w:rPr>
          <w:i/>
          <w:color w:val="000000"/>
        </w:rPr>
        <w:t>α</w:t>
      </w:r>
      <w:r>
        <w:rPr>
          <w:i/>
          <w:color w:val="000000"/>
          <w:vertAlign w:val="subscript"/>
        </w:rPr>
        <w:t>1</w:t>
      </w:r>
      <w:r>
        <w:rPr>
          <w:color w:val="000000"/>
        </w:rPr>
        <w:t xml:space="preserve"> &lt;</w:t>
      </w:r>
      <w:r w:rsidRPr="00F11E77">
        <w:rPr>
          <w:color w:val="000000"/>
        </w:rPr>
        <w:t xml:space="preserve"> </w:t>
      </w:r>
      <w:r>
        <w:rPr>
          <w:color w:val="000000"/>
        </w:rPr>
        <w:t xml:space="preserve">0 </w:t>
      </w:r>
      <w:r w:rsidRPr="00F11E77">
        <w:rPr>
          <w:color w:val="000000"/>
        </w:rPr>
        <w:t xml:space="preserve">ve </w:t>
      </w:r>
      <w:r w:rsidRPr="00377AB0">
        <w:rPr>
          <w:i/>
          <w:color w:val="000000"/>
        </w:rPr>
        <w:t>α</w:t>
      </w:r>
      <w:r>
        <w:rPr>
          <w:i/>
          <w:color w:val="000000"/>
          <w:vertAlign w:val="subscript"/>
        </w:rPr>
        <w:t>2</w:t>
      </w:r>
      <w:r w:rsidRPr="00F11E77">
        <w:rPr>
          <w:color w:val="000000"/>
        </w:rPr>
        <w:t xml:space="preserve"> </w:t>
      </w:r>
      <w:r>
        <w:rPr>
          <w:color w:val="000000"/>
        </w:rPr>
        <w:t>&gt; 0 ve</w:t>
      </w:r>
      <w:r w:rsidRPr="00F11E77">
        <w:rPr>
          <w:color w:val="000000"/>
        </w:rPr>
        <w:t xml:space="preserve"> </w:t>
      </w:r>
      <w:r w:rsidRPr="00377AB0">
        <w:rPr>
          <w:i/>
          <w:color w:val="000000"/>
        </w:rPr>
        <w:t>α</w:t>
      </w:r>
      <w:r>
        <w:rPr>
          <w:i/>
          <w:color w:val="000000"/>
          <w:vertAlign w:val="subscript"/>
        </w:rPr>
        <w:t>3</w:t>
      </w:r>
      <w:r w:rsidRPr="00F11E77">
        <w:rPr>
          <w:color w:val="000000"/>
        </w:rPr>
        <w:t xml:space="preserve"> </w:t>
      </w:r>
      <w:r>
        <w:rPr>
          <w:color w:val="000000"/>
        </w:rPr>
        <w:t>&lt;</w:t>
      </w:r>
      <w:r w:rsidRPr="00F11E77">
        <w:rPr>
          <w:color w:val="000000"/>
        </w:rPr>
        <w:t xml:space="preserve"> </w:t>
      </w:r>
      <w:r>
        <w:rPr>
          <w:color w:val="000000"/>
        </w:rPr>
        <w:t xml:space="preserve">0 </w:t>
      </w:r>
      <w:r w:rsidRPr="000054FE">
        <w:rPr>
          <w:color w:val="000000"/>
        </w:rPr>
        <w:t>karbon emisyonları ve gelir arasında</w:t>
      </w:r>
      <w:r w:rsidRPr="00F11E77">
        <w:rPr>
          <w:color w:val="000000"/>
        </w:rPr>
        <w:t xml:space="preserve"> ters-N biçimli bir ilişki</w:t>
      </w:r>
      <w:r>
        <w:rPr>
          <w:color w:val="000000"/>
        </w:rPr>
        <w:t xml:space="preserve"> </w:t>
      </w:r>
      <w:r w:rsidRPr="00F11E77">
        <w:rPr>
          <w:color w:val="000000"/>
        </w:rPr>
        <w:t>vardı</w:t>
      </w:r>
      <w:r>
        <w:rPr>
          <w:color w:val="000000"/>
        </w:rPr>
        <w:t>r.</w:t>
      </w:r>
    </w:p>
    <w:p w:rsidR="00027773" w:rsidRDefault="00027773" w:rsidP="006964C6">
      <w:pPr>
        <w:autoSpaceDE w:val="0"/>
        <w:autoSpaceDN w:val="0"/>
        <w:adjustRightInd w:val="0"/>
        <w:spacing w:before="240" w:after="240" w:line="360" w:lineRule="auto"/>
        <w:ind w:firstLine="709"/>
        <w:jc w:val="both"/>
      </w:pPr>
      <w:r w:rsidRPr="00920ACF">
        <w:t>EKC literat</w:t>
      </w:r>
      <w:r w:rsidRPr="00920ACF">
        <w:rPr>
          <w:rFonts w:hint="eastAsia"/>
        </w:rPr>
        <w:t>ü</w:t>
      </w:r>
      <w:r w:rsidRPr="00920ACF">
        <w:t>r</w:t>
      </w:r>
      <w:r w:rsidRPr="00920ACF">
        <w:rPr>
          <w:rFonts w:hint="eastAsia"/>
        </w:rPr>
        <w:t>ü</w:t>
      </w:r>
      <w:r w:rsidRPr="00920ACF">
        <w:t xml:space="preserve">nde </w:t>
      </w:r>
      <w:r w:rsidRPr="00920ACF">
        <w:rPr>
          <w:rFonts w:hint="eastAsia"/>
        </w:rPr>
        <w:t>ç</w:t>
      </w:r>
      <w:r w:rsidRPr="00920ACF">
        <w:t>evresel kalite,</w:t>
      </w:r>
      <w:r>
        <w:t xml:space="preserve"> </w:t>
      </w:r>
      <w:r w:rsidRPr="00920ACF">
        <w:t>gelir seviyesinin bir fonksiyonu olarak belirlenmektedir. Gelir seviyesinin</w:t>
      </w:r>
      <w:r>
        <w:t xml:space="preserve"> belirli bir eşiğin üstüne çıkması </w:t>
      </w:r>
      <w:r w:rsidRPr="00920ACF">
        <w:t xml:space="preserve">toplumun </w:t>
      </w:r>
      <w:r w:rsidRPr="00920ACF">
        <w:rPr>
          <w:rFonts w:hint="eastAsia"/>
        </w:rPr>
        <w:t>ç</w:t>
      </w:r>
      <w:r w:rsidRPr="00920ACF">
        <w:t>evresel kalite</w:t>
      </w:r>
      <w:r>
        <w:t xml:space="preserve">ye önem vermesine </w:t>
      </w:r>
      <w:r w:rsidRPr="00920ACF">
        <w:t xml:space="preserve">ve </w:t>
      </w:r>
      <w:r w:rsidRPr="00920ACF">
        <w:rPr>
          <w:rFonts w:hint="eastAsia"/>
        </w:rPr>
        <w:t>ç</w:t>
      </w:r>
      <w:r w:rsidRPr="00920ACF">
        <w:t>evreye</w:t>
      </w:r>
      <w:r>
        <w:t xml:space="preserve"> daha </w:t>
      </w:r>
      <w:r w:rsidRPr="00920ACF">
        <w:t>duyarl</w:t>
      </w:r>
      <w:r w:rsidRPr="00920ACF">
        <w:rPr>
          <w:rFonts w:hint="eastAsia"/>
        </w:rPr>
        <w:t>ı</w:t>
      </w:r>
      <w:r w:rsidRPr="00920ACF">
        <w:t xml:space="preserve"> </w:t>
      </w:r>
      <w:r>
        <w:t>ürünlerin tüketilmesine sebep olacaktır. Böylece</w:t>
      </w:r>
      <w:r w:rsidRPr="00920ACF">
        <w:t xml:space="preserve"> ki</w:t>
      </w:r>
      <w:r w:rsidRPr="00920ACF">
        <w:rPr>
          <w:rFonts w:hint="eastAsia"/>
        </w:rPr>
        <w:t>ş</w:t>
      </w:r>
      <w:r w:rsidRPr="00920ACF">
        <w:t>isel gelir seviyesindeki art</w:t>
      </w:r>
      <w:r w:rsidRPr="00920ACF">
        <w:rPr>
          <w:rFonts w:hint="eastAsia"/>
        </w:rPr>
        <w:t>ış</w:t>
      </w:r>
      <w:r w:rsidRPr="00920ACF">
        <w:t xml:space="preserve"> </w:t>
      </w:r>
      <w:r w:rsidRPr="00920ACF">
        <w:rPr>
          <w:rFonts w:hint="eastAsia"/>
        </w:rPr>
        <w:t>ç</w:t>
      </w:r>
      <w:r w:rsidRPr="00920ACF">
        <w:t>evresel duyarl</w:t>
      </w:r>
      <w:r w:rsidRPr="00920ACF">
        <w:rPr>
          <w:rFonts w:hint="eastAsia"/>
        </w:rPr>
        <w:t>ı</w:t>
      </w:r>
      <w:r w:rsidRPr="00920ACF">
        <w:t>l</w:t>
      </w:r>
      <w:r w:rsidRPr="00920ACF">
        <w:rPr>
          <w:rFonts w:hint="eastAsia"/>
        </w:rPr>
        <w:t>ığı</w:t>
      </w:r>
      <w:r w:rsidRPr="00920ACF">
        <w:t>n art</w:t>
      </w:r>
      <w:r w:rsidRPr="00920ACF">
        <w:rPr>
          <w:rFonts w:hint="eastAsia"/>
        </w:rPr>
        <w:t>ı</w:t>
      </w:r>
      <w:r w:rsidRPr="00920ACF">
        <w:t>r</w:t>
      </w:r>
      <w:r w:rsidRPr="00920ACF">
        <w:rPr>
          <w:rFonts w:hint="eastAsia"/>
        </w:rPr>
        <w:t>ı</w:t>
      </w:r>
      <w:r w:rsidRPr="00920ACF">
        <w:t>lmas</w:t>
      </w:r>
      <w:r w:rsidRPr="00920ACF">
        <w:rPr>
          <w:rFonts w:hint="eastAsia"/>
        </w:rPr>
        <w:t>ı</w:t>
      </w:r>
      <w:r w:rsidRPr="00920ACF">
        <w:t>n</w:t>
      </w:r>
      <w:r w:rsidRPr="00920ACF">
        <w:rPr>
          <w:rFonts w:hint="eastAsia"/>
        </w:rPr>
        <w:t>ı</w:t>
      </w:r>
      <w:r>
        <w:t xml:space="preserve"> </w:t>
      </w:r>
      <w:r w:rsidRPr="00920ACF">
        <w:t>sa</w:t>
      </w:r>
      <w:r w:rsidRPr="00920ACF">
        <w:rPr>
          <w:rFonts w:hint="eastAsia"/>
        </w:rPr>
        <w:t>ğ</w:t>
      </w:r>
      <w:r w:rsidRPr="00920ACF">
        <w:t xml:space="preserve">layacak </w:t>
      </w:r>
      <w:r>
        <w:t xml:space="preserve">ve </w:t>
      </w:r>
      <w:r w:rsidRPr="00920ACF">
        <w:t>kamu bilicinin de olu</w:t>
      </w:r>
      <w:r w:rsidRPr="00920ACF">
        <w:rPr>
          <w:rFonts w:hint="eastAsia"/>
        </w:rPr>
        <w:t>ş</w:t>
      </w:r>
      <w:r w:rsidRPr="00920ACF">
        <w:t>mas</w:t>
      </w:r>
      <w:r w:rsidRPr="00920ACF">
        <w:rPr>
          <w:rFonts w:hint="eastAsia"/>
        </w:rPr>
        <w:t>ı</w:t>
      </w:r>
      <w:r>
        <w:t>na katkıda bulunacaktır.</w:t>
      </w:r>
    </w:p>
    <w:p w:rsidR="00EA6B6C" w:rsidRDefault="00EA6B6C" w:rsidP="006964C6">
      <w:pPr>
        <w:autoSpaceDE w:val="0"/>
        <w:autoSpaceDN w:val="0"/>
        <w:adjustRightInd w:val="0"/>
        <w:spacing w:before="240" w:after="240" w:line="360" w:lineRule="auto"/>
        <w:ind w:firstLine="709"/>
        <w:jc w:val="both"/>
      </w:pPr>
      <w:r>
        <w:t xml:space="preserve">Model </w:t>
      </w:r>
      <w:proofErr w:type="gramStart"/>
      <w:r>
        <w:t>3.1’de</w:t>
      </w:r>
      <w:proofErr w:type="gramEnd"/>
      <w:r>
        <w:t xml:space="preserve"> yer alan kişi başı GSYİH değerinin denge değeri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oMath>
      <w:r>
        <w:t xml:space="preserve"> aşağıdaki eşitliği sağladığı nokta, Çevresel Kuznets Eğrisinin dönüm noktası (turning point) olarak adlandırılmaktadır.</w:t>
      </w:r>
      <w:r w:rsidR="00403333">
        <w:t xml:space="preserve"> Bu dönüm noktasının ikinci dereceden fonksiyonlar için dönüm noktası şu şekildedir;</w:t>
      </w:r>
    </w:p>
    <w:p w:rsidR="00FB0E75" w:rsidRDefault="00E56A11" w:rsidP="00872675">
      <w:pPr>
        <w:autoSpaceDE w:val="0"/>
        <w:autoSpaceDN w:val="0"/>
        <w:adjustRightInd w:val="0"/>
        <w:spacing w:before="240" w:after="240" w:line="360" w:lineRule="auto"/>
        <w:ind w:firstLine="708"/>
        <w:jc w:val="both"/>
      </w:pP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=exp</m:t>
        </m:r>
        <m:d>
          <m:dPr>
            <m:ctrlPr>
              <w:rPr>
                <w:rFonts w:ascii="Cambria Math" w:hAnsi="Cambria Math"/>
                <w:i/>
              </w:rPr>
            </m:ctrlPr>
          </m:dPr>
          <m:e>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1</m:t>
                    </m:r>
                  </m:sub>
                </m:sSub>
              </m:num>
              <m:den>
                <m:sSub>
                  <m:sSubPr>
                    <m:ctrlPr>
                      <w:rPr>
                        <w:rFonts w:ascii="Cambria Math" w:hAnsi="Cambria Math"/>
                        <w:i/>
                      </w:rPr>
                    </m:ctrlPr>
                  </m:sSubPr>
                  <m:e>
                    <m:r>
                      <w:rPr>
                        <w:rFonts w:ascii="Cambria Math" w:hAnsi="Cambria Math"/>
                      </w:rPr>
                      <m:t>2α</m:t>
                    </m:r>
                  </m:e>
                  <m:sub>
                    <m:r>
                      <w:rPr>
                        <w:rFonts w:ascii="Cambria Math" w:hAnsi="Cambria Math"/>
                      </w:rPr>
                      <m:t>2</m:t>
                    </m:r>
                  </m:sub>
                </m:sSub>
              </m:den>
            </m:f>
          </m:e>
        </m:d>
        <m:r>
          <w:rPr>
            <w:rFonts w:ascii="Cambria Math" w:hAnsi="Cambria Math"/>
          </w:rPr>
          <m:t xml:space="preserve">                                                                                                        (3.2)</m:t>
        </m:r>
      </m:oMath>
      <w:r w:rsidR="00872675">
        <w:t xml:space="preserve"> </w:t>
      </w:r>
    </w:p>
    <w:p w:rsidR="00872675" w:rsidRDefault="00872675" w:rsidP="00872675">
      <w:pPr>
        <w:autoSpaceDE w:val="0"/>
        <w:autoSpaceDN w:val="0"/>
        <w:adjustRightInd w:val="0"/>
        <w:spacing w:before="240" w:after="240" w:line="360" w:lineRule="auto"/>
        <w:ind w:firstLine="708"/>
        <w:jc w:val="both"/>
      </w:pPr>
      <w:r>
        <w:lastRenderedPageBreak/>
        <w:t xml:space="preserve">Burada </w:t>
      </w:r>
      <w:r w:rsidR="00A4595A">
        <w:t>α</w:t>
      </w:r>
      <w:r>
        <w:rPr>
          <w:vertAlign w:val="subscript"/>
        </w:rPr>
        <w:t xml:space="preserve">1 </w:t>
      </w:r>
      <w:r w:rsidRPr="00872675">
        <w:t>ve</w:t>
      </w:r>
      <w:r>
        <w:rPr>
          <w:vertAlign w:val="subscript"/>
        </w:rPr>
        <w:t xml:space="preserve"> </w:t>
      </w:r>
      <w:r>
        <w:t xml:space="preserve"> </w:t>
      </w:r>
      <w:r w:rsidR="00A4595A">
        <w:t>α</w:t>
      </w:r>
      <w:r>
        <w:rPr>
          <w:vertAlign w:val="subscript"/>
        </w:rPr>
        <w:t>2</w:t>
      </w:r>
      <w:r>
        <w:t xml:space="preserve"> denklem </w:t>
      </w:r>
      <w:proofErr w:type="gramStart"/>
      <w:r>
        <w:t>3.1’</w:t>
      </w:r>
      <w:r w:rsidR="00A4595A">
        <w:t>de</w:t>
      </w:r>
      <w:proofErr w:type="gramEnd"/>
      <w:r>
        <w:t xml:space="preserve"> </w:t>
      </w:r>
      <w:r w:rsidR="00A4595A">
        <w:t>α</w:t>
      </w:r>
      <w:r w:rsidR="00A4595A">
        <w:rPr>
          <w:vertAlign w:val="subscript"/>
        </w:rPr>
        <w:t>3</w:t>
      </w:r>
      <w:r w:rsidR="00A4595A">
        <w:t>’e kısıt konularak yapılan tahmin</w:t>
      </w:r>
      <w:r>
        <w:t>den elde edilen parametreler</w:t>
      </w:r>
      <w:r w:rsidR="00A4595A">
        <w:t>dir</w:t>
      </w:r>
      <w:r>
        <w:t>.</w:t>
      </w:r>
      <w:r w:rsidR="00CD1628">
        <w:t xml:space="preserve"> </w:t>
      </w:r>
      <w:r w:rsidR="001A3B1E">
        <w:t xml:space="preserve">İkinci dereden denklemler için elde edilen dönüm noktası denklem </w:t>
      </w:r>
      <w:proofErr w:type="gramStart"/>
      <w:r w:rsidR="001A3B1E">
        <w:t>3.2’deki</w:t>
      </w:r>
      <w:proofErr w:type="gramEnd"/>
      <w:r w:rsidR="001A3B1E">
        <w:t xml:space="preserve"> gibidir. </w:t>
      </w:r>
      <w:r w:rsidR="00CD1628">
        <w:t xml:space="preserve">Denklem </w:t>
      </w:r>
      <w:proofErr w:type="gramStart"/>
      <w:r w:rsidR="00CD1628">
        <w:t>3.1’</w:t>
      </w:r>
      <w:r w:rsidR="001A3B1E">
        <w:t>de</w:t>
      </w:r>
      <w:proofErr w:type="gramEnd"/>
      <w:r w:rsidR="00CD1628">
        <w:t xml:space="preserve"> </w:t>
      </w:r>
      <w:r>
        <w:t xml:space="preserve"> </w:t>
      </w:r>
      <m:oMath>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≠0</m:t>
        </m:r>
      </m:oMath>
      <w:r w:rsidR="00CD1628">
        <w:t xml:space="preserve"> olduğunda 3. </w:t>
      </w:r>
      <w:r w:rsidR="00082CAD">
        <w:t>d</w:t>
      </w:r>
      <w:r w:rsidR="00CD1628">
        <w:t xml:space="preserve">ereceden bir fonksiyon olduğunu gösterir (Dinda, 2004). Bu durumda eğer </w:t>
      </w:r>
      <m:oMath>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&gt;0</m:t>
        </m:r>
      </m:oMath>
      <w:r w:rsidR="00CD1628">
        <w:t xml:space="preserve"> ise CO</w:t>
      </w:r>
      <w:r w:rsidR="00CD1628">
        <w:rPr>
          <w:vertAlign w:val="subscript"/>
        </w:rPr>
        <w:t>2</w:t>
      </w:r>
      <w:r w:rsidR="00CD1628">
        <w:t xml:space="preserve"> emisyonları ile gelir arasında N şekilde bir ilişki vardır. Eğer </w:t>
      </w:r>
      <m:oMath>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&lt;0</m:t>
        </m:r>
      </m:oMath>
      <w:r w:rsidR="00CD1628">
        <w:t xml:space="preserve"> ise CO</w:t>
      </w:r>
      <w:r w:rsidR="00CD1628">
        <w:rPr>
          <w:vertAlign w:val="subscript"/>
        </w:rPr>
        <w:t>2</w:t>
      </w:r>
      <w:r w:rsidR="00CD1628">
        <w:t xml:space="preserve"> emisyonları ile gelir arasında </w:t>
      </w:r>
      <w:r w:rsidR="00585A84">
        <w:t xml:space="preserve">ters </w:t>
      </w:r>
      <w:r w:rsidR="00CD1628">
        <w:t>N şekilde</w:t>
      </w:r>
      <w:r w:rsidR="00B32167">
        <w:t xml:space="preserve"> (</w:t>
      </w:r>
      <w:r w:rsidR="00B32167">
        <w:rPr>
          <w:rFonts w:ascii="Tahoma" w:hAnsi="Tahoma" w:cs="Tahoma"/>
          <w:color w:val="333333"/>
          <w:sz w:val="20"/>
          <w:szCs w:val="20"/>
          <w:shd w:val="clear" w:color="auto" w:fill="FFFFFF"/>
        </w:rPr>
        <w:t>И</w:t>
      </w:r>
      <w:r w:rsidR="00D3601E" w:rsidRPr="00B32167">
        <w:rPr>
          <w:rFonts w:ascii="Verdana" w:hAnsi="Verdana"/>
          <w:bCs/>
          <w:color w:val="333333"/>
          <w:sz w:val="20"/>
          <w:szCs w:val="20"/>
          <w:shd w:val="clear" w:color="auto" w:fill="FAFAFA"/>
        </w:rPr>
        <w:t>)</w:t>
      </w:r>
      <w:r w:rsidR="00CD1628">
        <w:t xml:space="preserve"> bir ilişki vardır.</w:t>
      </w:r>
      <w:r w:rsidR="00D3601E">
        <w:t xml:space="preserve"> </w:t>
      </w:r>
      <w:r w:rsidR="00B32167" w:rsidRPr="00B32167">
        <w:t>Bu şekilde</w:t>
      </w:r>
      <w:r w:rsidR="00B32167" w:rsidRPr="00B32167">
        <w:rPr>
          <w:rFonts w:ascii="Tahoma" w:hAnsi="Tahoma" w:cs="Tahoma"/>
          <w:color w:val="333333"/>
          <w:sz w:val="20"/>
          <w:szCs w:val="20"/>
          <w:shd w:val="clear" w:color="auto" w:fill="FFFFFF"/>
        </w:rPr>
        <w:t xml:space="preserve"> </w:t>
      </w:r>
      <w:r w:rsidR="00B32167">
        <w:rPr>
          <w:rFonts w:ascii="Tahoma" w:hAnsi="Tahoma" w:cs="Tahoma"/>
          <w:color w:val="333333"/>
          <w:sz w:val="20"/>
          <w:szCs w:val="20"/>
          <w:shd w:val="clear" w:color="auto" w:fill="FFFFFF"/>
        </w:rPr>
        <w:t>И</w:t>
      </w:r>
      <w:r w:rsidR="00B32167" w:rsidRPr="00B32167">
        <w:t>’</w:t>
      </w:r>
      <w:r w:rsidR="00B32167">
        <w:t>nin minimum olduğu noktada çevre kirliliği en az olduğu için ekonomi için ideal noktadır.</w:t>
      </w:r>
    </w:p>
    <w:p w:rsidR="008E7691" w:rsidRDefault="00403333" w:rsidP="00806B2B">
      <w:pPr>
        <w:autoSpaceDE w:val="0"/>
        <w:autoSpaceDN w:val="0"/>
        <w:adjustRightInd w:val="0"/>
        <w:spacing w:before="240" w:after="240" w:line="360" w:lineRule="auto"/>
        <w:ind w:firstLine="708"/>
        <w:jc w:val="both"/>
      </w:pPr>
      <w:r>
        <w:t>EKC fonksiyonu N şeklinde olduğundan dönüm noktalarına ait, ü</w:t>
      </w:r>
      <w:r w:rsidR="001A3B1E">
        <w:t>çüncü</w:t>
      </w:r>
      <w:r w:rsidR="00806B2B">
        <w:t xml:space="preserve"> </w:t>
      </w:r>
      <w:r w:rsidR="008E7691">
        <w:t>dereceden fonksiyonlar için dönüm noktası aşağıdaki şekildeki gibidir (Bella vd</w:t>
      </w:r>
      <w:proofErr w:type="gramStart"/>
      <w:r w:rsidR="008E7691">
        <w:t>.,</w:t>
      </w:r>
      <w:proofErr w:type="gramEnd"/>
      <w:r w:rsidR="008E7691">
        <w:t xml:space="preserve"> 2010:5);</w:t>
      </w:r>
    </w:p>
    <w:p w:rsidR="00586BA4" w:rsidRDefault="00586BA4" w:rsidP="00586BA4">
      <w:pPr>
        <w:autoSpaceDE w:val="0"/>
        <w:autoSpaceDN w:val="0"/>
        <w:adjustRightInd w:val="0"/>
        <w:spacing w:before="240" w:after="240" w:line="360" w:lineRule="auto"/>
        <w:jc w:val="both"/>
      </w:pPr>
      <m:oMath>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r>
          <m:rPr>
            <m:sty m:val="p"/>
          </m:rPr>
          <w:rPr>
            <w:rFonts w:ascii="Cambria Math" w:hAnsi="Cambria Math"/>
          </w:rPr>
          <m:t>exp⁡</m:t>
        </m:r>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α</m:t>
                        </m:r>
                      </m:e>
                      <m:sub>
                        <m:r>
                          <w:rPr>
                            <w:rFonts w:ascii="Cambria Math" w:hAnsi="Cambria Math"/>
                          </w:rPr>
                          <m:t>2</m:t>
                        </m:r>
                      </m:sub>
                      <m:sup>
                        <m:r>
                          <w:rPr>
                            <w:rFonts w:ascii="Cambria Math" w:hAnsi="Cambria Math"/>
                          </w:rPr>
                          <m:t>2</m:t>
                        </m:r>
                      </m:sup>
                    </m:sSubSup>
                    <m:r>
                      <w:rPr>
                        <w:rFonts w:ascii="Cambria Math" w:hAnsi="Cambria Math"/>
                      </w:rPr>
                      <m:t>-3</m:t>
                    </m:r>
                    <m:sSub>
                      <m:sSubPr>
                        <m:ctrlPr>
                          <w:rPr>
                            <w:rFonts w:ascii="Cambria Math" w:hAnsi="Cambria Math"/>
                            <w:i/>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α</m:t>
                        </m:r>
                      </m:e>
                      <m:sub>
                        <m:r>
                          <w:rPr>
                            <w:rFonts w:ascii="Cambria Math" w:hAnsi="Cambria Math"/>
                          </w:rPr>
                          <m:t>3</m:t>
                        </m:r>
                      </m:sub>
                    </m:sSub>
                  </m:e>
                </m:rad>
              </m:num>
              <m:den>
                <m:r>
                  <w:rPr>
                    <w:rFonts w:ascii="Cambria Math" w:hAnsi="Cambria Math"/>
                  </w:rPr>
                  <m:t>3</m:t>
                </m:r>
                <m:sSub>
                  <m:sSubPr>
                    <m:ctrlPr>
                      <w:rPr>
                        <w:rFonts w:ascii="Cambria Math" w:hAnsi="Cambria Math"/>
                        <w:i/>
                      </w:rPr>
                    </m:ctrlPr>
                  </m:sSubPr>
                  <m:e>
                    <m:r>
                      <w:rPr>
                        <w:rFonts w:ascii="Cambria Math" w:hAnsi="Cambria Math"/>
                      </w:rPr>
                      <m:t>α</m:t>
                    </m:r>
                  </m:e>
                  <m:sub>
                    <m:r>
                      <w:rPr>
                        <w:rFonts w:ascii="Cambria Math" w:hAnsi="Cambria Math"/>
                      </w:rPr>
                      <m:t>3</m:t>
                    </m:r>
                  </m:sub>
                </m:sSub>
              </m:den>
            </m:f>
          </m:e>
        </m:d>
        <m:r>
          <w:rPr>
            <w:rFonts w:ascii="Cambria Math" w:hAnsi="Cambria Math"/>
          </w:rPr>
          <m:t xml:space="preserve">                                                                                         (3.3)</m:t>
        </m:r>
      </m:oMath>
      <w:r>
        <w:t xml:space="preserve"> </w:t>
      </w:r>
    </w:p>
    <w:p w:rsidR="008E7691" w:rsidRPr="00CD1628" w:rsidRDefault="00082CAD" w:rsidP="00082CAD">
      <w:pPr>
        <w:autoSpaceDE w:val="0"/>
        <w:autoSpaceDN w:val="0"/>
        <w:adjustRightInd w:val="0"/>
        <w:spacing w:before="240" w:after="240" w:line="360" w:lineRule="auto"/>
        <w:ind w:firstLine="708"/>
        <w:jc w:val="both"/>
      </w:pPr>
      <w:r>
        <w:t xml:space="preserve">Denklem </w:t>
      </w:r>
      <w:proofErr w:type="gramStart"/>
      <w:r>
        <w:t>3.3’te</w:t>
      </w:r>
      <w:proofErr w:type="gramEnd"/>
      <w:r>
        <w:t xml:space="preserve"> üçüncü derece denklem olduğu için denklemin iki tane kökü vardır. Bu iki kök dönüm doktasının max ve min noktasını gösterir. </w:t>
      </w:r>
      <w:r w:rsidR="00024E0E">
        <w:t xml:space="preserve">Çevresel Kuznets Eğitisisinin N ve ters N şeklinde olması üçüncü dereceden denklem olduğunu ve bu denklemin kökleri </w:t>
      </w:r>
      <w:r w:rsidR="00B34FCD">
        <w:t>D</w:t>
      </w:r>
      <w:r w:rsidR="00024E0E">
        <w:t xml:space="preserve">enklem </w:t>
      </w:r>
      <w:proofErr w:type="gramStart"/>
      <w:r w:rsidR="00024E0E">
        <w:t>3</w:t>
      </w:r>
      <w:r w:rsidR="006964C6">
        <w:t>.</w:t>
      </w:r>
      <w:r w:rsidR="00024E0E">
        <w:t>3’teki</w:t>
      </w:r>
      <w:proofErr w:type="gramEnd"/>
      <w:r w:rsidR="00024E0E">
        <w:t xml:space="preserve"> formül ile hesaplanmaktadır. </w:t>
      </w:r>
    </w:p>
    <w:p w:rsidR="00795913" w:rsidRDefault="00C83CF7" w:rsidP="0031716B">
      <w:pPr>
        <w:pStyle w:val="Balk3"/>
        <w:numPr>
          <w:ilvl w:val="0"/>
          <w:numId w:val="0"/>
        </w:numPr>
      </w:pPr>
      <w:bookmarkStart w:id="157" w:name="_Toc384824016"/>
      <w:r>
        <w:t>3.1.</w:t>
      </w:r>
      <w:r w:rsidR="00795913">
        <w:t>2</w:t>
      </w:r>
      <w:r>
        <w:t xml:space="preserve">. </w:t>
      </w:r>
      <w:r w:rsidR="0017098A">
        <w:t xml:space="preserve">İlgili </w:t>
      </w:r>
      <w:r w:rsidR="00795913" w:rsidRPr="00C83CF7">
        <w:rPr>
          <w:rStyle w:val="Balk3Char"/>
          <w:b/>
        </w:rPr>
        <w:t>Literatür Özeti</w:t>
      </w:r>
      <w:bookmarkEnd w:id="157"/>
    </w:p>
    <w:p w:rsidR="00795913" w:rsidRPr="00795913" w:rsidRDefault="00795913" w:rsidP="00795913">
      <w:pPr>
        <w:spacing w:before="240" w:after="240" w:line="360" w:lineRule="auto"/>
        <w:jc w:val="both"/>
      </w:pPr>
      <w:r>
        <w:tab/>
      </w:r>
      <w:r w:rsidR="00D37CF7">
        <w:t>Ekonomik büyümenin sera gazı emisyonlarına</w:t>
      </w:r>
      <w:r>
        <w:t xml:space="preserve"> etkilerinin incelendiği çalışmalar 1990’lı yıllardan sonra artış göstermiştir. Bu çalışmalarda genel olarak </w:t>
      </w:r>
      <w:r w:rsidR="003601C4">
        <w:t>Çevresel Kuznets E</w:t>
      </w:r>
      <w:r>
        <w:t>ğrisi</w:t>
      </w:r>
      <w:r w:rsidR="003601C4">
        <w:t>’</w:t>
      </w:r>
      <w:r>
        <w:t xml:space="preserve">nin geçerliliği ve şekli tartışılmış, genel olarak artan ekonomik büyümenin, sera gazı emisyonunda </w:t>
      </w:r>
      <w:proofErr w:type="gramStart"/>
      <w:r>
        <w:t>U,</w:t>
      </w:r>
      <w:proofErr w:type="gramEnd"/>
      <w:r>
        <w:t xml:space="preserve"> ∩ ve N şeklinde değişimlere neden olacağı ifade edilmiştir. Bu çalışmaların kısa bir özeti aşağıda tarih sırasına göre sunulmuştur.</w:t>
      </w:r>
    </w:p>
    <w:p w:rsidR="00427866" w:rsidRDefault="00427866" w:rsidP="00795913">
      <w:pPr>
        <w:spacing w:before="240" w:after="240" w:line="360" w:lineRule="auto"/>
        <w:ind w:firstLine="709"/>
        <w:jc w:val="both"/>
      </w:pPr>
      <w:r w:rsidRPr="007E729A">
        <w:t>Selden ve Song, Panel Data Analizi kullanılarak 1994 yılında yaptıkları çalışmada, ekonomik büyüme ile çevresel kirlilik arasındaki Ters-U şeklinde bir ilişki tespit etmişlerdir. Selden ve Song, sülfürdioksit, nitrojenoksit ve karbonmonoksit gibi çevresel kirletici değişkenleri kullanmışlar ve bu değişkenden her biri ile kişi başına gelir arasında Ters-U şeklinde bir ilişkinin bulunduğunu göstermişlerdir (Selden ve Song, 1994: 147).</w:t>
      </w:r>
    </w:p>
    <w:p w:rsidR="00427866" w:rsidRDefault="00427866" w:rsidP="00427866">
      <w:pPr>
        <w:spacing w:before="240" w:after="240" w:line="360" w:lineRule="auto"/>
        <w:ind w:firstLine="708"/>
        <w:jc w:val="both"/>
      </w:pPr>
      <w:r>
        <w:lastRenderedPageBreak/>
        <w:t>EKC’nin zengin bir literatürünün olması kişi başı gelirin CO</w:t>
      </w:r>
      <w:r>
        <w:rPr>
          <w:vertAlign w:val="subscript"/>
        </w:rPr>
        <w:t>2</w:t>
      </w:r>
      <w:r>
        <w:t xml:space="preserve"> emisyonunu etkileyen en önemli değişken olduğu, CO</w:t>
      </w:r>
      <w:r>
        <w:rPr>
          <w:vertAlign w:val="subscript"/>
        </w:rPr>
        <w:t>2</w:t>
      </w:r>
      <w:r>
        <w:t xml:space="preserve"> emisyonunu etkileyen değişkenlerin etkisinin küçük kaldığı yapılan ampirik çalışmalarla ortaya çıkmıştır. Magnani (2001) çalışmasında, ekonomik gelişmenin zamanla çevresel kaliteyi arttırdığını ve EKC hipotezini desteklediğini vurgulamaktadır. </w:t>
      </w:r>
    </w:p>
    <w:p w:rsidR="00427866" w:rsidRDefault="00427866" w:rsidP="00427866">
      <w:pPr>
        <w:spacing w:before="240" w:after="240" w:line="360" w:lineRule="auto"/>
        <w:ind w:firstLine="708"/>
        <w:jc w:val="both"/>
      </w:pPr>
      <w:r>
        <w:t xml:space="preserve">Hamilton ve Turton (2002) OECD ülkeleri için ekonomik büyüme, enerji yoğunluğu ve </w:t>
      </w:r>
      <w:r w:rsidR="003463A8">
        <w:t>sera gazı</w:t>
      </w:r>
      <w:r>
        <w:t xml:space="preserve"> ilişkisini inceleyen çalışmalarını 1982-1997 dönemi verilerini kullanarak yaptıkları çalışmada ABD’nin hizmet ve endüstri sektörleri ile Avrupa Birliğinin hizmet sektörünün enerji yoğunlukları düşerken, Japonya’nın hizmet sektörünün enerji yoğunluğu artmaktadır. 1992-1997 döneminde azalan enerji yoğunluğu ve düşen fosil yakıt oranına rağmen </w:t>
      </w:r>
      <w:r w:rsidR="003463A8">
        <w:t>sera gazı</w:t>
      </w:r>
      <w:r>
        <w:t xml:space="preserve"> emisyonların arttığı gözlenmiştir.</w:t>
      </w:r>
    </w:p>
    <w:p w:rsidR="00027773" w:rsidRDefault="00027773" w:rsidP="00027773">
      <w:pPr>
        <w:spacing w:before="240" w:after="240" w:line="360" w:lineRule="auto"/>
        <w:ind w:firstLine="708"/>
        <w:jc w:val="both"/>
      </w:pPr>
      <w:r>
        <w:t xml:space="preserve">Perman ve Stern (2003) çalışmalarında GSYİH ile kükürt emisyonları arasıdaki ilişkiyi 1960-1990 dönemi için 74 ülke verisiyle panel data yöntemiyle analiz etmişlerdir. Yapılan analizde panel eşbütünleşme ve bireysel olarak EKC hipotezi sağlanamadığı sonucuna ulaşılmıştır. Ayrıca bulunan kükürt emisyonları ile gelir arasında </w:t>
      </w:r>
      <w:proofErr w:type="gramStart"/>
      <w:r>
        <w:t>eşbütünleşme  ilişkisi</w:t>
      </w:r>
      <w:proofErr w:type="gramEnd"/>
      <w:r>
        <w:t xml:space="preserve"> Ters U şeklinde olmadığı görülmüştür. Birçok ülke için kükürt emisyonlarıyla gelir arasındaki ilişki U şeklinde yada monoton şekilde arttırğı bulunmuştur.</w:t>
      </w:r>
    </w:p>
    <w:p w:rsidR="00427866" w:rsidRDefault="00427866" w:rsidP="00427866">
      <w:pPr>
        <w:spacing w:before="240" w:after="240" w:line="360" w:lineRule="auto"/>
        <w:ind w:firstLine="709"/>
        <w:jc w:val="both"/>
      </w:pPr>
      <w:r w:rsidRPr="00A77FBC">
        <w:t xml:space="preserve">Canas, Ferrao ve Conceiçao’nun 2003 yılında yaptıkları çalışmada, </w:t>
      </w:r>
      <w:proofErr w:type="gramStart"/>
      <w:r w:rsidRPr="00A77FBC">
        <w:t>gelişmiş  ülkelerdeki</w:t>
      </w:r>
      <w:proofErr w:type="gramEnd"/>
      <w:r w:rsidRPr="00A77FBC">
        <w:t xml:space="preserve"> ekonomik büyüme ile çevrese</w:t>
      </w:r>
      <w:r w:rsidR="003601C4">
        <w:t>l kirlilik arasındaki ilişkiyi Ç</w:t>
      </w:r>
      <w:r w:rsidRPr="00A77FBC">
        <w:t>evre</w:t>
      </w:r>
      <w:r w:rsidR="003601C4">
        <w:t>sel kuznets A</w:t>
      </w:r>
      <w:r w:rsidRPr="00A77FBC">
        <w:t>nalizi perspektifinde incelemektedir. Yapılan çalışmada, 16 gelişmiş ülke verisi panel data analizi kullanılarak 1960-1998 yılları için ekonometrik olarak test edilmiş, ekonomik büyüme ile çevresel kirlilik arasında Ters-U şeklindeki Çevresel Kuznets Eğrisi’nin elde edilmiştir. Ayrı</w:t>
      </w:r>
      <w:r w:rsidR="003601C4">
        <w:t>ca N şeklinde Çevresel Kuznets E</w:t>
      </w:r>
      <w:r w:rsidRPr="00A77FBC">
        <w:t>ğrileri</w:t>
      </w:r>
      <w:r w:rsidR="003601C4">
        <w:t>’</w:t>
      </w:r>
      <w:r w:rsidRPr="00A77FBC">
        <w:t xml:space="preserve">nin </w:t>
      </w:r>
      <w:r w:rsidR="008759F2">
        <w:t>de oluşabileceği vurgulanmıştır</w:t>
      </w:r>
      <w:r w:rsidRPr="00A77FBC">
        <w:t xml:space="preserve"> (Canas, F</w:t>
      </w:r>
      <w:r>
        <w:t>errao ve Conceiçao, 2003: 227).</w:t>
      </w:r>
    </w:p>
    <w:p w:rsidR="00027773" w:rsidRDefault="00027773" w:rsidP="00027773">
      <w:pPr>
        <w:spacing w:before="240" w:after="240" w:line="360" w:lineRule="auto"/>
        <w:ind w:firstLine="708"/>
        <w:jc w:val="both"/>
      </w:pPr>
      <w:r>
        <w:t xml:space="preserve">Deacon ve Normon (2004), çalışmalarında gelişmekte olan ülkerin </w:t>
      </w:r>
      <w:r w:rsidRPr="00587DF3">
        <w:t xml:space="preserve">EKC </w:t>
      </w:r>
      <w:r>
        <w:t>hipotezine göre,</w:t>
      </w:r>
      <w:r w:rsidRPr="00587DF3">
        <w:t xml:space="preserve"> ekonomik büyüme ve çevre kalitesindeki iyileşme</w:t>
      </w:r>
      <w:r>
        <w:t xml:space="preserve">nin aynı anda gerçekleşemeyeceği sonucunu ulaşmışlardır. </w:t>
      </w:r>
      <w:r w:rsidRPr="00587DF3">
        <w:t xml:space="preserve">Bunu önlemek için devlet, kirletici enerji kullanımını azaltabilir, temizleyici teknolojiye ağırlık verebilir, çevre dostu olan </w:t>
      </w:r>
      <w:r w:rsidRPr="00587DF3">
        <w:lastRenderedPageBreak/>
        <w:t>araştırmaları destekleyebilir, hatta çevreye zarar veren ürünleri yasaklayabilir. Böylece büyüme süreci daha düşük kirlilikle atlatılabilecektir (Deacon ve Norman, 2004:</w:t>
      </w:r>
      <w:r>
        <w:t xml:space="preserve"> </w:t>
      </w:r>
      <w:r w:rsidRPr="00587DF3">
        <w:t>1-2).</w:t>
      </w:r>
    </w:p>
    <w:p w:rsidR="00027773" w:rsidRPr="00587DF3" w:rsidRDefault="00027773" w:rsidP="00027773">
      <w:pPr>
        <w:spacing w:before="240" w:after="240" w:line="360" w:lineRule="auto"/>
        <w:ind w:firstLine="708"/>
        <w:jc w:val="both"/>
      </w:pPr>
      <w:r>
        <w:t xml:space="preserve">Lise (2006) Türkiye için yapmış olduğu çalışmada, 1980-2003 döneminde ekonomik büyüme ile karbondioksit emisyonları arasındaki ilişkiyi incelmiştir. Türkiye’nin bu dönemde ekonomik büyümesi hızlı olduğu için karbondioksit emisyonlarının da arttığını işaret etmiştir. Türkiye’de enerji yoğunluğu azaltlarak karbondioksit emisyonlarının azaltılması gerektiği vurgulanmıştır. </w:t>
      </w:r>
    </w:p>
    <w:p w:rsidR="00427866" w:rsidRPr="007E729A" w:rsidRDefault="00427866" w:rsidP="00427866">
      <w:pPr>
        <w:spacing w:before="240" w:after="240" w:line="360" w:lineRule="auto"/>
        <w:ind w:firstLine="708"/>
        <w:jc w:val="both"/>
      </w:pPr>
      <w:r>
        <w:t xml:space="preserve">Başar ve Temurlenk (2007), çalışmalarında 1950-2000 dönemi için EKC Hipotezi’nin Türkiye için geçerli olmadığı sonucuna varmışlardır. Fakat gelir düzeyi ile kişi başına karbondioksit emisyonu arasında ters N biçiminde bir ilişki bulmuşlardır. </w:t>
      </w:r>
    </w:p>
    <w:p w:rsidR="00027773" w:rsidRDefault="00027773" w:rsidP="00027773">
      <w:pPr>
        <w:spacing w:before="240" w:after="240" w:line="360" w:lineRule="auto"/>
        <w:ind w:firstLine="708"/>
        <w:jc w:val="both"/>
      </w:pPr>
      <w:r>
        <w:t>Akbostancı vd. 2009 yılında Türkiye için yaptıkları çalışmada iki farklı model kullanarak önce zaman serisi modeliyle 1968-2003 dönemi için karbondioksit emisyonlarıyla kişi başı gelir arasındaki ilişkiyi incelemişler daha sonra panel data modeliyle Türkiye’nin 58 ili verisi kullanılarak 1992-2001 dönemi için gelir ile hava kirliliği arasındaki ilişki incelenmiştir. Analiz sonucunda, zaman serisi modeliyle uzun dönemde gelir ile karbondioksit arasında artan bir monoton ilişki olduğu gözlenmiştir. Panel veri modeliyle gelir ile hava kirliliği arasında N şeklinde bir ilişki bulunmuştur. Ancak Ters – U şeklinde bir ilişki bulunmadığı için EKC hipotezi varlığından söz</w:t>
      </w:r>
      <w:r w:rsidR="00427866">
        <w:t xml:space="preserve"> </w:t>
      </w:r>
      <w:r>
        <w:t>edilemeyeceği vurgulanmıştır.</w:t>
      </w:r>
    </w:p>
    <w:p w:rsidR="00427866" w:rsidRDefault="00427866" w:rsidP="00427866">
      <w:pPr>
        <w:spacing w:before="240" w:after="240" w:line="360" w:lineRule="auto"/>
        <w:ind w:firstLine="708"/>
        <w:jc w:val="both"/>
      </w:pPr>
      <w:r>
        <w:t>Yine EKC hipotezine göre, artan gelirle birlikte başlangıçta çevresel kirlilik artar, fakat gelir belirli bir eşiğe geldikten sonra çevresel kirlilik azalmaya başlar. Bu hipotez ekonomik büyüme ile çevresel kirliliğin bir bileşeni olan sera gazların yoğunluğu arasındaki ilişkiyi belirlemektedir. Fakat çevresel kirliliğin ve ekonomik büyümenin ölçülmesi çok farklı olabilmektedir. Örnek olarak Çin’de çevresel kirliliğin ölçümünde, kirliliğin sağlık üzerine etkilerini ölçmek için epidemolojik indeks (epidemiological index) kullanılmaktadır (Brajer vd</w:t>
      </w:r>
      <w:proofErr w:type="gramStart"/>
      <w:r>
        <w:t>.,</w:t>
      </w:r>
      <w:proofErr w:type="gramEnd"/>
      <w:r>
        <w:t xml:space="preserve"> 2011: 383).</w:t>
      </w:r>
    </w:p>
    <w:p w:rsidR="00427866" w:rsidRDefault="00427866" w:rsidP="00427866">
      <w:pPr>
        <w:spacing w:before="240" w:after="240" w:line="360" w:lineRule="auto"/>
        <w:ind w:firstLine="708"/>
        <w:jc w:val="both"/>
      </w:pPr>
      <w:r>
        <w:t>Jaunky (2011) 36 yüksek gelirli ülkenin 1980-2005 dönemi verileri ile GSYİH ve CO</w:t>
      </w:r>
      <w:r>
        <w:rPr>
          <w:vertAlign w:val="subscript"/>
        </w:rPr>
        <w:t>2</w:t>
      </w:r>
      <w:r>
        <w:t xml:space="preserve"> emisyonlarını EKC hipotezine uygunluğunu panel veri birim kök ve eşbütünleşme testleri ile incelemiştir. Ampirik analiz sonucunda Yunanistan, Malta, Oman, Portekiz ve İngiltere ülkeleri EKC hipotezini desteklemektedir. Tüm panel için </w:t>
      </w:r>
      <w:r>
        <w:lastRenderedPageBreak/>
        <w:t>gözlemlenen GSYİH’daki % 1’lik artış kısa dönemde CO</w:t>
      </w:r>
      <w:r>
        <w:rPr>
          <w:vertAlign w:val="subscript"/>
        </w:rPr>
        <w:t>2</w:t>
      </w:r>
      <w:r>
        <w:t xml:space="preserve"> emisyonlarını % 0,68 arttırırken, uzun dönemde % 0.22 arttırmaktadır. </w:t>
      </w:r>
    </w:p>
    <w:p w:rsidR="00427866" w:rsidRPr="00CD3C18" w:rsidRDefault="00427866" w:rsidP="00427866">
      <w:pPr>
        <w:spacing w:before="240" w:after="240" w:line="360" w:lineRule="auto"/>
        <w:ind w:firstLine="708"/>
        <w:jc w:val="both"/>
      </w:pPr>
      <w:r>
        <w:t>Arı ve Zeren (2011) Türkiye ve Akdeniz ülkeleri için yapmış oldukları çalışmada CO</w:t>
      </w:r>
      <w:r>
        <w:rPr>
          <w:vertAlign w:val="subscript"/>
        </w:rPr>
        <w:t>2</w:t>
      </w:r>
      <w:r>
        <w:t xml:space="preserve"> ile kişi başı gelir arasındaki ilişkiyi inceleyerek EKC hipotezini test etmiştir. Panel veri yöntemiyle yapmış oldukları analizde CO</w:t>
      </w:r>
      <w:r>
        <w:rPr>
          <w:vertAlign w:val="subscript"/>
        </w:rPr>
        <w:t>2</w:t>
      </w:r>
      <w:r>
        <w:t xml:space="preserve"> ile kişi başı gelir arasında N şeklinde bir ilişki tespit etmiştir. Ayrıca nüfus yoğunluğunun ve enerji tüketiminin çevre kirliliği üzerinde pozitif bir etkisi olduğu vurgulanmıştır.</w:t>
      </w:r>
    </w:p>
    <w:p w:rsidR="00027773" w:rsidRPr="00427866" w:rsidRDefault="00427866" w:rsidP="00427866">
      <w:pPr>
        <w:spacing w:before="240" w:after="240" w:line="360" w:lineRule="auto"/>
        <w:ind w:firstLine="708"/>
        <w:jc w:val="both"/>
      </w:pPr>
      <w:r>
        <w:t>Xuemei vd. 2011 yılında Şandong bölgesi için yaptıkları çalışmada ekonomik büyüme ile çevre kirliliği arasıdanki ilişkiyi 1981–2008 dönemi için inlemişlerdir. Çalışmada EKC hipotezi test edilmiş ve kişi başı GSYİH il</w:t>
      </w:r>
      <w:r w:rsidR="008759F2">
        <w:t xml:space="preserve">e kükürt dioksit arasıda Ters - </w:t>
      </w:r>
      <w:r>
        <w:t>U şeklinde bir ilişkiye ulaşmışlardır. Temiz bir çevrenin ancak sıkı bir çevre politikasıyla sürdürülebileceği açıklanmıştır. Ayrıca çevresel kirlenmenin dönüm noktası gelişmiş ülkelerde daha yüksektir. Çalışmada kirli su ve sanayi katı atıkların EKC ile ilgili olmadığı sonucuna da ulaşılmıştır</w:t>
      </w:r>
      <w:r w:rsidR="008759F2">
        <w:t xml:space="preserve"> </w:t>
      </w:r>
      <w:r>
        <w:t>(Xuemei, 2011: 508–512).</w:t>
      </w:r>
    </w:p>
    <w:p w:rsidR="004D447F" w:rsidRDefault="004D447F" w:rsidP="00427866">
      <w:pPr>
        <w:spacing w:before="240" w:after="240" w:line="360" w:lineRule="auto"/>
        <w:ind w:firstLine="708"/>
        <w:jc w:val="both"/>
        <w:rPr>
          <w:bCs/>
        </w:rPr>
      </w:pPr>
      <w:r w:rsidRPr="004D447F">
        <w:rPr>
          <w:bCs/>
        </w:rPr>
        <w:t xml:space="preserve">Çınar, (2011) </w:t>
      </w:r>
      <w:r>
        <w:rPr>
          <w:bCs/>
        </w:rPr>
        <w:t>gelir ve CO</w:t>
      </w:r>
      <w:r w:rsidRPr="00D534FD">
        <w:rPr>
          <w:bCs/>
          <w:vertAlign w:val="subscript"/>
        </w:rPr>
        <w:t>2</w:t>
      </w:r>
      <w:r>
        <w:rPr>
          <w:bCs/>
        </w:rPr>
        <w:t xml:space="preserve"> ilişkisi üzerine panel birim kök ve eşbütünleşme testi çalışmasında1971-2007 döneminde OECD ülkeleri için kişi başına CO</w:t>
      </w:r>
      <w:r w:rsidRPr="00D534FD">
        <w:rPr>
          <w:bCs/>
          <w:vertAlign w:val="subscript"/>
        </w:rPr>
        <w:t>2</w:t>
      </w:r>
      <w:r>
        <w:rPr>
          <w:bCs/>
        </w:rPr>
        <w:t xml:space="preserve"> emisyonları ve reel kişi başına GSYİH panel ver</w:t>
      </w:r>
      <w:r w:rsidR="00027551">
        <w:rPr>
          <w:bCs/>
        </w:rPr>
        <w:t>ileriyle birim kök testleri, eşbütünleşme testleri ve uzun dönem katsayılarını araştırmıştır.</w:t>
      </w:r>
      <w:r w:rsidR="00BA6FEF">
        <w:rPr>
          <w:bCs/>
        </w:rPr>
        <w:t xml:space="preserve"> Araştırmada birim kök tahminleri için 1. </w:t>
      </w:r>
      <w:r w:rsidR="00DF15E7">
        <w:rPr>
          <w:bCs/>
        </w:rPr>
        <w:t>kuşak</w:t>
      </w:r>
      <w:r w:rsidR="00BA6FEF">
        <w:rPr>
          <w:bCs/>
        </w:rPr>
        <w:t xml:space="preserve"> birim kök testleri, eşbütünleşme testleri için Pedroni, Kao ve Westerlund eşbütünleşme testleri ve uzun dönem katsayıları için DOLS tahmincisi kullanmıştır. Ekonometrik uygulamalar sonucunda gelir ile CO</w:t>
      </w:r>
      <w:r w:rsidR="00BA6FEF" w:rsidRPr="00D534FD">
        <w:rPr>
          <w:bCs/>
          <w:vertAlign w:val="subscript"/>
        </w:rPr>
        <w:t xml:space="preserve">2 </w:t>
      </w:r>
      <w:r w:rsidR="00BA6FEF">
        <w:rPr>
          <w:bCs/>
        </w:rPr>
        <w:t>arasında eşbütünleşme ilişkisi ve istatistiki olarak anlamlı doğrusal uzun dönem katsayılarına ulaşmıştır. Bu sonuçla belirli gelir düzeyinden sonra da kirlilik düzeyinin arttığı sonucuna ulaşmaktadır.</w:t>
      </w:r>
    </w:p>
    <w:p w:rsidR="00427866" w:rsidRDefault="00427866" w:rsidP="00427866">
      <w:pPr>
        <w:spacing w:before="240" w:after="240" w:line="360" w:lineRule="auto"/>
        <w:ind w:firstLine="708"/>
        <w:jc w:val="both"/>
      </w:pPr>
      <w:r>
        <w:t xml:space="preserve">Öztürk ve Acaravci (2012) çalışmalarında, 1960-2007 dönemi verileriyle </w:t>
      </w:r>
      <w:proofErr w:type="gramStart"/>
      <w:r>
        <w:t>Türkiye’de  finansal</w:t>
      </w:r>
      <w:proofErr w:type="gramEnd"/>
      <w:r>
        <w:t xml:space="preserve"> gelişme, ticaret, ekonomik büyüme ve karbon emisyonları arasında nedensellik ilişkisini analiz etmişlerdir. Çalışmada artan dış ticaret</w:t>
      </w:r>
      <w:r w:rsidR="008759F2">
        <w:t>,</w:t>
      </w:r>
      <w:r>
        <w:t xml:space="preserve"> karbon emisyonlarını arttırırken, finansal gelişme uzun dönemde karbon emisyonlarına etki etmemektedir. Bu sonuçlar Türkiye ekonomisinin Çevresel Kuznet</w:t>
      </w:r>
      <w:r w:rsidR="0055060C">
        <w:t>s</w:t>
      </w:r>
      <w:r>
        <w:t xml:space="preserve"> Eğrisi (EKC) hipotezini desteklediğini göstermektedir. </w:t>
      </w:r>
    </w:p>
    <w:p w:rsidR="00427866" w:rsidRPr="00427866" w:rsidRDefault="00427866" w:rsidP="00427866">
      <w:pPr>
        <w:spacing w:before="240" w:after="240" w:line="360" w:lineRule="auto"/>
        <w:ind w:firstLine="708"/>
        <w:jc w:val="both"/>
      </w:pPr>
      <w:r>
        <w:t xml:space="preserve">Adom vd. (2012) Afrika kıtasından Gana, Senegal ve Fas için karbondioksit emisyonu, ekonomik büyüme, endüstri yapısı ve teknik verimlilik arasındaki </w:t>
      </w:r>
      <w:r>
        <w:lastRenderedPageBreak/>
        <w:t>nedensellik ilişkisini kısa ve uzun dönem etkilerini incelemişlerdir. Çalışmanın sonucunda, Fas için uzun dönem ilişkisi tek yönlü iken</w:t>
      </w:r>
      <w:r w:rsidR="008759F2">
        <w:t>,</w:t>
      </w:r>
      <w:r>
        <w:t xml:space="preserve"> Gana ve Senegal için çok yönlü ilişki gözlenmiştir. Toda ve Toda-</w:t>
      </w:r>
      <w:r w:rsidR="008759F2">
        <w:t>Yomamoto G</w:t>
      </w:r>
      <w:r w:rsidRPr="00D4238A">
        <w:t xml:space="preserve">ranger </w:t>
      </w:r>
      <w:r w:rsidR="008759F2">
        <w:t>N</w:t>
      </w:r>
      <w:r w:rsidRPr="00D4238A">
        <w:t xml:space="preserve">edensellik testi </w:t>
      </w:r>
      <w:r>
        <w:t>sonuçlarına göre çift yönlü, tek yönlü ve nötr ilişkiler tespit edilmiştir. Senegal’de ekonomik büyüme karbondioksit emisyonunu arttırmazken, Fas ve Gana’da ekonomik büyüme karbondioksit emisyonunu arttırmaktadır. Varyans ayrıştırma analizinde ise Senegal ve Fas’da ekonomik büyüme gelecekte karbondioksit emisyonunu büyük ölçüde etkilerken, Gana’da teknoloji verimliliği gelecekte karbondioksit emisyonunu etkileyeceği varsayılmaktadır.</w:t>
      </w:r>
    </w:p>
    <w:p w:rsidR="0044255F" w:rsidRPr="00825E32" w:rsidRDefault="007D7583" w:rsidP="00825E32">
      <w:pPr>
        <w:pStyle w:val="Balk2"/>
        <w:numPr>
          <w:ilvl w:val="0"/>
          <w:numId w:val="0"/>
        </w:numPr>
        <w:ind w:left="360" w:hanging="360"/>
      </w:pPr>
      <w:bookmarkStart w:id="158" w:name="_Toc384824017"/>
      <w:r w:rsidRPr="00825E32">
        <w:t>3.2.</w:t>
      </w:r>
      <w:r w:rsidR="007B618B" w:rsidRPr="00825E32">
        <w:t xml:space="preserve"> </w:t>
      </w:r>
      <w:r w:rsidR="00B56D2F">
        <w:t>ENERJİ TÜKETİMİ ETKİSİ</w:t>
      </w:r>
      <w:bookmarkEnd w:id="158"/>
    </w:p>
    <w:p w:rsidR="005F4644" w:rsidRDefault="005F4644" w:rsidP="00676001">
      <w:pPr>
        <w:spacing w:before="240" w:after="240" w:line="360" w:lineRule="auto"/>
        <w:ind w:firstLine="709"/>
        <w:jc w:val="both"/>
      </w:pPr>
      <w:r>
        <w:t xml:space="preserve">Enerji, insanoğlunun yaşamını sağlıklı, güvenli ve rahat bir şekilde geçirebilmesi için gerekli temel ihtiyaçlardandır. Ancak dünya nüfusundaki artış ve ekonomik büyüme beraberinde enerji talebine artışı getirmektedir. </w:t>
      </w:r>
      <w:r w:rsidR="00FD368A">
        <w:t xml:space="preserve">Sürdürülebilir bir ekonomik büyümenin olması için enerji tüketimindeki artışı kaçınılmaz yapmaktadır (Bella vd. 2010: 3). </w:t>
      </w:r>
      <w:r>
        <w:t xml:space="preserve">Dünyadaki bu enerji kaynaklarının bilinçsizce ve aşırı kullanılması tahrip olan çevreyi sürdürülmez bir durumla karşı karşıya bırakmaktadır. </w:t>
      </w:r>
    </w:p>
    <w:p w:rsidR="00F12DB1" w:rsidRDefault="00F12DB1" w:rsidP="00676001">
      <w:pPr>
        <w:spacing w:before="240" w:after="240" w:line="360" w:lineRule="auto"/>
        <w:ind w:firstLine="709"/>
      </w:pPr>
      <w:r>
        <w:t xml:space="preserve">Bu bölümde ilk olarak; </w:t>
      </w:r>
      <w:r w:rsidR="008E4398">
        <w:t xml:space="preserve">enerji tüketiminin </w:t>
      </w:r>
      <w:r>
        <w:t>sera gazı e</w:t>
      </w:r>
      <w:r w:rsidR="008E4398">
        <w:t xml:space="preserve">misyonlarına </w:t>
      </w:r>
      <w:r>
        <w:t xml:space="preserve">etkileri teorik olarak incelenecek, sonra konuyla ilgili literatür özeti verilecektir. </w:t>
      </w:r>
    </w:p>
    <w:p w:rsidR="00F12DB1" w:rsidRDefault="00F12DB1" w:rsidP="0031716B">
      <w:pPr>
        <w:pStyle w:val="Balk3"/>
        <w:numPr>
          <w:ilvl w:val="0"/>
          <w:numId w:val="0"/>
        </w:numPr>
      </w:pPr>
      <w:bookmarkStart w:id="159" w:name="_Toc384824018"/>
      <w:r w:rsidRPr="00AB1686">
        <w:t>3.</w:t>
      </w:r>
      <w:r w:rsidR="008E4398">
        <w:t>2</w:t>
      </w:r>
      <w:r w:rsidRPr="00AB1686">
        <w:t xml:space="preserve">.1. </w:t>
      </w:r>
      <w:r w:rsidRPr="00C83CF7">
        <w:rPr>
          <w:rStyle w:val="Balk3Char"/>
          <w:b/>
        </w:rPr>
        <w:t>Teorik Çerçeve</w:t>
      </w:r>
      <w:bookmarkEnd w:id="159"/>
    </w:p>
    <w:p w:rsidR="008E4398" w:rsidRPr="00224AF2" w:rsidRDefault="00224AF2" w:rsidP="0016494E">
      <w:pPr>
        <w:spacing w:before="240" w:after="240" w:line="360" w:lineRule="auto"/>
        <w:jc w:val="both"/>
      </w:pPr>
      <w:r w:rsidRPr="00224AF2">
        <w:tab/>
        <w:t>Enerji kullanımı</w:t>
      </w:r>
      <w:r>
        <w:t>ndan kaynaklanan karbon emisyonları diğer değişkenler</w:t>
      </w:r>
      <w:r w:rsidR="008A2754">
        <w:t>den</w:t>
      </w:r>
      <w:r w:rsidR="00C70088">
        <w:t xml:space="preserve"> (büyüme, ihracat, ithalat, DYY vb.)</w:t>
      </w:r>
      <w:r w:rsidR="008A2754">
        <w:t xml:space="preserve"> kaynaklanan karbon emisyonlarından çok yüksektir</w:t>
      </w:r>
      <w:r w:rsidR="0016494E">
        <w:t xml:space="preserve">. </w:t>
      </w:r>
      <w:r w:rsidR="00BB4DC1">
        <w:t xml:space="preserve">Denklem </w:t>
      </w:r>
      <w:proofErr w:type="gramStart"/>
      <w:r w:rsidR="00BB4DC1">
        <w:t>3.1’de</w:t>
      </w:r>
      <w:proofErr w:type="gramEnd"/>
      <w:r w:rsidR="00BB4DC1">
        <w:t xml:space="preserve"> gösteril</w:t>
      </w:r>
      <w:r w:rsidR="001F558D">
        <w:t xml:space="preserve">en ve </w:t>
      </w:r>
      <w:r w:rsidR="001F558D">
        <w:rPr>
          <w:color w:val="000000"/>
        </w:rPr>
        <w:t>Dinda, ( 2004: 440-441)  tarafından geliştirilen modele</w:t>
      </w:r>
      <w:r w:rsidR="009F1473">
        <w:rPr>
          <w:color w:val="000000"/>
        </w:rPr>
        <w:t>,</w:t>
      </w:r>
      <w:r w:rsidR="001F558D">
        <w:rPr>
          <w:color w:val="000000"/>
        </w:rPr>
        <w:t xml:space="preserve"> </w:t>
      </w:r>
      <w:r w:rsidR="009F1473">
        <w:t xml:space="preserve">karbon emisyonlarını </w:t>
      </w:r>
      <w:r w:rsidR="009F1473" w:rsidRPr="0027400F">
        <w:rPr>
          <w:i/>
        </w:rPr>
        <w:t>(CO)</w:t>
      </w:r>
      <w:r w:rsidR="009F1473">
        <w:t xml:space="preserve"> arttıracağı değerlendirilen enerji tüketimi</w:t>
      </w:r>
      <w:r w:rsidR="00BB4DC1">
        <w:t xml:space="preserve"> </w:t>
      </w:r>
      <w:r w:rsidR="00BB4DC1" w:rsidRPr="0027400F">
        <w:rPr>
          <w:i/>
        </w:rPr>
        <w:t>(EC)</w:t>
      </w:r>
      <w:r w:rsidR="00BB4DC1">
        <w:t xml:space="preserve"> </w:t>
      </w:r>
      <w:r w:rsidR="009F1473">
        <w:t xml:space="preserve">değişkeni </w:t>
      </w:r>
      <w:r w:rsidR="009F1473">
        <w:rPr>
          <w:color w:val="000000"/>
        </w:rPr>
        <w:t xml:space="preserve">tarafımızdan modele dahil edilerek aşağıdaki modele ulaşılmıştır. </w:t>
      </w:r>
    </w:p>
    <w:p w:rsidR="008E4398" w:rsidRDefault="00E56A11" w:rsidP="0016494E">
      <w:pPr>
        <w:spacing w:before="240" w:after="240" w:line="360" w:lineRule="auto"/>
        <w:jc w:val="both"/>
        <w:rPr>
          <w:b/>
        </w:rPr>
      </w:pPr>
      <m:oMath>
        <m:sSub>
          <m:sSubPr>
            <m:ctrlPr>
              <w:rPr>
                <w:rFonts w:ascii="Cambria Math" w:hAnsi="Cambria Math"/>
                <w:i/>
              </w:rPr>
            </m:ctrlPr>
          </m:sSubPr>
          <m:e>
            <m:r>
              <w:rPr>
                <w:rFonts w:ascii="Cambria Math" w:hAnsi="Cambria Math"/>
              </w:rPr>
              <m:t>CO</m:t>
            </m:r>
          </m:e>
          <m:sub>
            <m:r>
              <w:rPr>
                <w:rFonts w:ascii="Cambria Math" w:hAnsi="Cambria Math"/>
              </w:rPr>
              <m:t xml:space="preserve">it  </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i0</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sSubSup>
          <m:sSubSupPr>
            <m:ctrlPr>
              <w:rPr>
                <w:rFonts w:ascii="Cambria Math" w:hAnsi="Cambria Math"/>
                <w:i/>
              </w:rPr>
            </m:ctrlPr>
          </m:sSubSupPr>
          <m:e>
            <m:r>
              <w:rPr>
                <w:rFonts w:ascii="Cambria Math" w:hAnsi="Cambria Math"/>
              </w:rPr>
              <m:t>Y</m:t>
            </m:r>
          </m:e>
          <m:sub>
            <m:r>
              <w:rPr>
                <w:rFonts w:ascii="Cambria Math" w:hAnsi="Cambria Math"/>
              </w:rPr>
              <m:t>it</m:t>
            </m:r>
          </m:sub>
          <m:sup>
            <m:r>
              <w:rPr>
                <w:rFonts w:ascii="Cambria Math" w:hAnsi="Cambria Math"/>
              </w:rPr>
              <m:t>2</m:t>
            </m:r>
          </m:sup>
        </m:sSubSup>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3</m:t>
            </m:r>
          </m:sub>
        </m:sSub>
        <m:sSubSup>
          <m:sSubSupPr>
            <m:ctrlPr>
              <w:rPr>
                <w:rFonts w:ascii="Cambria Math" w:hAnsi="Cambria Math"/>
                <w:i/>
              </w:rPr>
            </m:ctrlPr>
          </m:sSubSupPr>
          <m:e>
            <m:r>
              <w:rPr>
                <w:rFonts w:ascii="Cambria Math" w:hAnsi="Cambria Math"/>
              </w:rPr>
              <m:t>Y</m:t>
            </m:r>
          </m:e>
          <m:sub>
            <m:r>
              <w:rPr>
                <w:rFonts w:ascii="Cambria Math" w:hAnsi="Cambria Math"/>
              </w:rPr>
              <m:t>it</m:t>
            </m:r>
          </m:sub>
          <m:sup>
            <m:r>
              <w:rPr>
                <w:rFonts w:ascii="Cambria Math" w:hAnsi="Cambria Math"/>
              </w:rPr>
              <m:t>3</m:t>
            </m:r>
          </m:sup>
        </m:sSub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 xml:space="preserve">4 </m:t>
            </m:r>
          </m:sub>
        </m:sSub>
        <m:sSub>
          <m:sSubPr>
            <m:ctrlPr>
              <w:rPr>
                <w:rFonts w:ascii="Cambria Math" w:hAnsi="Cambria Math"/>
                <w:i/>
              </w:rPr>
            </m:ctrlPr>
          </m:sSubPr>
          <m:e>
            <m:r>
              <w:rPr>
                <w:rFonts w:ascii="Cambria Math" w:hAnsi="Cambria Math"/>
              </w:rPr>
              <m:t>EC</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color w:val="000000"/>
              </w:rPr>
              <m:t>ε</m:t>
            </m:r>
          </m:e>
          <m:sub>
            <m:r>
              <w:rPr>
                <w:rFonts w:ascii="Cambria Math" w:hAnsi="Cambria Math"/>
              </w:rPr>
              <m:t>it</m:t>
            </m:r>
          </m:sub>
        </m:sSub>
      </m:oMath>
      <w:r w:rsidR="00BB4DC1">
        <w:tab/>
      </w:r>
      <w:r w:rsidR="00E12C62">
        <w:tab/>
      </w:r>
      <w:r w:rsidR="00E12C62">
        <w:tab/>
      </w:r>
      <w:r w:rsidR="00E12C62">
        <w:tab/>
      </w:r>
      <w:r w:rsidR="00632F24">
        <w:t xml:space="preserve">    </w:t>
      </w:r>
      <w:r w:rsidR="00E12C62">
        <w:t>(3.4</w:t>
      </w:r>
      <w:r w:rsidR="00452A47">
        <w:t>)</w:t>
      </w:r>
    </w:p>
    <w:p w:rsidR="008E4398" w:rsidRPr="0027400F" w:rsidRDefault="00144784" w:rsidP="00676001">
      <w:pPr>
        <w:spacing w:before="240" w:after="240" w:line="360" w:lineRule="auto"/>
        <w:ind w:firstLine="708"/>
        <w:jc w:val="both"/>
      </w:pPr>
      <w:r>
        <w:t>3.</w:t>
      </w:r>
      <w:r w:rsidR="00E12C62">
        <w:t>4</w:t>
      </w:r>
      <w:r>
        <w:t>’de</w:t>
      </w:r>
      <w:r w:rsidR="0027400F" w:rsidRPr="0027400F">
        <w:t xml:space="preserve"> denklemdeki α parametreleri (i=</w:t>
      </w:r>
      <w:proofErr w:type="gramStart"/>
      <w:r w:rsidR="0027400F" w:rsidRPr="0027400F">
        <w:t>1,2,3,4</w:t>
      </w:r>
      <w:proofErr w:type="gramEnd"/>
      <w:r w:rsidR="0027400F" w:rsidRPr="0027400F">
        <w:t>) sırasıyla uzun dönem kişi başı karbon emisyonları, kişi başı reel gelir ve kişi başı reel gelirin karesi, kişi başı reel gelirin küpü ve kişi başı enerji tüketimi esneklik tahminlerini vermektedir. Kişi başı enerji tüketimiyle kişi başı karbon emisyonun uzun dönem esneklik tahmininde eğer</w:t>
      </w:r>
      <w:r w:rsidR="00370CDF">
        <w:t xml:space="preserve">  </w:t>
      </w:r>
      <w:r w:rsidR="0027400F" w:rsidRPr="0027400F">
        <w:t xml:space="preserve"> α4 &gt; 0 ise</w:t>
      </w:r>
      <w:r w:rsidR="00426679">
        <w:t>, artan enerji tüketimi</w:t>
      </w:r>
      <w:r w:rsidR="0027400F" w:rsidRPr="0027400F">
        <w:t xml:space="preserve"> karbon emisyonlarını arttıracağı</w:t>
      </w:r>
      <w:r w:rsidR="00426679">
        <w:t xml:space="preserve"> anlamına gelmektedir</w:t>
      </w:r>
      <w:r w:rsidR="0027400F" w:rsidRPr="0027400F">
        <w:t>.</w:t>
      </w:r>
    </w:p>
    <w:p w:rsidR="008E4398" w:rsidRDefault="008E4398" w:rsidP="0031716B">
      <w:pPr>
        <w:pStyle w:val="Balk3"/>
        <w:numPr>
          <w:ilvl w:val="0"/>
          <w:numId w:val="0"/>
        </w:numPr>
        <w:ind w:left="720"/>
      </w:pPr>
      <w:bookmarkStart w:id="160" w:name="_Toc384824019"/>
      <w:r w:rsidRPr="00AB1686">
        <w:lastRenderedPageBreak/>
        <w:t>3.</w:t>
      </w:r>
      <w:r>
        <w:t>2</w:t>
      </w:r>
      <w:r w:rsidR="00C83CF7">
        <w:t>.</w:t>
      </w:r>
      <w:r>
        <w:t>2</w:t>
      </w:r>
      <w:r w:rsidRPr="00AB1686">
        <w:t xml:space="preserve">. </w:t>
      </w:r>
      <w:r w:rsidR="0017098A">
        <w:t xml:space="preserve">İlgili </w:t>
      </w:r>
      <w:r>
        <w:t>Literatür Özeti</w:t>
      </w:r>
      <w:bookmarkEnd w:id="160"/>
    </w:p>
    <w:p w:rsidR="00B21E71" w:rsidRPr="00444576" w:rsidRDefault="00027773" w:rsidP="00D41986">
      <w:pPr>
        <w:autoSpaceDE w:val="0"/>
        <w:autoSpaceDN w:val="0"/>
        <w:adjustRightInd w:val="0"/>
        <w:spacing w:before="240" w:after="240" w:line="360" w:lineRule="auto"/>
        <w:ind w:firstLine="709"/>
        <w:jc w:val="both"/>
      </w:pPr>
      <w:r w:rsidRPr="00CB4758">
        <w:t xml:space="preserve">Son </w:t>
      </w:r>
      <w:r>
        <w:t>yüzyılda</w:t>
      </w:r>
      <w:r w:rsidRPr="00CB4758">
        <w:t xml:space="preserve"> çevre ile ilgili özellikle çevre ile ekonomi arasındaki ilişkiyi ampirik olarak inceleyen çalışmaların sayısında hızlı bir artış yaşanmıştır. Bu çalışmaların çoğunluğu kirlilik göstergesi olarak karbon dioksit emisyon miktarını analize dahil etmiştir. </w:t>
      </w:r>
      <w:r w:rsidR="00B21E71">
        <w:t xml:space="preserve">Gelişmekte olan ülkelerde yüksek sürdürülebilir bir ekonomik büyümenin sağlanabilmesi için yoğun enerji kullanımı gerektirmektedir (Apergis and Payne, 2009; Lean and Smith, 2010). Özellikle fosil yakıtlardan elde edilen enerji tüketimi beraberinde karbondioksit emisyonlarını arttırmaktadır. </w:t>
      </w:r>
      <w:r>
        <w:t xml:space="preserve">Çevresel kirlilik ile enerji tüketimi arasında son zamanlarda birçok çalışma yapılmıştır. Bu çalışmalardan </w:t>
      </w:r>
      <w:r w:rsidRPr="008B2F05">
        <w:t xml:space="preserve">Schipper </w:t>
      </w:r>
      <w:r>
        <w:t>vd.</w:t>
      </w:r>
      <w:r w:rsidRPr="008B2F05">
        <w:t xml:space="preserve"> (1997), Greening </w:t>
      </w:r>
      <w:r>
        <w:t>vd.</w:t>
      </w:r>
      <w:r w:rsidRPr="008B2F05">
        <w:t xml:space="preserve"> (1998), </w:t>
      </w:r>
      <w:r>
        <w:t>Roca ve</w:t>
      </w:r>
      <w:r w:rsidRPr="008B2F05">
        <w:t xml:space="preserve"> Alcantara (2001), </w:t>
      </w:r>
      <w:r>
        <w:t>Hamilton ve</w:t>
      </w:r>
      <w:r w:rsidRPr="008B2F05">
        <w:t xml:space="preserve"> Turton</w:t>
      </w:r>
      <w:r>
        <w:t xml:space="preserve"> (2002),</w:t>
      </w:r>
      <w:r w:rsidRPr="008B2F05">
        <w:t xml:space="preserve"> Stern (2002)</w:t>
      </w:r>
      <w:r>
        <w:t xml:space="preserve">, </w:t>
      </w:r>
      <w:r w:rsidRPr="008B2F05">
        <w:t xml:space="preserve">Lise (2006), </w:t>
      </w:r>
      <w:r>
        <w:t xml:space="preserve">Soytaş vd. (2007) enerji kullanımı ile karbon emisyonları arasındaki ilişkiyi analiz etmişlerdir. </w:t>
      </w:r>
      <w:r w:rsidR="00B21E71">
        <w:t>Literatürde yapılan bu</w:t>
      </w:r>
      <w:r w:rsidR="00B21E71" w:rsidRPr="00444576">
        <w:t xml:space="preserve"> çalışmaların kısa bir özeti aşağıda tarih sırasına göre sunulmuştur.</w:t>
      </w:r>
    </w:p>
    <w:p w:rsidR="00027773" w:rsidRDefault="00027773" w:rsidP="00D41986">
      <w:pPr>
        <w:spacing w:before="240" w:after="240" w:line="360" w:lineRule="auto"/>
        <w:ind w:firstLine="709"/>
        <w:jc w:val="both"/>
      </w:pPr>
      <w:r>
        <w:t xml:space="preserve">Say ve Yücel (2006) enerji tüketimi ile karbon emisyonları arasındaki ilişkiyi Türkiye için 1970-2002 dönemi için araştırmışlardır. Enerji tüketimiyle karbon emisyonları arasında yapılan regresyon </w:t>
      </w:r>
      <w:proofErr w:type="gramStart"/>
      <w:r>
        <w:t>analizinde  bu</w:t>
      </w:r>
      <w:proofErr w:type="gramEnd"/>
      <w:r>
        <w:t xml:space="preserve"> iki değişken arasında güçlü bir ilişki olduğunu sonucuna ulaşmışlardır. Ayrıca Türkiye için hesaplanan toplam karbon emisyonunun IPCC (The Intergovernmental Panel on Climate C</w:t>
      </w:r>
      <w:r w:rsidRPr="0015600C">
        <w:t>hange</w:t>
      </w:r>
      <w:r>
        <w:t>) metoduna göre hesaplanan değerin çok üstündedir.</w:t>
      </w:r>
    </w:p>
    <w:p w:rsidR="00027773" w:rsidRDefault="00027773" w:rsidP="00D41986">
      <w:pPr>
        <w:spacing w:before="240" w:after="240" w:line="360" w:lineRule="auto"/>
        <w:ind w:firstLine="709"/>
        <w:jc w:val="both"/>
      </w:pPr>
      <w:r>
        <w:t xml:space="preserve">Soytaş vd (2007) çalışmalarında, ABD için enerji tüketimi ile karbon emisyonları arasında ilişki analiz etmişlerdir. ABD için daha önceki çalışmalarda enerji tüketimi modele dahil edilmeden EKC’nin varlığı test edilmiştir.  Oluşturulan modelde gelir, enerji tüketimi ve karbondioksit emisyonları arasında Granger Nedensellik testi sonucunda gelirin karbon emisyonunun Granger Nedeni olmadığı fakat enerjinin Granger nedeni olduğu belirtilmiştir. </w:t>
      </w:r>
    </w:p>
    <w:p w:rsidR="00027773" w:rsidRDefault="00027773" w:rsidP="00D41986">
      <w:pPr>
        <w:spacing w:before="240" w:after="240" w:line="360" w:lineRule="auto"/>
        <w:ind w:firstLine="709"/>
        <w:jc w:val="both"/>
      </w:pPr>
      <w:r>
        <w:t>Gelişmekte olan ülkelerde elektrik ve enerjiye olan talep hızla artmaktadır. Çünkü enerji ekonomik büyüme ve sosyal gelişme için gerekli bir girdidir.  Türkiye de diğer gelişmekte olan ülkeler gibi enerjiye olan talebi hızla artırmaktadır. Artan enerji talebi beraberinde karbon emisyonlarını da arttırmaktadır. Türkiye’de bu emisyonlar 2004 yılında 193 milyon tona ulaşmıştır (Kaygusuz, 2009).</w:t>
      </w:r>
    </w:p>
    <w:p w:rsidR="00027773" w:rsidRDefault="00027773" w:rsidP="00D41986">
      <w:pPr>
        <w:autoSpaceDE w:val="0"/>
        <w:autoSpaceDN w:val="0"/>
        <w:adjustRightInd w:val="0"/>
        <w:spacing w:before="240" w:after="240" w:line="360" w:lineRule="auto"/>
        <w:ind w:firstLine="709"/>
        <w:jc w:val="both"/>
      </w:pPr>
      <w:r>
        <w:lastRenderedPageBreak/>
        <w:t xml:space="preserve">Karanfil (2009) çalışmasında, Türkiye’nin enerji trendini belirlemek ve uluslar arası bir ölçekte enerji ve çevre verimliliğini araştırmak için Gini katsayısı ve Theil endeksi ile dağılım incelemesi yaparak 132 ülkenin 1971-2005 döneminde enerji ve çevre verimliliğini detaylı bir şekilde incelemiştir. Analiz sonucunda Türkiye’nin fosil yakıt kullanımı arttığı için enerji kullanımı ve karbondioksit emisyonunun arttığını gözlemlemiştir. Ayrıca </w:t>
      </w:r>
      <w:r w:rsidRPr="0022241C">
        <w:t xml:space="preserve">enerji kullanımı ve karbondioksit </w:t>
      </w:r>
      <w:r>
        <w:t>emisyonun</w:t>
      </w:r>
      <w:r w:rsidRPr="0022241C">
        <w:t>daki küresel</w:t>
      </w:r>
      <w:r>
        <w:t xml:space="preserve"> </w:t>
      </w:r>
      <w:r w:rsidRPr="0022241C">
        <w:t>trendler</w:t>
      </w:r>
      <w:r>
        <w:t>,</w:t>
      </w:r>
      <w:r w:rsidRPr="0022241C">
        <w:t xml:space="preserve"> enerji ve çevre verimlili</w:t>
      </w:r>
      <w:r>
        <w:t>ğ</w:t>
      </w:r>
      <w:r w:rsidRPr="0022241C">
        <w:t>inde ülkeler arasında bir yakınsama oldu</w:t>
      </w:r>
      <w:r>
        <w:t>ğ</w:t>
      </w:r>
      <w:r w:rsidRPr="0022241C">
        <w:t>unu ve bu</w:t>
      </w:r>
      <w:r>
        <w:t xml:space="preserve"> </w:t>
      </w:r>
      <w:r w:rsidR="0067672C">
        <w:t>iki değ</w:t>
      </w:r>
      <w:r w:rsidRPr="0022241C">
        <w:t>işkenin ortalamalarının sabit kald</w:t>
      </w:r>
      <w:r>
        <w:t>ığ</w:t>
      </w:r>
      <w:r w:rsidRPr="0022241C">
        <w:t>ını</w:t>
      </w:r>
      <w:r>
        <w:t xml:space="preserve"> analiz etmiştir. </w:t>
      </w:r>
      <w:r w:rsidRPr="0022241C">
        <w:t>Türkiye’de enerji</w:t>
      </w:r>
      <w:r>
        <w:t xml:space="preserve"> </w:t>
      </w:r>
      <w:r w:rsidRPr="0022241C">
        <w:t>verimlili</w:t>
      </w:r>
      <w:r>
        <w:t>ğ</w:t>
      </w:r>
      <w:r w:rsidRPr="0022241C">
        <w:t>i çevre verimlili</w:t>
      </w:r>
      <w:r>
        <w:t>ğ</w:t>
      </w:r>
      <w:r w:rsidRPr="0022241C">
        <w:t>ine kı</w:t>
      </w:r>
      <w:r>
        <w:t>yasla daha yüksek ve istikrarlı olduğu bulgular arasındadır.</w:t>
      </w:r>
    </w:p>
    <w:p w:rsidR="00444576" w:rsidRPr="001B668B" w:rsidRDefault="00444576" w:rsidP="00D41986">
      <w:pPr>
        <w:spacing w:before="240" w:after="240" w:line="360" w:lineRule="auto"/>
        <w:ind w:firstLine="709"/>
        <w:jc w:val="both"/>
      </w:pPr>
      <w:r>
        <w:t>Bella vd. (2010) Panel Veri Analizini kullanarak 77 ülke verisiyle (22 OECD ve 55 OECD dışı ülke) 1971-2006 dönemi için ekonomik büyüme ile karbondioksit emisyonları arasındaki ilişkiyi incelenerek EKC hipotezinin varlığı araştırılmıştır. Modelde konveks ve konkavlığın belirlenmesi için panel tahmincileri kullanılmıştır. Bulgular 77 ülke geneli için EKC hipotezini destekler niteliktedir. Alt ülke grupları için ise aynı sonuç elde edilemediği gibi farklı ülke grupların sonuçlarında heterojen bir yapı olduğu görülmüştür.</w:t>
      </w:r>
    </w:p>
    <w:p w:rsidR="00027773" w:rsidRDefault="00027773" w:rsidP="00D41986">
      <w:pPr>
        <w:spacing w:before="240" w:after="240" w:line="360" w:lineRule="auto"/>
        <w:ind w:firstLine="709"/>
        <w:jc w:val="both"/>
      </w:pPr>
      <w:r>
        <w:t>Ahmed ve Long (2012) Pakistan için 1971-2008 dönemi yıllık verilerle karbondioksit emisyonu, ekonomik büyüme, enerji tüketimi, ticaret liberasyonu ve nüfus yoğunluğunu Çevresel Kuznets Eğrisi (EKC) hipotezine uygunluğunu araştırılmıştır. Değişkenler arasındaki eşbütünleşme ilişkisi ARDL (Auto Regressive Distributed Lag) sınır testi yaklaşımıyla analiz edilmiştir. Karbondioksit emisyonuyla büyüme arasında kısa ve uzun dönem ilişkisi EKC’yi desteklemektedir. Pakistan’ın enerji tüketimi ve ekonomik büyümesi çevresel kirlenmeye neden olmaktadır.</w:t>
      </w:r>
    </w:p>
    <w:p w:rsidR="007D7583" w:rsidRDefault="007D7583" w:rsidP="0067672C">
      <w:pPr>
        <w:pStyle w:val="Balk2"/>
        <w:numPr>
          <w:ilvl w:val="0"/>
          <w:numId w:val="0"/>
        </w:numPr>
      </w:pPr>
      <w:bookmarkStart w:id="161" w:name="_Toc384824020"/>
      <w:r>
        <w:t>3.3.</w:t>
      </w:r>
      <w:r w:rsidR="007B618B" w:rsidRPr="007D7583">
        <w:t xml:space="preserve"> </w:t>
      </w:r>
      <w:r w:rsidR="00BA402E">
        <w:t>DIŞ TİCARET ETKİSİ</w:t>
      </w:r>
      <w:bookmarkEnd w:id="161"/>
    </w:p>
    <w:p w:rsidR="00FB5EA0" w:rsidRDefault="0081484D" w:rsidP="00FB5EA0">
      <w:pPr>
        <w:spacing w:before="240" w:after="240" w:line="360" w:lineRule="auto"/>
      </w:pPr>
      <w:r>
        <w:tab/>
      </w:r>
      <w:r w:rsidR="00FB5EA0">
        <w:t xml:space="preserve">Çalışmanın bu aşamasında ise önce; dış </w:t>
      </w:r>
      <w:r w:rsidR="00353CA8">
        <w:t>t</w:t>
      </w:r>
      <w:r w:rsidR="00FB5EA0">
        <w:t>icareti</w:t>
      </w:r>
      <w:r w:rsidR="008A30B0">
        <w:t>n (</w:t>
      </w:r>
      <w:r w:rsidR="0027003D">
        <w:t>Ticari açıklık</w:t>
      </w:r>
      <w:r w:rsidR="008A30B0">
        <w:t>-</w:t>
      </w:r>
      <w:r w:rsidR="0027003D">
        <w:t>ihracat/GSYİH ve ithalat/GSYİH</w:t>
      </w:r>
      <w:r w:rsidR="00FB5EA0">
        <w:t xml:space="preserve"> vb.)  sera gazı emisyonuna etkileri teorik olarak incelenecek, sonra konuyla ilgili literatür özeti verilecektir. </w:t>
      </w:r>
    </w:p>
    <w:p w:rsidR="00301877" w:rsidRDefault="00301877" w:rsidP="00FB5EA0">
      <w:pPr>
        <w:spacing w:before="240" w:after="240" w:line="360" w:lineRule="auto"/>
      </w:pPr>
    </w:p>
    <w:p w:rsidR="00301877" w:rsidRDefault="00301877" w:rsidP="00FB5EA0">
      <w:pPr>
        <w:spacing w:before="240" w:after="240" w:line="360" w:lineRule="auto"/>
      </w:pPr>
    </w:p>
    <w:p w:rsidR="00C83CF7" w:rsidRDefault="00C83CF7" w:rsidP="0017098A">
      <w:pPr>
        <w:pStyle w:val="Balk3"/>
        <w:numPr>
          <w:ilvl w:val="0"/>
          <w:numId w:val="0"/>
        </w:numPr>
        <w:ind w:left="720" w:hanging="720"/>
      </w:pPr>
      <w:bookmarkStart w:id="162" w:name="_Toc384824021"/>
      <w:r w:rsidRPr="00AB1686">
        <w:lastRenderedPageBreak/>
        <w:t>3.</w:t>
      </w:r>
      <w:r>
        <w:t>3</w:t>
      </w:r>
      <w:r w:rsidRPr="00AB1686">
        <w:t>.</w:t>
      </w:r>
      <w:r>
        <w:t>1</w:t>
      </w:r>
      <w:r w:rsidRPr="00AB1686">
        <w:t>. Teorik Çerçeve</w:t>
      </w:r>
      <w:bookmarkEnd w:id="162"/>
    </w:p>
    <w:p w:rsidR="00C83CF7" w:rsidRDefault="00C30638" w:rsidP="00C30638">
      <w:pPr>
        <w:spacing w:before="240" w:after="240" w:line="360" w:lineRule="auto"/>
        <w:jc w:val="both"/>
      </w:pPr>
      <w:r>
        <w:rPr>
          <w:b/>
        </w:rPr>
        <w:tab/>
      </w:r>
      <w:r>
        <w:t xml:space="preserve">Günümüze kadar imalat sanayi içerisinde kirlilik yaratan sektörlerin belirlenmesinde ve bu sektörlerin ülkelerin dış ticaretine olan etkisinin ölçümüne yönelik birçok uygulamalı çalışmalar yapılmıştır. Bu çalışmalar kirliliği giderme maliyetlerinin en yüksek olduğu sektörleri yoğun kirli sektörler olarak tanımlamıştır. Tobey (1990) bu sektörleri maden, demir-çelik, </w:t>
      </w:r>
      <w:r w:rsidR="00783637">
        <w:t>kâğıt</w:t>
      </w:r>
      <w:r>
        <w:t xml:space="preserve">, metal ve kimyasal olarak belirlemiştir. </w:t>
      </w:r>
    </w:p>
    <w:p w:rsidR="00A850AE" w:rsidRDefault="002D5CF3" w:rsidP="00C30638">
      <w:pPr>
        <w:spacing w:before="240" w:after="240" w:line="360" w:lineRule="auto"/>
        <w:jc w:val="both"/>
      </w:pPr>
      <w:r>
        <w:tab/>
        <w:t xml:space="preserve">Günümüzde çevre kirliliğine sebep olan ülkelerin başında OECD ülkeleri gelmektedir. Bu nedenle sanayileşmiş OECD ülkeleri çevre bilinci yaygınlaşmakta ve </w:t>
      </w:r>
      <w:r w:rsidR="00FC25CA">
        <w:t>u</w:t>
      </w:r>
      <w:r w:rsidR="00A850AE">
        <w:t>luslar</w:t>
      </w:r>
      <w:r w:rsidR="00FC25CA">
        <w:t xml:space="preserve">arası anlaşmalara taraf olmaktadır. Çevre kirliliğinin azaltılması için taraf olunan Kyoto Mekanizması gibi bu sözleşmeler alternatif teknoloji ve yenilenebilir enerji gibi ek bir maliye katlanmak zorunda kalmakta ve uluslararası rekabette fiyat avantajını koruyamamaktadır. </w:t>
      </w:r>
    </w:p>
    <w:p w:rsidR="0085780F" w:rsidRDefault="00FC25CA" w:rsidP="00A850AE">
      <w:pPr>
        <w:spacing w:before="240" w:after="240" w:line="360" w:lineRule="auto"/>
        <w:ind w:firstLine="708"/>
        <w:jc w:val="both"/>
      </w:pPr>
      <w:r>
        <w:t xml:space="preserve">Gelişmiş </w:t>
      </w:r>
      <w:r w:rsidR="00A850AE">
        <w:t xml:space="preserve">ülkeler çevre kalitesini iyileştirmek üzere özellikle kirli endüstrilere yönelik birtakım yasal düzenlemeler geliştirmiştir. </w:t>
      </w:r>
      <w:r w:rsidR="007A16FE">
        <w:t xml:space="preserve">Bu yasal düzenlemeler, kirli endüstrilerin maliyetlerinde bir artış oluşturmuş ve bu endüstrilerin gelişmiş ülkelerdeki yaşam alanlarını sınırlamıştır. </w:t>
      </w:r>
      <w:r w:rsidR="0085780F">
        <w:t>Bu durum gelişmiş ülkelerde farklı araç ve politikalar bulmaya zorlamıştır.</w:t>
      </w:r>
    </w:p>
    <w:p w:rsidR="009B66FC" w:rsidRDefault="0085780F" w:rsidP="009B66FC">
      <w:pPr>
        <w:spacing w:before="240" w:after="240" w:line="360" w:lineRule="auto"/>
        <w:ind w:firstLine="708"/>
        <w:jc w:val="both"/>
      </w:pPr>
      <w:r>
        <w:t>Buna karşılık gelişmekte olan ülkeler ise,</w:t>
      </w:r>
      <w:r w:rsidR="009B66FC">
        <w:t xml:space="preserve"> sanayileşme </w:t>
      </w:r>
      <w:r w:rsidR="00226CEB">
        <w:t>eğiliminin sadece emek yoğun üretim tekniği (tarım ve tekstil gibi) ile sınırlı kalmayıp</w:t>
      </w:r>
      <w:r w:rsidR="009B66FC">
        <w:t>, yüksek oranda kirlilik yaratan sermaye yoğun endüstrilere de (</w:t>
      </w:r>
      <w:r w:rsidR="00226CEB">
        <w:t xml:space="preserve">Çimento, </w:t>
      </w:r>
      <w:r w:rsidR="003A6A7A">
        <w:t xml:space="preserve">kağıt, </w:t>
      </w:r>
      <w:r w:rsidR="009B66FC">
        <w:t xml:space="preserve">petrokimya, </w:t>
      </w:r>
      <w:r w:rsidR="003A6A7A">
        <w:t>demir-</w:t>
      </w:r>
      <w:r w:rsidR="009B66FC">
        <w:t xml:space="preserve">çelik gibi) kaymaya başlamıştır. Bu değişimin bir nedeni, gelişmiş ekonomilerde barınamayan kirli endüstrilerin, çevre duyarlılıkları henüz çok gelişmemiş olan </w:t>
      </w:r>
      <w:r w:rsidR="00D90825">
        <w:t xml:space="preserve">(Kyoto protokolünü imzalamayan ve yükümlülük almayan) </w:t>
      </w:r>
      <w:r w:rsidR="009B66FC">
        <w:t>ve bu nedenle çevresel yasal düzenlemelerin çok sıkı olmadığı, gelişmekte olan ülkelere gelmesidir.</w:t>
      </w:r>
      <w:r w:rsidR="00710C52">
        <w:t xml:space="preserve"> Gelişmiş ülkelerde uygulanan çevre standartları sebebiyle maliyet baskısı yaşayan kirlilik yoğun bazı yatırımlar, üretimlerini kirlilik kontrollerinin daha düşük olduğu gelişmekte olan ülkelere taşımaktadırlar. </w:t>
      </w:r>
      <w:r w:rsidR="009B66FC">
        <w:t xml:space="preserve">Gelişmekte olan ülkelerin bu endüstriler için kirlilik sığınağı ya da kirlilik cenneti haline gelmesi literatürde </w:t>
      </w:r>
      <w:r w:rsidR="009B66FC" w:rsidRPr="0066341E">
        <w:rPr>
          <w:i/>
        </w:rPr>
        <w:t>“kirlilik sığınağı hipotezi”</w:t>
      </w:r>
      <w:r w:rsidR="009B66FC">
        <w:t xml:space="preserve"> (pollution haven hypothesis) olarak adlandırılmaktadır</w:t>
      </w:r>
      <w:r w:rsidR="0066341E">
        <w:t xml:space="preserve"> (</w:t>
      </w:r>
      <w:r w:rsidR="00D20677">
        <w:t xml:space="preserve">Eskeland ve Harrison, 2003: 1; </w:t>
      </w:r>
      <w:r w:rsidR="0066341E">
        <w:t>Yılmazer ve Ersoy, 2009: 1442</w:t>
      </w:r>
      <w:r w:rsidR="00710C52">
        <w:t>; Karaca, 2012: 184</w:t>
      </w:r>
      <w:r w:rsidR="0066341E">
        <w:t>)</w:t>
      </w:r>
      <w:r w:rsidR="009B66FC">
        <w:t>.</w:t>
      </w:r>
    </w:p>
    <w:p w:rsidR="00863033" w:rsidRDefault="00863033" w:rsidP="009B66FC">
      <w:pPr>
        <w:spacing w:before="240" w:after="240" w:line="360" w:lineRule="auto"/>
        <w:ind w:firstLine="708"/>
        <w:jc w:val="both"/>
      </w:pPr>
      <w:r>
        <w:lastRenderedPageBreak/>
        <w:t>Gelişmiş ülkelerdeki çok uluslu şirketler gerçekleştirdikleri yatırımlarda genelde yatırım yaptıkları gelişmekte olan ülkedeki ucuz işgücü, hammadde ve düşük çevresel standartlar gibi bazı avantajların elde edilmesini amaçlamaktadır. Özellikle gelişmiş ülkelerdeki çevre standartları, maliyet avantajı elde etmek isteyen firmaların gelişmiş ülkelerden daha düşük çevre standardı olan gelişmekte olan ülkelere yatırım yapmasına neden olmaktadır</w:t>
      </w:r>
      <w:r w:rsidR="00267592">
        <w:t xml:space="preserve"> (Karaca, 2012: 182)</w:t>
      </w:r>
      <w:r>
        <w:t xml:space="preserve">. </w:t>
      </w:r>
      <w:r w:rsidR="00267592">
        <w:t>Böylece gelişmekte olan ülke kirlilik sığınağı haline gelmekte ve gelişmiş ülke ise yüksek çevre standartlarına uymuş gözükmektedir.</w:t>
      </w:r>
      <w:r>
        <w:t xml:space="preserve"> </w:t>
      </w:r>
    </w:p>
    <w:p w:rsidR="00EC6B9F" w:rsidRDefault="008A10C2" w:rsidP="009B66FC">
      <w:pPr>
        <w:spacing w:before="240" w:after="240" w:line="360" w:lineRule="auto"/>
        <w:ind w:firstLine="708"/>
        <w:jc w:val="both"/>
      </w:pPr>
      <w:r>
        <w:t>Arouri vd</w:t>
      </w:r>
      <w:proofErr w:type="gramStart"/>
      <w:r>
        <w:t>.</w:t>
      </w:r>
      <w:r w:rsidR="00027973" w:rsidRPr="0028249B">
        <w:t>,</w:t>
      </w:r>
      <w:proofErr w:type="gramEnd"/>
      <w:r w:rsidR="00027973" w:rsidRPr="0028249B">
        <w:t xml:space="preserve"> </w:t>
      </w:r>
      <w:r w:rsidR="00691E09" w:rsidRPr="0028249B">
        <w:t>(</w:t>
      </w:r>
      <w:r>
        <w:t>2012</w:t>
      </w:r>
      <w:r w:rsidR="00691E09" w:rsidRPr="0028249B">
        <w:t>) kirlilik sı</w:t>
      </w:r>
      <w:r w:rsidR="0028249B" w:rsidRPr="0028249B">
        <w:t xml:space="preserve">ğınağı hipotezi teoremine göre </w:t>
      </w:r>
      <w:r w:rsidR="00EC6B9F">
        <w:t xml:space="preserve">kurdukları modelde </w:t>
      </w:r>
      <w:r w:rsidR="00EC6B9F" w:rsidRPr="00EC6B9F">
        <w:rPr>
          <w:i/>
        </w:rPr>
        <w:t>X</w:t>
      </w:r>
      <w:r w:rsidR="00EC6B9F">
        <w:t xml:space="preserve"> ve </w:t>
      </w:r>
      <w:r w:rsidR="00EC6B9F" w:rsidRPr="00EC6B9F">
        <w:rPr>
          <w:i/>
        </w:rPr>
        <w:t>Y</w:t>
      </w:r>
      <w:r w:rsidR="00EC6B9F">
        <w:t xml:space="preserve"> olmak üzere iki mal olduğunu varsaymışlardır. Bu mallardan </w:t>
      </w:r>
      <w:r w:rsidR="00EC6B9F" w:rsidRPr="00EC6B9F">
        <w:rPr>
          <w:i/>
        </w:rPr>
        <w:t>X</w:t>
      </w:r>
      <w:r w:rsidR="00EC6B9F">
        <w:t xml:space="preserve"> kirli</w:t>
      </w:r>
      <w:r w:rsidR="00E36769">
        <w:t xml:space="preserve"> üretilen</w:t>
      </w:r>
      <w:r w:rsidR="00EC6B9F">
        <w:t xml:space="preserve"> malı, </w:t>
      </w:r>
      <w:r w:rsidR="00EC6B9F" w:rsidRPr="00EC6B9F">
        <w:rPr>
          <w:i/>
        </w:rPr>
        <w:t>Y</w:t>
      </w:r>
      <w:r w:rsidR="00EC6B9F">
        <w:t xml:space="preserve"> temiz</w:t>
      </w:r>
      <w:r w:rsidR="00E36769">
        <w:t xml:space="preserve"> üretilen</w:t>
      </w:r>
      <w:r w:rsidR="00EC6B9F">
        <w:t xml:space="preserve"> malı temsil etmektedir. </w:t>
      </w:r>
    </w:p>
    <w:p w:rsidR="00EC6B9F" w:rsidRDefault="00EC6B9F" w:rsidP="009B66FC">
      <w:pPr>
        <w:spacing w:before="240" w:after="240" w:line="360" w:lineRule="auto"/>
        <w:ind w:firstLine="708"/>
        <w:jc w:val="both"/>
      </w:pPr>
      <w:r>
        <w:t xml:space="preserve">Emek ve üretim faktörleri kullanılarak </w:t>
      </w:r>
      <w:r w:rsidRPr="00D41986">
        <w:rPr>
          <w:i/>
        </w:rPr>
        <w:t>Y</w:t>
      </w:r>
      <w:r>
        <w:t xml:space="preserve"> malı için üretim fonksiyonu modelini yazarsak;</w:t>
      </w:r>
    </w:p>
    <w:p w:rsidR="008D24F0" w:rsidRPr="007B5627" w:rsidRDefault="007B5627" w:rsidP="009B66FC">
      <w:pPr>
        <w:spacing w:before="240" w:after="240" w:line="360" w:lineRule="auto"/>
        <w:ind w:firstLine="708"/>
        <w:jc w:val="both"/>
      </w:pPr>
      <m:oMath>
        <m:r>
          <w:rPr>
            <w:rFonts w:ascii="Cambria Math" w:hAnsi="Cambria Math"/>
          </w:rPr>
          <m:t>Y=F(K,L)</m:t>
        </m:r>
      </m:oMath>
      <w:r w:rsidR="00E12C62">
        <w:tab/>
      </w:r>
      <w:r w:rsidR="00E12C62">
        <w:tab/>
      </w:r>
      <w:r w:rsidR="00E12C62">
        <w:tab/>
      </w:r>
      <w:r w:rsidR="00E12C62">
        <w:tab/>
      </w:r>
      <w:r w:rsidR="00E12C62">
        <w:tab/>
      </w:r>
      <w:r w:rsidR="00E12C62">
        <w:tab/>
      </w:r>
      <w:r w:rsidR="00E12C62">
        <w:tab/>
      </w:r>
      <w:r w:rsidR="00E12C62">
        <w:tab/>
      </w:r>
      <w:r w:rsidR="00E12C62">
        <w:tab/>
      </w:r>
      <w:r w:rsidR="00632F24">
        <w:t xml:space="preserve">   </w:t>
      </w:r>
      <w:r w:rsidR="00E12C62">
        <w:t>(3.5</w:t>
      </w:r>
      <w:r>
        <w:t>)</w:t>
      </w:r>
    </w:p>
    <w:p w:rsidR="00EC6B9F" w:rsidRDefault="008D716D" w:rsidP="007B5627">
      <w:pPr>
        <w:spacing w:before="240" w:after="240" w:line="360" w:lineRule="auto"/>
        <w:jc w:val="both"/>
      </w:pPr>
      <w:r>
        <w:t>v</w:t>
      </w:r>
      <w:r w:rsidR="007B5627">
        <w:t xml:space="preserve">e </w:t>
      </w:r>
      <w:r w:rsidR="007B5627" w:rsidRPr="008D716D">
        <w:rPr>
          <w:i/>
        </w:rPr>
        <w:t>X</w:t>
      </w:r>
      <w:r w:rsidR="007B5627">
        <w:t xml:space="preserve"> malı üretim fonksiyonu;</w:t>
      </w:r>
    </w:p>
    <w:p w:rsidR="007B5627" w:rsidRDefault="007B5627" w:rsidP="007B5627">
      <w:pPr>
        <w:spacing w:before="240" w:after="240" w:line="360" w:lineRule="auto"/>
        <w:jc w:val="both"/>
      </w:pPr>
      <w:r>
        <w:tab/>
      </w:r>
      <m:oMath>
        <m:r>
          <w:rPr>
            <w:rFonts w:ascii="Cambria Math" w:hAnsi="Cambria Math"/>
          </w:rPr>
          <m:t>X=</m:t>
        </m:r>
        <m:d>
          <m:dPr>
            <m:ctrlPr>
              <w:rPr>
                <w:rFonts w:ascii="Cambria Math" w:hAnsi="Cambria Math"/>
                <w:i/>
              </w:rPr>
            </m:ctrlPr>
          </m:dPr>
          <m:e>
            <m:r>
              <w:rPr>
                <w:rFonts w:ascii="Cambria Math" w:hAnsi="Cambria Math"/>
              </w:rPr>
              <m:t>1-θ</m:t>
            </m:r>
          </m:e>
        </m:d>
        <m:r>
          <w:rPr>
            <w:rFonts w:ascii="Cambria Math" w:hAnsi="Cambria Math"/>
          </w:rPr>
          <m:t>G(K,L)</m:t>
        </m:r>
      </m:oMath>
      <w:r w:rsidR="00E12C62">
        <w:tab/>
      </w:r>
      <w:r w:rsidR="00E12C62">
        <w:tab/>
      </w:r>
      <w:r w:rsidR="00E12C62">
        <w:tab/>
      </w:r>
      <w:r w:rsidR="00E12C62">
        <w:tab/>
      </w:r>
      <w:r w:rsidR="00E12C62">
        <w:tab/>
      </w:r>
      <w:r w:rsidR="00E12C62">
        <w:tab/>
      </w:r>
      <w:r w:rsidR="00E12C62">
        <w:tab/>
      </w:r>
      <w:r w:rsidR="00E12C62">
        <w:tab/>
      </w:r>
      <w:r w:rsidR="00632F24">
        <w:t xml:space="preserve">   </w:t>
      </w:r>
      <w:r w:rsidR="00E12C62">
        <w:t>(3.6</w:t>
      </w:r>
      <w:r>
        <w:t>)</w:t>
      </w:r>
    </w:p>
    <w:p w:rsidR="007B5627" w:rsidRDefault="007B5627" w:rsidP="00D41986">
      <w:pPr>
        <w:spacing w:before="240" w:after="240" w:line="360" w:lineRule="auto"/>
        <w:ind w:firstLine="708"/>
        <w:jc w:val="both"/>
      </w:pPr>
      <w:r>
        <w:t xml:space="preserve">Burada </w:t>
      </w:r>
      <w:r w:rsidRPr="008D716D">
        <w:rPr>
          <w:i/>
        </w:rPr>
        <w:t>θ</w:t>
      </w:r>
      <w:r>
        <w:t>, azaltım etkisini göster</w:t>
      </w:r>
      <w:r w:rsidR="00E36769">
        <w:t xml:space="preserve">mekle birlikte </w:t>
      </w:r>
      <w:r>
        <w:t xml:space="preserve">0 ve 1 </w:t>
      </w:r>
      <w:r w:rsidRPr="008D716D">
        <w:rPr>
          <w:i/>
        </w:rPr>
        <w:t>(0&lt;θ</w:t>
      </w:r>
      <w:r w:rsidR="00E36769" w:rsidRPr="008D716D">
        <w:rPr>
          <w:i/>
        </w:rPr>
        <w:t>&lt;1)</w:t>
      </w:r>
      <w:r w:rsidR="00E36769">
        <w:t xml:space="preserve"> arasında değer alır. Eğer </w:t>
      </w:r>
      <w:r w:rsidR="00E36769" w:rsidRPr="008D716D">
        <w:rPr>
          <w:i/>
        </w:rPr>
        <w:t>θ=0</w:t>
      </w:r>
      <w:r w:rsidR="00E36769">
        <w:t xml:space="preserve"> olursa</w:t>
      </w:r>
      <w:r w:rsidR="00387DB7">
        <w:t>,</w:t>
      </w:r>
      <w:r w:rsidR="00E36769">
        <w:t xml:space="preserve"> kirli üretilen </w:t>
      </w:r>
      <w:r w:rsidR="00E36769" w:rsidRPr="008D716D">
        <w:rPr>
          <w:i/>
        </w:rPr>
        <w:t>X</w:t>
      </w:r>
      <w:r w:rsidR="00E36769">
        <w:t xml:space="preserve"> mallarıyla kirliliğin artması ve aza</w:t>
      </w:r>
      <w:r w:rsidR="00387DB7">
        <w:t xml:space="preserve">ltım miktarı değişmez. Fakat </w:t>
      </w:r>
      <w:r w:rsidR="00387DB7" w:rsidRPr="008D716D">
        <w:rPr>
          <w:i/>
        </w:rPr>
        <w:t>θ</w:t>
      </w:r>
      <w:r w:rsidR="00387DB7">
        <w:t xml:space="preserve">’nın değeri artarsa </w:t>
      </w:r>
      <w:r>
        <w:t xml:space="preserve"> </w:t>
      </w:r>
      <w:r w:rsidR="00387DB7" w:rsidRPr="008D716D">
        <w:rPr>
          <w:i/>
        </w:rPr>
        <w:t>(0&lt;θ&lt;1)</w:t>
      </w:r>
      <w:r w:rsidR="00387DB7">
        <w:t xml:space="preserve"> üretilen </w:t>
      </w:r>
      <w:r w:rsidR="00387DB7" w:rsidRPr="008D716D">
        <w:rPr>
          <w:i/>
        </w:rPr>
        <w:t>X</w:t>
      </w:r>
      <w:r w:rsidR="00387DB7">
        <w:t xml:space="preserve"> malın azalması, azaltım çabası ve dolaylı olarak kirlilik artmaktadır. </w:t>
      </w:r>
    </w:p>
    <w:p w:rsidR="00387DB7" w:rsidRDefault="00387DB7" w:rsidP="007B5627">
      <w:pPr>
        <w:spacing w:before="240" w:after="240" w:line="360" w:lineRule="auto"/>
        <w:jc w:val="both"/>
      </w:pPr>
      <w:r>
        <w:tab/>
      </w:r>
      <w:r w:rsidR="007F7587">
        <w:t xml:space="preserve">Eğer </w:t>
      </w:r>
      <w:r w:rsidR="007F7587" w:rsidRPr="008D716D">
        <w:rPr>
          <w:i/>
        </w:rPr>
        <w:t>X</w:t>
      </w:r>
      <w:r w:rsidR="007F7587">
        <w:t xml:space="preserve"> malından üretilen emisyon miktarı üretim sürecinden denklem olarak yazılırsa; toplam emisyon </w:t>
      </w:r>
      <w:r w:rsidR="007F7587" w:rsidRPr="008D716D">
        <w:rPr>
          <w:i/>
        </w:rPr>
        <w:t>E=eX</w:t>
      </w:r>
      <w:r w:rsidR="007F7587">
        <w:t xml:space="preserve"> olur. Burada </w:t>
      </w:r>
      <w:r w:rsidR="007F7587" w:rsidRPr="008D716D">
        <w:rPr>
          <w:i/>
        </w:rPr>
        <w:t>e</w:t>
      </w:r>
      <w:r w:rsidR="007F7587">
        <w:t xml:space="preserve"> emisyon yoğunluğunu ifade eder. Modelde iki ülke varsayılarak gelişmiş ülke (</w:t>
      </w:r>
      <w:r w:rsidR="007F7587" w:rsidRPr="008D716D">
        <w:rPr>
          <w:i/>
        </w:rPr>
        <w:t>A</w:t>
      </w:r>
      <w:r w:rsidR="007F7587">
        <w:t xml:space="preserve"> – yüksek gelirli)  ve gelişmemiş ülke (</w:t>
      </w:r>
      <w:r w:rsidR="007F7587" w:rsidRPr="008D716D">
        <w:rPr>
          <w:i/>
        </w:rPr>
        <w:t>B</w:t>
      </w:r>
      <w:r w:rsidR="007F7587">
        <w:t xml:space="preserve">- düşük gelirli) olmak üzere iki değişken kullanılmıştır. </w:t>
      </w:r>
    </w:p>
    <w:p w:rsidR="007F7587" w:rsidRDefault="007F7587" w:rsidP="007B5627">
      <w:pPr>
        <w:spacing w:before="240" w:after="240" w:line="360" w:lineRule="auto"/>
        <w:jc w:val="both"/>
      </w:pPr>
      <w:r>
        <w:tab/>
        <w:t xml:space="preserve">Kirlilik sığınağı hipotezi teoremine göre </w:t>
      </w:r>
      <w:r w:rsidR="001F278A">
        <w:t xml:space="preserve">ticaret yapan bu iki ülkenin emisyon yoğunlukları birbirinden farklı olduğu için bu ülkenin arz eğrileri de aynı olmayacaktır. Arz eğrisi fonksiyonunu fiyat </w:t>
      </w:r>
      <w:r w:rsidR="001F278A" w:rsidRPr="008D716D">
        <w:rPr>
          <w:i/>
        </w:rPr>
        <w:t>(p),</w:t>
      </w:r>
      <w:r w:rsidR="001F278A">
        <w:t xml:space="preserve"> emisyon yoğunluğu </w:t>
      </w:r>
      <w:r w:rsidR="001F278A" w:rsidRPr="008D716D">
        <w:rPr>
          <w:i/>
        </w:rPr>
        <w:t>(e)</w:t>
      </w:r>
      <w:r w:rsidR="001F278A">
        <w:t xml:space="preserve"> ve sermaye/emek değişkenlerine göre düzenlersek;</w:t>
      </w:r>
    </w:p>
    <w:p w:rsidR="001F278A" w:rsidRDefault="001F278A" w:rsidP="007B5627">
      <w:pPr>
        <w:spacing w:before="240" w:after="240" w:line="360" w:lineRule="auto"/>
        <w:jc w:val="both"/>
      </w:pPr>
      <w:r>
        <w:tab/>
      </w:r>
      <m:oMath>
        <m:r>
          <w:rPr>
            <w:rFonts w:ascii="Cambria Math" w:hAnsi="Cambria Math" w:cs="Cambria Math"/>
          </w:rPr>
          <m:t>S(p,e,</m:t>
        </m:r>
        <m:f>
          <m:fPr>
            <m:ctrlPr>
              <w:rPr>
                <w:rFonts w:ascii="Cambria Math" w:hAnsi="Cambria Math" w:cs="Cambria Math"/>
                <w:i/>
              </w:rPr>
            </m:ctrlPr>
          </m:fPr>
          <m:num>
            <m:r>
              <w:rPr>
                <w:rFonts w:ascii="Cambria Math" w:hAnsi="Cambria Math" w:cs="Cambria Math"/>
              </w:rPr>
              <m:t>K</m:t>
            </m:r>
          </m:num>
          <m:den>
            <m:r>
              <w:rPr>
                <w:rFonts w:ascii="Cambria Math" w:hAnsi="Cambria Math" w:cs="Cambria Math"/>
              </w:rPr>
              <m:t>L</m:t>
            </m:r>
          </m:den>
        </m:f>
        <m:r>
          <w:rPr>
            <w:rFonts w:ascii="Cambria Math" w:hAnsi="Cambria Math" w:cs="Cambria Math"/>
          </w:rPr>
          <m:t>)</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X(p,e,K/L</m:t>
            </m:r>
          </m:num>
          <m:den>
            <m:r>
              <m:rPr>
                <m:sty m:val="p"/>
              </m:rPr>
              <w:rPr>
                <w:rFonts w:ascii="Cambria Math" w:hAnsi="Cambria Math" w:cs="Cambria Math"/>
              </w:rPr>
              <m:t>Y(p,e,K/L</m:t>
            </m:r>
          </m:den>
        </m:f>
      </m:oMath>
      <w:r w:rsidR="00E12C62">
        <w:tab/>
      </w:r>
      <w:r w:rsidR="00E12C62">
        <w:tab/>
      </w:r>
      <w:r w:rsidR="00E12C62">
        <w:tab/>
      </w:r>
      <w:r w:rsidR="00E12C62">
        <w:tab/>
      </w:r>
      <w:r w:rsidR="00E12C62">
        <w:tab/>
      </w:r>
      <w:r w:rsidR="00E12C62">
        <w:tab/>
      </w:r>
      <w:r w:rsidR="00E12C62">
        <w:tab/>
      </w:r>
      <w:r w:rsidR="00632F24">
        <w:t xml:space="preserve">   </w:t>
      </w:r>
      <w:r w:rsidR="00E12C62">
        <w:tab/>
      </w:r>
      <w:r w:rsidR="00632F24">
        <w:t xml:space="preserve">    </w:t>
      </w:r>
      <w:r w:rsidR="00E12C62">
        <w:t>(3</w:t>
      </w:r>
      <w:r w:rsidR="00D41986">
        <w:t>.</w:t>
      </w:r>
      <w:r w:rsidR="00E12C62">
        <w:t>7</w:t>
      </w:r>
      <w:r>
        <w:t>)</w:t>
      </w:r>
    </w:p>
    <w:p w:rsidR="001F278A" w:rsidRPr="00885EFE" w:rsidRDefault="001F278A" w:rsidP="007B5627">
      <w:pPr>
        <w:spacing w:before="240" w:after="240" w:line="360" w:lineRule="auto"/>
        <w:jc w:val="both"/>
      </w:pPr>
      <w:r>
        <w:lastRenderedPageBreak/>
        <w:tab/>
      </w:r>
      <w:r w:rsidR="00E12C62">
        <w:t>Denklem 3,7</w:t>
      </w:r>
      <w:r w:rsidRPr="00885EFE">
        <w:t xml:space="preserve">’te </w:t>
      </w:r>
      <w:r w:rsidR="00565E00" w:rsidRPr="00885EFE">
        <w:t xml:space="preserve">emisyon yoğunluğu ve fiyatlar arttığı zaman </w:t>
      </w:r>
      <w:r w:rsidR="00565E00" w:rsidRPr="00885EFE">
        <w:rPr>
          <w:i/>
        </w:rPr>
        <w:t>X</w:t>
      </w:r>
      <w:r w:rsidR="00565E00" w:rsidRPr="00885EFE">
        <w:t xml:space="preserve"> malının arzı dolaylı olarak </w:t>
      </w:r>
      <w:r w:rsidR="00565E00" w:rsidRPr="00885EFE">
        <w:rPr>
          <w:i/>
        </w:rPr>
        <w:t>Y</w:t>
      </w:r>
      <w:r w:rsidR="00885EFE" w:rsidRPr="00885EFE">
        <w:t xml:space="preserve"> malını arttırır</w:t>
      </w:r>
      <w:r w:rsidR="00565E00" w:rsidRPr="00885EFE">
        <w:t>.</w:t>
      </w:r>
    </w:p>
    <w:p w:rsidR="00EC6B9F" w:rsidRDefault="00B161D2" w:rsidP="009B66FC">
      <w:pPr>
        <w:spacing w:before="240" w:after="240" w:line="360" w:lineRule="auto"/>
        <w:ind w:firstLine="708"/>
        <w:jc w:val="both"/>
      </w:pPr>
      <w:r>
        <w:t xml:space="preserve">Bu iki ülkenin talep eğrisi ise değişmeyecektir. Çünkü bu mallar üzerindeki tercih birbirine yakın mallar olarak seçildi. Özellikle X </w:t>
      </w:r>
      <w:r w:rsidR="004E43DE">
        <w:t>malından Y malına göreceli</w:t>
      </w:r>
      <w:r>
        <w:t xml:space="preserve"> talep eğrisi</w:t>
      </w:r>
      <w:r w:rsidR="004E43DE">
        <w:t xml:space="preserve"> bu iki ülke içindeki fiyatların bir fonksiyonudur.</w:t>
      </w:r>
    </w:p>
    <w:p w:rsidR="004E43DE" w:rsidRDefault="004E43DE" w:rsidP="004E43DE">
      <w:pPr>
        <w:spacing w:before="240" w:after="240" w:line="360" w:lineRule="auto"/>
        <w:jc w:val="both"/>
      </w:pPr>
      <w:r>
        <w:tab/>
      </w:r>
      <m:oMath>
        <m:sSub>
          <m:sSubPr>
            <m:ctrlPr>
              <w:rPr>
                <w:rFonts w:ascii="Cambria Math" w:hAnsi="Cambria Math" w:cs="Cambria Math"/>
                <w:i/>
              </w:rPr>
            </m:ctrlPr>
          </m:sSubPr>
          <m:e>
            <m:r>
              <w:rPr>
                <w:rFonts w:ascii="Cambria Math" w:hAnsi="Cambria Math" w:cs="Cambria Math"/>
              </w:rPr>
              <m:t>D</m:t>
            </m:r>
          </m:e>
          <m:sub>
            <m:r>
              <w:rPr>
                <w:rFonts w:ascii="Cambria Math" w:hAnsi="Cambria Math" w:cs="Cambria Math"/>
              </w:rPr>
              <m:t>X/Y</m:t>
            </m:r>
          </m:sub>
        </m:sSub>
        <m:r>
          <w:rPr>
            <w:rFonts w:ascii="Cambria Math" w:hAnsi="Cambria Math" w:cs="Cambria Math"/>
          </w:rPr>
          <m:t>(p)</m:t>
        </m:r>
        <m:r>
          <m:rPr>
            <m:sty m:val="p"/>
          </m:rPr>
          <w:rPr>
            <w:rFonts w:ascii="Cambria Math" w:hAnsi="Cambria Math" w:cs="Cambria Math"/>
          </w:rPr>
          <m:t>=</m:t>
        </m:r>
        <m:f>
          <m:fPr>
            <m:ctrlPr>
              <w:rPr>
                <w:rFonts w:ascii="Cambria Math" w:hAnsi="Cambria Math"/>
              </w:rPr>
            </m:ctrlPr>
          </m:fPr>
          <m:num>
            <m:sSub>
              <m:sSubPr>
                <m:ctrlPr>
                  <w:rPr>
                    <w:rFonts w:ascii="Cambria Math" w:hAnsi="Cambria Math" w:cs="Cambria Math"/>
                  </w:rPr>
                </m:ctrlPr>
              </m:sSubPr>
              <m:e>
                <m:r>
                  <w:rPr>
                    <w:rFonts w:ascii="Cambria Math" w:hAnsi="Cambria Math" w:cs="Cambria Math"/>
                  </w:rPr>
                  <m:t>b</m:t>
                </m:r>
              </m:e>
              <m:sub>
                <m:r>
                  <w:rPr>
                    <w:rFonts w:ascii="Cambria Math" w:hAnsi="Cambria Math" w:cs="Cambria Math"/>
                  </w:rPr>
                  <m:t>x</m:t>
                </m:r>
              </m:sub>
            </m:sSub>
            <m:r>
              <w:rPr>
                <w:rFonts w:ascii="Cambria Math" w:hAnsi="Cambria Math" w:cs="Cambria Math"/>
              </w:rPr>
              <m:t xml:space="preserve"> (p)</m:t>
            </m:r>
          </m:num>
          <m:den>
            <m:sSub>
              <m:sSubPr>
                <m:ctrlPr>
                  <w:rPr>
                    <w:rFonts w:ascii="Cambria Math" w:hAnsi="Cambria Math" w:cs="Cambria Math"/>
                  </w:rPr>
                </m:ctrlPr>
              </m:sSubPr>
              <m:e>
                <m:r>
                  <w:rPr>
                    <w:rFonts w:ascii="Cambria Math" w:hAnsi="Cambria Math" w:cs="Cambria Math"/>
                  </w:rPr>
                  <m:t>b</m:t>
                </m:r>
              </m:e>
              <m:sub>
                <m:r>
                  <w:rPr>
                    <w:rFonts w:ascii="Cambria Math" w:hAnsi="Cambria Math" w:cs="Cambria Math"/>
                  </w:rPr>
                  <m:t>y</m:t>
                </m:r>
              </m:sub>
            </m:sSub>
            <m:r>
              <w:rPr>
                <w:rFonts w:ascii="Cambria Math" w:hAnsi="Cambria Math" w:cs="Cambria Math"/>
              </w:rPr>
              <m:t xml:space="preserve"> (p)</m:t>
            </m:r>
          </m:den>
        </m:f>
      </m:oMath>
      <w:r w:rsidR="00E12C62">
        <w:tab/>
      </w:r>
      <w:r w:rsidR="00E12C62">
        <w:tab/>
      </w:r>
      <w:r w:rsidR="00E12C62">
        <w:tab/>
      </w:r>
      <w:r w:rsidR="00E12C62">
        <w:tab/>
      </w:r>
      <w:r w:rsidR="00E12C62">
        <w:tab/>
      </w:r>
      <w:r w:rsidR="00E12C62">
        <w:tab/>
      </w:r>
      <w:r w:rsidR="00E12C62">
        <w:tab/>
      </w:r>
      <w:r w:rsidR="00E12C62">
        <w:tab/>
      </w:r>
      <w:r w:rsidR="00632F24">
        <w:t xml:space="preserve">   </w:t>
      </w:r>
      <w:r w:rsidR="00E12C62">
        <w:t>(3</w:t>
      </w:r>
      <w:r w:rsidR="00D41986">
        <w:t>.</w:t>
      </w:r>
      <w:r w:rsidR="00E12C62">
        <w:t>8</w:t>
      </w:r>
      <w:r>
        <w:t>)</w:t>
      </w:r>
    </w:p>
    <w:p w:rsidR="004E43DE" w:rsidRDefault="004E43DE" w:rsidP="009B66FC">
      <w:pPr>
        <w:spacing w:before="240" w:after="240" w:line="360" w:lineRule="auto"/>
        <w:ind w:firstLine="708"/>
        <w:jc w:val="both"/>
      </w:pPr>
      <w:r>
        <w:t xml:space="preserve">Eğer ülkeler aynı olursa, onların arz eğrisi </w:t>
      </w:r>
      <w:r w:rsidRPr="008D716D">
        <w:rPr>
          <w:i/>
        </w:rPr>
        <w:t>(S)</w:t>
      </w:r>
      <w:r>
        <w:t xml:space="preserve"> aynı olacaktır. Böylece fiyatlar da değişmeyecektir. Eğer emisyon yoğunlukları farklı olursa düşük gelirli ülkenin fiyatları yükselecektir. </w:t>
      </w:r>
    </w:p>
    <w:p w:rsidR="00AD7B86" w:rsidRPr="00885EFE" w:rsidRDefault="00D43616" w:rsidP="003403EA">
      <w:pPr>
        <w:pStyle w:val="stil1"/>
        <w:spacing w:before="120" w:after="120"/>
      </w:pPr>
      <w:bookmarkStart w:id="163" w:name="_Toc382298166"/>
      <w:r>
        <w:rPr>
          <w:noProof/>
          <w:lang w:eastAsia="tr-TR"/>
        </w:rPr>
        <w:drawing>
          <wp:anchor distT="0" distB="0" distL="114300" distR="114300" simplePos="0" relativeHeight="251682304" behindDoc="0" locked="0" layoutInCell="1" allowOverlap="1" wp14:anchorId="30A2BDD7" wp14:editId="6E59A044">
            <wp:simplePos x="0" y="0"/>
            <wp:positionH relativeFrom="column">
              <wp:posOffset>14605</wp:posOffset>
            </wp:positionH>
            <wp:positionV relativeFrom="paragraph">
              <wp:posOffset>417830</wp:posOffset>
            </wp:positionV>
            <wp:extent cx="2865755" cy="2293620"/>
            <wp:effectExtent l="0" t="0" r="0" b="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jpg"/>
                    <pic:cNvPicPr/>
                  </pic:nvPicPr>
                  <pic:blipFill>
                    <a:blip r:embed="rId45">
                      <a:extLst>
                        <a:ext uri="{28A0092B-C50C-407E-A947-70E740481C1C}">
                          <a14:useLocalDpi xmlns:a14="http://schemas.microsoft.com/office/drawing/2010/main" val="0"/>
                        </a:ext>
                      </a:extLst>
                    </a:blip>
                    <a:stretch>
                      <a:fillRect/>
                    </a:stretch>
                  </pic:blipFill>
                  <pic:spPr>
                    <a:xfrm>
                      <a:off x="0" y="0"/>
                      <a:ext cx="2865755" cy="2293620"/>
                    </a:xfrm>
                    <a:prstGeom prst="rect">
                      <a:avLst/>
                    </a:prstGeom>
                  </pic:spPr>
                </pic:pic>
              </a:graphicData>
            </a:graphic>
            <wp14:sizeRelH relativeFrom="page">
              <wp14:pctWidth>0</wp14:pctWidth>
            </wp14:sizeRelH>
            <wp14:sizeRelV relativeFrom="page">
              <wp14:pctHeight>0</wp14:pctHeight>
            </wp14:sizeRelV>
          </wp:anchor>
        </w:drawing>
      </w:r>
      <w:r w:rsidR="00AD7B86">
        <w:t xml:space="preserve">Şekil </w:t>
      </w:r>
      <w:proofErr w:type="gramStart"/>
      <w:r w:rsidR="00AD7B86">
        <w:t>3.</w:t>
      </w:r>
      <w:r w:rsidR="008D716D">
        <w:t>2</w:t>
      </w:r>
      <w:proofErr w:type="gramEnd"/>
      <w:r w:rsidR="00AD7B86" w:rsidRPr="004E7273">
        <w:t>:</w:t>
      </w:r>
      <w:r w:rsidR="00AD7B86">
        <w:t xml:space="preserve"> </w:t>
      </w:r>
      <w:r w:rsidR="00885EFE">
        <w:t xml:space="preserve">Arz Eğrisinin </w:t>
      </w:r>
      <w:r w:rsidR="00885EFE" w:rsidRPr="00885EFE">
        <w:t>Kayması</w:t>
      </w:r>
      <w:bookmarkEnd w:id="163"/>
    </w:p>
    <w:p w:rsidR="00AD7B86" w:rsidRDefault="00AD7B86" w:rsidP="003403EA">
      <w:pPr>
        <w:spacing w:before="120" w:after="120"/>
        <w:ind w:firstLine="708"/>
        <w:jc w:val="both"/>
      </w:pPr>
    </w:p>
    <w:p w:rsidR="00AD7B86" w:rsidRDefault="00AD7B86" w:rsidP="003403EA">
      <w:pPr>
        <w:spacing w:before="120" w:after="120"/>
        <w:ind w:firstLine="708"/>
        <w:jc w:val="both"/>
      </w:pPr>
    </w:p>
    <w:p w:rsidR="00AD7B86" w:rsidRDefault="00AD7B86" w:rsidP="003403EA">
      <w:pPr>
        <w:spacing w:before="120" w:after="120"/>
        <w:ind w:firstLine="708"/>
        <w:jc w:val="both"/>
      </w:pPr>
    </w:p>
    <w:p w:rsidR="00AD7B86" w:rsidRDefault="00AD7B86" w:rsidP="003403EA">
      <w:pPr>
        <w:spacing w:before="120" w:after="120"/>
        <w:ind w:firstLine="708"/>
        <w:jc w:val="both"/>
      </w:pPr>
    </w:p>
    <w:p w:rsidR="00AD7B86" w:rsidRDefault="00AD7B86" w:rsidP="003403EA">
      <w:pPr>
        <w:spacing w:before="120" w:after="120"/>
        <w:ind w:firstLine="708"/>
        <w:jc w:val="both"/>
      </w:pPr>
    </w:p>
    <w:p w:rsidR="00D43616" w:rsidRDefault="00D43616" w:rsidP="003403EA">
      <w:pPr>
        <w:spacing w:before="120" w:after="120"/>
        <w:ind w:firstLine="708"/>
        <w:jc w:val="both"/>
      </w:pPr>
    </w:p>
    <w:p w:rsidR="003403EA" w:rsidRDefault="003403EA" w:rsidP="003403EA">
      <w:pPr>
        <w:spacing w:before="120" w:after="120"/>
        <w:rPr>
          <w:b/>
          <w:sz w:val="20"/>
          <w:szCs w:val="20"/>
        </w:rPr>
      </w:pPr>
    </w:p>
    <w:p w:rsidR="003403EA" w:rsidRDefault="003403EA" w:rsidP="003403EA">
      <w:pPr>
        <w:spacing w:before="120" w:after="120"/>
        <w:rPr>
          <w:b/>
          <w:sz w:val="20"/>
          <w:szCs w:val="20"/>
        </w:rPr>
      </w:pPr>
    </w:p>
    <w:p w:rsidR="003403EA" w:rsidRDefault="003403EA" w:rsidP="003403EA">
      <w:pPr>
        <w:spacing w:before="120" w:after="120"/>
        <w:rPr>
          <w:b/>
          <w:sz w:val="20"/>
          <w:szCs w:val="20"/>
        </w:rPr>
      </w:pPr>
    </w:p>
    <w:p w:rsidR="003403EA" w:rsidRDefault="003403EA" w:rsidP="003403EA">
      <w:pPr>
        <w:spacing w:before="120" w:after="120"/>
        <w:rPr>
          <w:b/>
          <w:sz w:val="20"/>
          <w:szCs w:val="20"/>
        </w:rPr>
      </w:pPr>
    </w:p>
    <w:p w:rsidR="003403EA" w:rsidRDefault="003403EA" w:rsidP="003403EA">
      <w:pPr>
        <w:spacing w:before="120" w:after="120"/>
        <w:rPr>
          <w:b/>
          <w:sz w:val="20"/>
          <w:szCs w:val="20"/>
        </w:rPr>
      </w:pPr>
    </w:p>
    <w:p w:rsidR="00D43616" w:rsidRPr="00791530" w:rsidRDefault="00D43616" w:rsidP="003403EA">
      <w:pPr>
        <w:spacing w:before="120" w:after="120"/>
        <w:rPr>
          <w:sz w:val="20"/>
          <w:szCs w:val="20"/>
        </w:rPr>
      </w:pPr>
      <w:r w:rsidRPr="004E7273">
        <w:rPr>
          <w:b/>
          <w:sz w:val="20"/>
          <w:szCs w:val="20"/>
        </w:rPr>
        <w:t>Kaynak:</w:t>
      </w:r>
      <w:r w:rsidRPr="00791530">
        <w:rPr>
          <w:sz w:val="20"/>
          <w:szCs w:val="20"/>
        </w:rPr>
        <w:t xml:space="preserve"> </w:t>
      </w:r>
      <w:r w:rsidR="00B2442A">
        <w:rPr>
          <w:sz w:val="20"/>
          <w:szCs w:val="20"/>
        </w:rPr>
        <w:t>Copeland ve Taylor, 2003</w:t>
      </w:r>
      <w:r>
        <w:rPr>
          <w:sz w:val="20"/>
          <w:szCs w:val="20"/>
        </w:rPr>
        <w:t xml:space="preserve"> çalışması referans alınarak tarafımızdan çizilmiştir.</w:t>
      </w:r>
    </w:p>
    <w:p w:rsidR="00D43616" w:rsidRDefault="0074736B" w:rsidP="00A547CF">
      <w:pPr>
        <w:spacing w:before="240" w:after="240" w:line="360" w:lineRule="auto"/>
        <w:ind w:firstLine="709"/>
        <w:jc w:val="both"/>
      </w:pPr>
      <w:r>
        <w:t xml:space="preserve">Gelişmiş ülkede </w:t>
      </w:r>
      <w:r w:rsidR="00BE1348" w:rsidRPr="00BE1348">
        <w:rPr>
          <w:i/>
        </w:rPr>
        <w:t>X</w:t>
      </w:r>
      <w:r w:rsidR="00BE1348">
        <w:t xml:space="preserve"> </w:t>
      </w:r>
      <w:proofErr w:type="gramStart"/>
      <w:r>
        <w:t>mallın  fiyatı</w:t>
      </w:r>
      <w:proofErr w:type="gramEnd"/>
      <w:r>
        <w:t xml:space="preserve"> gelişmekte olan ülkenin fiyatından </w:t>
      </w:r>
      <w:r w:rsidRPr="00BE1348">
        <w:rPr>
          <w:i/>
        </w:rPr>
        <w:t>(P</w:t>
      </w:r>
      <w:r w:rsidRPr="00BE1348">
        <w:rPr>
          <w:i/>
          <w:vertAlign w:val="superscript"/>
        </w:rPr>
        <w:t>A</w:t>
      </w:r>
      <w:r w:rsidRPr="00BE1348">
        <w:rPr>
          <w:i/>
        </w:rPr>
        <w:t>*</w:t>
      </w:r>
      <w:r w:rsidRPr="00BE1348">
        <w:rPr>
          <w:i/>
          <w:vertAlign w:val="subscript"/>
        </w:rPr>
        <w:t>&gt;</w:t>
      </w:r>
      <w:r w:rsidRPr="00BE1348">
        <w:rPr>
          <w:i/>
        </w:rPr>
        <w:t>P</w:t>
      </w:r>
      <w:r w:rsidR="000747B7" w:rsidRPr="00BE1348">
        <w:rPr>
          <w:i/>
          <w:vertAlign w:val="superscript"/>
        </w:rPr>
        <w:t>A</w:t>
      </w:r>
      <w:r w:rsidR="000747B7" w:rsidRPr="00BE1348">
        <w:rPr>
          <w:i/>
        </w:rPr>
        <w:t>)</w:t>
      </w:r>
      <w:r w:rsidR="000747B7">
        <w:rPr>
          <w:rStyle w:val="DipnotBavurusu"/>
        </w:rPr>
        <w:footnoteReference w:id="40"/>
      </w:r>
      <w:r>
        <w:t xml:space="preserve"> </w:t>
      </w:r>
      <w:r w:rsidRPr="0074736B">
        <w:t>daha</w:t>
      </w:r>
      <w:r>
        <w:t xml:space="preserve"> yüksektir. </w:t>
      </w:r>
      <w:r w:rsidR="000747B7">
        <w:t xml:space="preserve">Çünkü gelişmiş ülkedeki kirlilik vergileri gelişmemiş ülkelerdeki kirlilik vergisinden daha yüksektir. Bu yüzden gelişmiş ülkelerdeki X malı üretimi azalırken, gelişmekte olan ülkedeki </w:t>
      </w:r>
      <w:r w:rsidR="000747B7" w:rsidRPr="00BE1348">
        <w:rPr>
          <w:i/>
        </w:rPr>
        <w:t>X</w:t>
      </w:r>
      <w:r w:rsidR="000747B7">
        <w:t xml:space="preserve"> malı üretimi artar. Böylece düşük çevresel düzenlemesi olan gelişmekte olan ülkenin arz eğrisi </w:t>
      </w:r>
      <w:r w:rsidR="000747B7" w:rsidRPr="00BE1348">
        <w:rPr>
          <w:i/>
        </w:rPr>
        <w:t>(S</w:t>
      </w:r>
      <w:r w:rsidR="000747B7" w:rsidRPr="00BE1348">
        <w:rPr>
          <w:i/>
          <w:vertAlign w:val="superscript"/>
        </w:rPr>
        <w:t>*</w:t>
      </w:r>
      <w:r w:rsidR="000747B7" w:rsidRPr="00BE1348">
        <w:rPr>
          <w:i/>
        </w:rPr>
        <w:t>)</w:t>
      </w:r>
      <w:r w:rsidR="000747B7">
        <w:t xml:space="preserve"> sağa kayacaktır</w:t>
      </w:r>
      <w:r w:rsidR="00090D57">
        <w:t xml:space="preserve"> </w:t>
      </w:r>
      <w:r w:rsidR="000747B7">
        <w:t xml:space="preserve">(Şekil </w:t>
      </w:r>
      <w:proofErr w:type="gramStart"/>
      <w:r w:rsidR="000747B7">
        <w:t>3.2</w:t>
      </w:r>
      <w:proofErr w:type="gramEnd"/>
      <w:r w:rsidR="000747B7">
        <w:t>). Bu değişikliklerin sonucunda gelişmiş ülke</w:t>
      </w:r>
      <w:r w:rsidR="00FC1D9A">
        <w:t xml:space="preserve"> </w:t>
      </w:r>
      <w:r w:rsidR="00BE1348" w:rsidRPr="00BE1348">
        <w:rPr>
          <w:i/>
        </w:rPr>
        <w:t>Y</w:t>
      </w:r>
      <w:r w:rsidR="00FC1D9A">
        <w:t xml:space="preserve"> malı</w:t>
      </w:r>
      <w:r w:rsidR="00BE1348">
        <w:t>nın</w:t>
      </w:r>
      <w:r w:rsidR="00FC1D9A">
        <w:t xml:space="preserve"> ihracatını yaparken, </w:t>
      </w:r>
      <w:r w:rsidR="00BE1348" w:rsidRPr="00BE1348">
        <w:rPr>
          <w:i/>
        </w:rPr>
        <w:t>X</w:t>
      </w:r>
      <w:r w:rsidR="00FC1D9A">
        <w:t xml:space="preserve"> malı</w:t>
      </w:r>
      <w:r w:rsidR="00BE1348">
        <w:t>nı</w:t>
      </w:r>
      <w:r w:rsidR="00FC1D9A">
        <w:t xml:space="preserve"> ise ithal edecektir. </w:t>
      </w:r>
      <w:r w:rsidR="00E50D64" w:rsidRPr="00E50D64">
        <w:rPr>
          <w:i/>
        </w:rPr>
        <w:t>X</w:t>
      </w:r>
      <w:r w:rsidR="00FC1D9A" w:rsidRPr="00E50D64">
        <w:rPr>
          <w:i/>
        </w:rPr>
        <w:t xml:space="preserve"> </w:t>
      </w:r>
      <w:r w:rsidR="00FC1D9A">
        <w:t>malları</w:t>
      </w:r>
      <w:r w:rsidR="00E50D64">
        <w:t>nı</w:t>
      </w:r>
      <w:r w:rsidR="00FC1D9A">
        <w:t xml:space="preserve"> üreten gelişmekte olan ülke zamanla kirlilik sığınağı haline gelecektir. </w:t>
      </w:r>
    </w:p>
    <w:p w:rsidR="00E12C62" w:rsidRDefault="00E56A11" w:rsidP="00E12C62">
      <w:pPr>
        <w:spacing w:before="240" w:after="240" w:line="360" w:lineRule="auto"/>
        <w:jc w:val="both"/>
        <w:rPr>
          <w:b/>
        </w:rPr>
      </w:pPr>
      <m:oMath>
        <m:sSub>
          <m:sSubPr>
            <m:ctrlPr>
              <w:rPr>
                <w:rFonts w:ascii="Cambria Math" w:hAnsi="Cambria Math"/>
                <w:i/>
              </w:rPr>
            </m:ctrlPr>
          </m:sSubPr>
          <m:e>
            <m:r>
              <w:rPr>
                <w:rFonts w:ascii="Cambria Math" w:hAnsi="Cambria Math"/>
              </w:rPr>
              <m:t>CO</m:t>
            </m:r>
          </m:e>
          <m:sub>
            <m:r>
              <w:rPr>
                <w:rFonts w:ascii="Cambria Math" w:hAnsi="Cambria Math"/>
              </w:rPr>
              <m:t xml:space="preserve">it  </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i0</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 xml:space="preserve">2 </m:t>
            </m:r>
          </m:sub>
        </m:sSub>
        <m:sSub>
          <m:sSubPr>
            <m:ctrlPr>
              <w:rPr>
                <w:rFonts w:ascii="Cambria Math" w:hAnsi="Cambria Math"/>
                <w:i/>
              </w:rPr>
            </m:ctrlPr>
          </m:sSubPr>
          <m:e>
            <m:r>
              <w:rPr>
                <w:rFonts w:ascii="Cambria Math" w:hAnsi="Cambria Math"/>
              </w:rPr>
              <m:t>EC</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 xml:space="preserve">3 </m:t>
            </m:r>
          </m:sub>
        </m:sSub>
        <m:sSub>
          <m:sSubPr>
            <m:ctrlPr>
              <w:rPr>
                <w:rFonts w:ascii="Cambria Math" w:hAnsi="Cambria Math"/>
                <w:i/>
              </w:rPr>
            </m:ctrlPr>
          </m:sSubPr>
          <m:e>
            <m:r>
              <w:rPr>
                <w:rFonts w:ascii="Cambria Math" w:hAnsi="Cambria Math"/>
              </w:rPr>
              <m:t>OPEX</m:t>
            </m:r>
          </m:e>
          <m:sub>
            <m:r>
              <w:rPr>
                <w:rFonts w:ascii="Cambria Math" w:hAnsi="Cambria Math"/>
              </w:rPr>
              <m:t>it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α</m:t>
                </m:r>
              </m:e>
              <m:sub>
                <m:r>
                  <w:rPr>
                    <w:rFonts w:ascii="Cambria Math" w:hAnsi="Cambria Math"/>
                  </w:rPr>
                  <m:t xml:space="preserve">4 </m:t>
                </m:r>
              </m:sub>
            </m:sSub>
            <m:sSub>
              <m:sSubPr>
                <m:ctrlPr>
                  <w:rPr>
                    <w:rFonts w:ascii="Cambria Math" w:hAnsi="Cambria Math"/>
                    <w:i/>
                  </w:rPr>
                </m:ctrlPr>
              </m:sSubPr>
              <m:e>
                <m:r>
                  <w:rPr>
                    <w:rFonts w:ascii="Cambria Math" w:hAnsi="Cambria Math"/>
                  </w:rPr>
                  <m:t>OPIM</m:t>
                </m:r>
              </m:e>
              <m:sub>
                <m:r>
                  <w:rPr>
                    <w:rFonts w:ascii="Cambria Math" w:hAnsi="Cambria Math"/>
                  </w:rPr>
                  <m:t>it</m:t>
                </m:r>
              </m:sub>
            </m:sSub>
            <m:r>
              <w:rPr>
                <w:rFonts w:ascii="Cambria Math" w:hAnsi="Cambria Math"/>
              </w:rPr>
              <m:t>+</m:t>
            </m:r>
            <m:r>
              <w:rPr>
                <w:rFonts w:ascii="Cambria Math" w:hAnsi="Cambria Math"/>
                <w:color w:val="000000"/>
              </w:rPr>
              <m:t>ε</m:t>
            </m:r>
          </m:e>
          <m:sub>
            <m:r>
              <w:rPr>
                <w:rFonts w:ascii="Cambria Math" w:hAnsi="Cambria Math"/>
              </w:rPr>
              <m:t>it</m:t>
            </m:r>
          </m:sub>
        </m:sSub>
      </m:oMath>
      <w:r w:rsidR="00E12C62">
        <w:tab/>
      </w:r>
      <w:r w:rsidR="00E12C62">
        <w:tab/>
      </w:r>
      <w:r w:rsidR="00E12C62">
        <w:tab/>
      </w:r>
      <w:r w:rsidR="00632F24">
        <w:t xml:space="preserve">   </w:t>
      </w:r>
      <w:r w:rsidR="00E12C62">
        <w:t>(3.9)</w:t>
      </w:r>
    </w:p>
    <w:p w:rsidR="00E12C62" w:rsidRDefault="00B845A7" w:rsidP="004C0C8C">
      <w:pPr>
        <w:spacing w:before="240" w:after="240" w:line="360" w:lineRule="auto"/>
        <w:ind w:firstLine="709"/>
        <w:jc w:val="both"/>
      </w:pPr>
      <w:r>
        <w:t xml:space="preserve">Denklem </w:t>
      </w:r>
      <w:proofErr w:type="gramStart"/>
      <w:r w:rsidR="00B039D5">
        <w:t>3.9’da</w:t>
      </w:r>
      <w:proofErr w:type="gramEnd"/>
      <w:r w:rsidR="00B039D5">
        <w:t xml:space="preserve"> </w:t>
      </w:r>
      <w:r w:rsidR="007E3F43">
        <w:t xml:space="preserve">modele </w:t>
      </w:r>
      <w:r w:rsidR="00B039D5">
        <w:t xml:space="preserve">ticari çıklık (trade opennes) </w:t>
      </w:r>
      <w:r w:rsidR="007E3F43">
        <w:t xml:space="preserve">değişkeni ilave edilmiştir. Ticari açıklık literatürde (ihracat+İthalat)/GSYİH formülüyle hesaplanmaktadır. Ticari açıklık değikenini modelimizde ihracat/GSYİH </w:t>
      </w:r>
      <w:r w:rsidR="007E3F43" w:rsidRPr="007E3F43">
        <w:rPr>
          <w:i/>
        </w:rPr>
        <w:t>(</w:t>
      </w:r>
      <w:r w:rsidR="00793428" w:rsidRPr="007E3F43">
        <w:rPr>
          <w:i/>
        </w:rPr>
        <w:t>OPEX</w:t>
      </w:r>
      <w:r w:rsidR="007E3F43" w:rsidRPr="007E3F43">
        <w:rPr>
          <w:i/>
        </w:rPr>
        <w:t>)</w:t>
      </w:r>
      <w:r w:rsidR="00793428">
        <w:t xml:space="preserve"> ve ithalat</w:t>
      </w:r>
      <w:r w:rsidR="007E3F43">
        <w:t>/GSYİH</w:t>
      </w:r>
      <w:r w:rsidR="00793428">
        <w:t xml:space="preserve"> </w:t>
      </w:r>
      <w:r w:rsidR="007E3F43">
        <w:t>(</w:t>
      </w:r>
      <w:r w:rsidR="00B039D5" w:rsidRPr="00B039D5">
        <w:rPr>
          <w:i/>
        </w:rPr>
        <w:t>OP</w:t>
      </w:r>
      <w:r w:rsidR="00793428">
        <w:rPr>
          <w:i/>
        </w:rPr>
        <w:t>IM</w:t>
      </w:r>
      <w:r w:rsidR="007E3F43">
        <w:rPr>
          <w:i/>
        </w:rPr>
        <w:t>)</w:t>
      </w:r>
      <w:r w:rsidR="007E3F43">
        <w:t xml:space="preserve"> olarak iki değişken şeklinde</w:t>
      </w:r>
      <w:r w:rsidR="00B039D5">
        <w:t xml:space="preserve"> gösterilmiş</w:t>
      </w:r>
      <w:r w:rsidR="00793428">
        <w:t xml:space="preserve">tir. </w:t>
      </w:r>
      <w:r w:rsidR="00793428" w:rsidRPr="004C0C8C">
        <w:rPr>
          <w:i/>
        </w:rPr>
        <w:t>OPEX</w:t>
      </w:r>
      <w:r w:rsidR="00793428">
        <w:t xml:space="preserve">’teki </w:t>
      </w:r>
      <w:r w:rsidR="00B039D5">
        <w:t>bir artışın karbon emisyonlarını arttıracağı</w:t>
      </w:r>
      <w:r w:rsidR="00793428">
        <w:t xml:space="preserve">, </w:t>
      </w:r>
      <w:r w:rsidR="00793428" w:rsidRPr="004C0C8C">
        <w:rPr>
          <w:i/>
        </w:rPr>
        <w:t>OPIM</w:t>
      </w:r>
      <w:r w:rsidR="00793428">
        <w:t>’deki bir artışın ise karbon emisyonlarını azaltacağı</w:t>
      </w:r>
      <w:r w:rsidR="00B039D5">
        <w:t xml:space="preserve"> beklenmektedir.  </w:t>
      </w:r>
    </w:p>
    <w:p w:rsidR="00C83CF7" w:rsidRDefault="00C83CF7" w:rsidP="0017098A">
      <w:pPr>
        <w:pStyle w:val="Balk3"/>
        <w:numPr>
          <w:ilvl w:val="0"/>
          <w:numId w:val="0"/>
        </w:numPr>
        <w:ind w:left="720" w:hanging="720"/>
      </w:pPr>
      <w:bookmarkStart w:id="164" w:name="_Toc384824022"/>
      <w:r w:rsidRPr="00AB1686">
        <w:t>3.</w:t>
      </w:r>
      <w:r>
        <w:t>3.2</w:t>
      </w:r>
      <w:r w:rsidRPr="00AB1686">
        <w:t xml:space="preserve">. </w:t>
      </w:r>
      <w:r w:rsidR="0017098A">
        <w:t xml:space="preserve">İlgili </w:t>
      </w:r>
      <w:r>
        <w:t>Literatür Özeti</w:t>
      </w:r>
      <w:bookmarkEnd w:id="164"/>
    </w:p>
    <w:p w:rsidR="0001001D" w:rsidRPr="00795913" w:rsidRDefault="008A0689" w:rsidP="0001001D">
      <w:pPr>
        <w:spacing w:before="240" w:after="240" w:line="360" w:lineRule="auto"/>
        <w:ind w:firstLine="708"/>
        <w:jc w:val="both"/>
      </w:pPr>
      <w:r>
        <w:t>Son yüzyılda gelişmiş ülkelerin küresel çevre kirliliğindeki payının yüksek olduğu bilinmektedir. Bununla birlikte, çevre bilincinin önemi ortaya çıktıktan sonra, gelişmiş ülkeler dış ticaret ve yatırım yoluyla kirli endüstrilerini gelişmekte olan ülkelere taşıma eğilimine girmişlerdir. Ayrıca günümüzde hızla sanayileşen gelişmekte olan ülkelerin de kirlilik payı giderek artmaktadır.</w:t>
      </w:r>
      <w:r w:rsidR="00A05EC3">
        <w:t xml:space="preserve"> Dış ticaretin sera gazı emisyonlarını etkileyen </w:t>
      </w:r>
      <w:r w:rsidR="0001001D">
        <w:t>çalışmaların kısa bir özeti aşağıda tarih sırasına göre sunulmuştur.</w:t>
      </w:r>
    </w:p>
    <w:p w:rsidR="00027773" w:rsidRPr="00027773" w:rsidRDefault="00027773" w:rsidP="0067672C">
      <w:pPr>
        <w:spacing w:before="240" w:after="240" w:line="360" w:lineRule="auto"/>
        <w:ind w:firstLine="708"/>
        <w:jc w:val="both"/>
        <w:rPr>
          <w:lang w:eastAsia="tr-TR"/>
        </w:rPr>
      </w:pPr>
      <w:r w:rsidRPr="00027773">
        <w:rPr>
          <w:lang w:eastAsia="tr-TR"/>
        </w:rPr>
        <w:t>Frankel ve Romer (1999) çalışmalarında, ticaret ve gelir arasındaki ilişkinin yönünü belirlemek için ülkelerin coğrafi özelliklerine ve gelirin değer belirleyicilerine de bakılması gerektiğini vurgulamışlardır. A</w:t>
      </w:r>
      <w:r w:rsidR="00750B76">
        <w:rPr>
          <w:lang w:eastAsia="tr-TR"/>
        </w:rPr>
        <w:t xml:space="preserve">yrıca yaptıkları EKK tahminine </w:t>
      </w:r>
      <w:r w:rsidRPr="00027773">
        <w:rPr>
          <w:lang w:eastAsia="tr-TR"/>
        </w:rPr>
        <w:t xml:space="preserve">göre ticaretin etkilerinde abartılı sonuçlar olmadığı gözlemlenmiştir. </w:t>
      </w:r>
    </w:p>
    <w:p w:rsidR="00027773" w:rsidRPr="00027773" w:rsidRDefault="00027773" w:rsidP="0067672C">
      <w:pPr>
        <w:spacing w:before="240" w:after="240" w:line="360" w:lineRule="auto"/>
        <w:ind w:firstLine="708"/>
        <w:jc w:val="both"/>
        <w:rPr>
          <w:lang w:eastAsia="tr-TR"/>
        </w:rPr>
      </w:pPr>
      <w:r w:rsidRPr="00027773">
        <w:rPr>
          <w:lang w:eastAsia="tr-TR"/>
        </w:rPr>
        <w:t>Antweiler vd. (2001) çalışmalarında,  ticari açıklığın kirlilik emisyonunu ölçek ve teknik etki üzerinden etkileyeceğini belirtmişlerdir. Ticari açıklığın ve gelirin sülfür dioksit üzerindeki etkisini araştırarak, gelir artarken emisyonun arttığı, kişi başı gelir artarken emisyonun azaldığı ve ticari açıklık artarken emisyonun azaldığı sonuçlarına ulaşmışlardır.</w:t>
      </w:r>
    </w:p>
    <w:p w:rsidR="00027773" w:rsidRDefault="00027773" w:rsidP="0067672C">
      <w:pPr>
        <w:spacing w:before="240" w:after="240" w:line="360" w:lineRule="auto"/>
        <w:ind w:firstLine="708"/>
        <w:jc w:val="both"/>
        <w:rPr>
          <w:lang w:eastAsia="tr-TR"/>
        </w:rPr>
      </w:pPr>
      <w:r w:rsidRPr="00027773">
        <w:rPr>
          <w:lang w:eastAsia="tr-TR"/>
        </w:rPr>
        <w:t>Mielnik ve Goldemberg (2002) gelişmekte olan 20 ülke ile yaptıkları çalışmada, doğrudan yabancı yatırımlar (DYY) arttıkça enerji yoğunluğunda belirgin bir düşüşün olduğu gözlemlenmiştir. Bunun nedeni olarak da gelişmekte olan bu ülkelerin kullandıkları eski teknolojiler yerine DYY ile gelen modern teknolojilerin kullanılması olarak açıklanmıştır.</w:t>
      </w:r>
    </w:p>
    <w:p w:rsidR="002019FB" w:rsidRPr="00027773" w:rsidRDefault="008E65B9" w:rsidP="0067672C">
      <w:pPr>
        <w:spacing w:before="240" w:after="240" w:line="360" w:lineRule="auto"/>
        <w:ind w:firstLine="708"/>
        <w:jc w:val="both"/>
        <w:rPr>
          <w:lang w:eastAsia="tr-TR"/>
        </w:rPr>
      </w:pPr>
      <w:r>
        <w:rPr>
          <w:lang w:eastAsia="tr-TR"/>
        </w:rPr>
        <w:t>Haliciog</w:t>
      </w:r>
      <w:r w:rsidR="002019FB">
        <w:rPr>
          <w:lang w:eastAsia="tr-TR"/>
        </w:rPr>
        <w:t xml:space="preserve">lu, (2009) Türkiye için 1960-2005 dönemi verileriyle </w:t>
      </w:r>
      <w:r w:rsidR="00325A18">
        <w:rPr>
          <w:lang w:eastAsia="tr-TR"/>
        </w:rPr>
        <w:t xml:space="preserve">karbon emisyonları, enerji tüketimi, gelir ve dış ticaret değişkenleri arasındaki ilişkiyi zaman serileri yöntemini kullanarak analiz etmiştir. Sınır testiyle yapılan analizde uzun </w:t>
      </w:r>
      <w:r w:rsidR="00325A18">
        <w:rPr>
          <w:lang w:eastAsia="tr-TR"/>
        </w:rPr>
        <w:lastRenderedPageBreak/>
        <w:t xml:space="preserve">dönemde değişkenler arasında iki şekilde sonuca ulaşmıştır. Birinci durumda uzun dönemde karbon emisyonları, enerji tüketimi, gelir ve dış ticaretin belirleyicisidir. İkinci durumda ise uzun dönemde gelir, karbon emisyonu, enerji tüketimi ve dış ticaretin belirleyicidir. Uzun dönemde </w:t>
      </w:r>
      <w:r w:rsidR="0011735B">
        <w:rPr>
          <w:lang w:eastAsia="tr-TR"/>
        </w:rPr>
        <w:t xml:space="preserve">karbon emisyonları, enerji tüketimi, gelir ve dış ticaret parametreleri durağan olduğu analiz edilmiştir. Analiz sonucunda Türkiye’de gelirin karbon emisyonları için çok önemli olduğu </w:t>
      </w:r>
      <w:r w:rsidR="00043CFE">
        <w:rPr>
          <w:lang w:eastAsia="tr-TR"/>
        </w:rPr>
        <w:t>sonucuna ulaş</w:t>
      </w:r>
      <w:r w:rsidR="0011735B">
        <w:rPr>
          <w:lang w:eastAsia="tr-TR"/>
        </w:rPr>
        <w:t>mıştır.</w:t>
      </w:r>
    </w:p>
    <w:p w:rsidR="00027773" w:rsidRPr="00027773" w:rsidRDefault="00027773" w:rsidP="0067672C">
      <w:pPr>
        <w:spacing w:before="240" w:after="240" w:line="360" w:lineRule="auto"/>
        <w:ind w:firstLine="708"/>
        <w:jc w:val="both"/>
        <w:rPr>
          <w:lang w:eastAsia="tr-TR"/>
        </w:rPr>
      </w:pPr>
      <w:r w:rsidRPr="00027773">
        <w:rPr>
          <w:lang w:eastAsia="tr-TR"/>
        </w:rPr>
        <w:t>Sadorsky,  (2010)</w:t>
      </w:r>
      <w:r w:rsidRPr="00027773">
        <w:rPr>
          <w:rFonts w:ascii="Arial" w:hAnsi="Arial" w:cs="Arial"/>
          <w:b/>
          <w:bCs/>
          <w:color w:val="222222"/>
          <w:sz w:val="20"/>
          <w:szCs w:val="20"/>
          <w:lang w:eastAsia="tr-TR"/>
        </w:rPr>
        <w:t xml:space="preserve"> </w:t>
      </w:r>
      <w:r w:rsidRPr="00027773">
        <w:rPr>
          <w:lang w:eastAsia="tr-TR"/>
        </w:rPr>
        <w:t>gelişmekte olan ekonomilerde, enerji tüketiminin finansal gelişmeye etkisini 22 gelişmekte olan ülke için 1990-2006 dönemi verileriyle panel veri yöntemiyle incelemiştir. Ampirik sonuçlara göre enerji tüketi</w:t>
      </w:r>
      <w:r w:rsidR="004D4BAB">
        <w:rPr>
          <w:lang w:eastAsia="tr-TR"/>
        </w:rPr>
        <w:t>mi</w:t>
      </w:r>
      <w:r w:rsidRPr="00027773">
        <w:rPr>
          <w:lang w:eastAsia="tr-TR"/>
        </w:rPr>
        <w:t xml:space="preserve"> ile finansal gelişme arasındaki ilişki istatiksel olarak pozitif ve anlamlıdır.  </w:t>
      </w:r>
    </w:p>
    <w:p w:rsidR="00027773" w:rsidRDefault="00027773" w:rsidP="0067672C">
      <w:pPr>
        <w:spacing w:before="240" w:after="240" w:line="360" w:lineRule="auto"/>
        <w:ind w:firstLine="708"/>
        <w:jc w:val="both"/>
        <w:rPr>
          <w:lang w:eastAsia="tr-TR"/>
        </w:rPr>
      </w:pPr>
      <w:r w:rsidRPr="00027773">
        <w:rPr>
          <w:lang w:eastAsia="tr-TR"/>
        </w:rPr>
        <w:t xml:space="preserve">Zhang (2011) Çin’in finansal gelişmesi ile karbon emisyonları arasındaki ilişkiyi, eşbtünleşme teori, (cointegration theory) Granger Nedensellik Testi, (Granger Causality Test), varyans ayrıştırma, (variance decom- position) gibi ekonometrik teknikler kullanarak analiz etmiştir. Analiz sonucunda Çin’deki finansal gelişmenin karbon emisyonlarını arttırdığı görülmüştür. Ayrıca Çin’in doğrudan yabancı yatırımları (DYY) karbon emisyonlarının çok az etkiler. Çünkü Çin’in GSYİH’sı DYY’ye göre çok büyüktür. </w:t>
      </w:r>
    </w:p>
    <w:p w:rsidR="009C11BE" w:rsidRPr="00FB021F" w:rsidRDefault="009C11BE" w:rsidP="0067672C">
      <w:pPr>
        <w:spacing w:before="240" w:after="240" w:line="360" w:lineRule="auto"/>
        <w:ind w:firstLine="708"/>
        <w:jc w:val="both"/>
        <w:rPr>
          <w:lang w:eastAsia="tr-TR"/>
        </w:rPr>
      </w:pPr>
      <w:r>
        <w:rPr>
          <w:lang w:eastAsia="tr-TR"/>
        </w:rPr>
        <w:t>Çınar vd. (2012) kirlilik yaratan sektörlerin ticareti ve çevre konulu çalışmalarında gelişmiş ve gelişmekte olan ülkelerin karşılaştırmasını incelemişlerdir. Çalışmada Kirlilik Sağlığı Hipotezi ve Çevresel Kuznets Eğrisi (ÇKE) birlikte incelenmiştir. Analiz sonucunda ÇKE’ye göre, kişi başına gelir ile CO</w:t>
      </w:r>
      <w:r>
        <w:rPr>
          <w:vertAlign w:val="subscript"/>
          <w:lang w:eastAsia="tr-TR"/>
        </w:rPr>
        <w:t>2</w:t>
      </w:r>
      <w:r>
        <w:rPr>
          <w:lang w:eastAsia="tr-TR"/>
        </w:rPr>
        <w:t xml:space="preserve"> emisyonu arasındaki ilişki gelişmiş ülkelerde ters-U; gelişmekte olan ülkelerde ise U şeklinde çıkmıştır. </w:t>
      </w:r>
      <w:r w:rsidR="00FB021F">
        <w:rPr>
          <w:lang w:eastAsia="tr-TR"/>
        </w:rPr>
        <w:t>Ayrıca gelişmekte olan ülkelerde, çevreyi kirliliğine neden olan sektörlerin ihracattaki payı arttıkça CO</w:t>
      </w:r>
      <w:r w:rsidR="00FB021F">
        <w:rPr>
          <w:vertAlign w:val="subscript"/>
          <w:lang w:eastAsia="tr-TR"/>
        </w:rPr>
        <w:t>2</w:t>
      </w:r>
      <w:r w:rsidR="00FB021F">
        <w:rPr>
          <w:lang w:eastAsia="tr-TR"/>
        </w:rPr>
        <w:t xml:space="preserve"> emisyonun arttığı bulunan diğer bulgular arasındadır. </w:t>
      </w:r>
    </w:p>
    <w:p w:rsidR="00B5789E" w:rsidRDefault="002019FB" w:rsidP="00301877">
      <w:pPr>
        <w:spacing w:before="240" w:after="240" w:line="360" w:lineRule="auto"/>
        <w:ind w:firstLine="708"/>
        <w:jc w:val="both"/>
        <w:rPr>
          <w:lang w:eastAsia="tr-TR"/>
        </w:rPr>
      </w:pPr>
      <w:r>
        <w:rPr>
          <w:lang w:eastAsia="tr-TR"/>
        </w:rPr>
        <w:t>Yıldırım, (2013) çalış</w:t>
      </w:r>
      <w:r w:rsidR="00027773" w:rsidRPr="00027773">
        <w:rPr>
          <w:lang w:eastAsia="tr-TR"/>
        </w:rPr>
        <w:t>masında ticari açıklık ve gelirin, kirlilik üzerine et</w:t>
      </w:r>
      <w:r>
        <w:rPr>
          <w:lang w:eastAsia="tr-TR"/>
        </w:rPr>
        <w:t>k</w:t>
      </w:r>
      <w:r w:rsidR="00027773" w:rsidRPr="00027773">
        <w:rPr>
          <w:lang w:eastAsia="tr-TR"/>
        </w:rPr>
        <w:t>isini, GSYİH’ya göre dünyanın en büyük ekonomisine sahip 20 ülkeyi, 1990-2009 döneminde, Havuzlanmış En Küçük Kareler modeli ile analiz etmiştir. Bu 20 ülkeyi, 10 gelişmiş, 10 gelişmekte, Avrupa ve ilk 5 ekonomiler gibi gruplara bölerek iklim değişikliğine etkileri karşılaştırmalı olarak incelenmiştir. Analiz sonucunda gelişmekte olan ekonomilerin ticarete bağlı kirlilik emisyonlarında bir artış tre</w:t>
      </w:r>
      <w:r w:rsidR="00DA329F">
        <w:rPr>
          <w:lang w:eastAsia="tr-TR"/>
        </w:rPr>
        <w:t>n</w:t>
      </w:r>
      <w:r w:rsidR="00027773" w:rsidRPr="00027773">
        <w:rPr>
          <w:lang w:eastAsia="tr-TR"/>
        </w:rPr>
        <w:t xml:space="preserve">di olduğu gözlemlenmiştir. Ayrıca gelişmiş ülkelerin de kirlilik emisyonlarında bir artış olduğu </w:t>
      </w:r>
      <w:r w:rsidR="00027773" w:rsidRPr="00027773">
        <w:rPr>
          <w:lang w:eastAsia="tr-TR"/>
        </w:rPr>
        <w:lastRenderedPageBreak/>
        <w:t>vurgulanmıştır. Diğer yandan tüm ülke gruplarının EKC hipotezi doğrulanmıştır. Analizin sonunda hem gelişmekte hem</w:t>
      </w:r>
      <w:r w:rsidR="00DA329F">
        <w:rPr>
          <w:lang w:eastAsia="tr-TR"/>
        </w:rPr>
        <w:t xml:space="preserve"> </w:t>
      </w:r>
      <w:r w:rsidR="00027773" w:rsidRPr="00027773">
        <w:rPr>
          <w:lang w:eastAsia="tr-TR"/>
        </w:rPr>
        <w:t>de gelişmiş ülkelerin artan karbon emisyonların çevre kirlenmesine neden olduğu belirtilmiştir.</w:t>
      </w:r>
    </w:p>
    <w:p w:rsidR="00B5789E" w:rsidRDefault="00B5789E" w:rsidP="00027773">
      <w:pPr>
        <w:spacing w:after="200" w:line="360" w:lineRule="auto"/>
        <w:ind w:firstLine="708"/>
        <w:jc w:val="both"/>
        <w:rPr>
          <w:lang w:eastAsia="tr-TR"/>
        </w:rPr>
        <w:sectPr w:rsidR="00B5789E" w:rsidSect="008522AA">
          <w:pgSz w:w="11906" w:h="16838"/>
          <w:pgMar w:top="1701" w:right="1134" w:bottom="1134" w:left="2268" w:header="709" w:footer="709" w:gutter="0"/>
          <w:cols w:space="708"/>
          <w:docGrid w:linePitch="360"/>
        </w:sectPr>
      </w:pPr>
    </w:p>
    <w:p w:rsidR="007B618B" w:rsidRPr="007B618B" w:rsidRDefault="007B618B" w:rsidP="00E71421">
      <w:pPr>
        <w:pStyle w:val="Balk1"/>
      </w:pPr>
      <w:bookmarkStart w:id="165" w:name="_Toc384824023"/>
      <w:r w:rsidRPr="007B618B">
        <w:lastRenderedPageBreak/>
        <w:t>DÖRDÜNCÜ BÖLÜM</w:t>
      </w:r>
      <w:bookmarkEnd w:id="165"/>
    </w:p>
    <w:p w:rsidR="0044255F" w:rsidRDefault="00265260" w:rsidP="00E71421">
      <w:pPr>
        <w:pStyle w:val="Balk1"/>
      </w:pPr>
      <w:bookmarkStart w:id="166" w:name="_Toc384824024"/>
      <w:r>
        <w:t>AMPİRİK ANALİZ</w:t>
      </w:r>
      <w:bookmarkEnd w:id="166"/>
    </w:p>
    <w:p w:rsidR="003619D2" w:rsidRDefault="003619D2" w:rsidP="00E159F6">
      <w:pPr>
        <w:pStyle w:val="ListeParagraf"/>
        <w:spacing w:before="240" w:after="240" w:line="360" w:lineRule="auto"/>
        <w:ind w:left="0"/>
        <w:jc w:val="both"/>
        <w:rPr>
          <w:bCs/>
        </w:rPr>
      </w:pPr>
      <w:r>
        <w:rPr>
          <w:bCs/>
        </w:rPr>
        <w:tab/>
        <w:t>Regresyon analizi ve zaman serisi analizleri, veri analizi için kullanılan istatistiksel yöntemlerdir. Regresyon analiziyle yatay kesit verisi analizleri yapılırken zaman serisi analizleriyle de bir yatay kesitin zaman boyunca gözlenmesiyle dinamik bir analiz yapılmaktadır</w:t>
      </w:r>
      <w:r w:rsidR="00873FAB">
        <w:rPr>
          <w:rStyle w:val="DipnotBavurusu"/>
          <w:bCs/>
        </w:rPr>
        <w:footnoteReference w:id="41"/>
      </w:r>
      <w:r>
        <w:rPr>
          <w:bCs/>
        </w:rPr>
        <w:t xml:space="preserve">. </w:t>
      </w:r>
      <w:r w:rsidR="00873FAB">
        <w:rPr>
          <w:bCs/>
        </w:rPr>
        <w:t>Belirli bir zaman periyodu ve birimlere ait verinin toplanmasıyla oluşan pane</w:t>
      </w:r>
      <w:r w:rsidR="001A49DB">
        <w:rPr>
          <w:bCs/>
        </w:rPr>
        <w:t>l</w:t>
      </w:r>
      <w:r w:rsidR="00873FAB">
        <w:rPr>
          <w:bCs/>
        </w:rPr>
        <w:t xml:space="preserve"> veri analizi yatay kesit ve zaman serilerinin birlikte alınmasıyla analizler yapılmaktadır (Yılancı, 2012). </w:t>
      </w:r>
      <w:r w:rsidR="00D05A15">
        <w:rPr>
          <w:bCs/>
        </w:rPr>
        <w:tab/>
      </w:r>
    </w:p>
    <w:p w:rsidR="00D05A15" w:rsidRDefault="00D05A15" w:rsidP="00D42ECC">
      <w:pPr>
        <w:pStyle w:val="ListeParagraf"/>
        <w:spacing w:before="240" w:after="240" w:line="360" w:lineRule="auto"/>
        <w:ind w:left="0" w:firstLine="708"/>
        <w:jc w:val="both"/>
        <w:rPr>
          <w:bCs/>
        </w:rPr>
      </w:pPr>
      <w:r>
        <w:rPr>
          <w:bCs/>
        </w:rPr>
        <w:t xml:space="preserve">Felemenkçe bir kelime olan panel, kelime anlamı olarak dikdörtgen anlamına gelmektedir. Ekonometride panel yatay kesit verisi ile zaman serisi verisinin birlikte kullanılması yani zaman boyutu ve zamansal olmayan bir boyuta sahip gözlemler olarak bilinmektedir (Ahn ve Moon, 2001: 1). </w:t>
      </w:r>
      <w:r w:rsidR="00E159F6" w:rsidRPr="00E159F6">
        <w:rPr>
          <w:bCs/>
        </w:rPr>
        <w:tab/>
      </w:r>
    </w:p>
    <w:p w:rsidR="00C30B33" w:rsidRDefault="00E159F6" w:rsidP="00D05A15">
      <w:pPr>
        <w:pStyle w:val="ListeParagraf"/>
        <w:spacing w:before="240" w:after="240" w:line="360" w:lineRule="auto"/>
        <w:ind w:left="0" w:firstLine="708"/>
        <w:jc w:val="both"/>
        <w:rPr>
          <w:bCs/>
        </w:rPr>
      </w:pPr>
      <w:r w:rsidRPr="00E159F6">
        <w:rPr>
          <w:bCs/>
        </w:rPr>
        <w:t>Panel veri analizi yöntemi son dönemlerde sıklıkla kullanılan</w:t>
      </w:r>
      <w:r>
        <w:rPr>
          <w:bCs/>
        </w:rPr>
        <w:t xml:space="preserve"> bir yöntemdir. Çünkü panel veri analizinde hem yatay kesit bağımlılığı hem de zaman analizi olmak üzere iki boyut vardır. </w:t>
      </w:r>
      <w:r w:rsidRPr="00E159F6">
        <w:rPr>
          <w:bCs/>
        </w:rPr>
        <w:t xml:space="preserve"> </w:t>
      </w:r>
      <w:r>
        <w:rPr>
          <w:bCs/>
        </w:rPr>
        <w:t xml:space="preserve">Başka bir deyişle panel veri modelinde, </w:t>
      </w:r>
      <w:r w:rsidRPr="00871808">
        <w:rPr>
          <w:bCs/>
          <w:i/>
        </w:rPr>
        <w:t>N</w:t>
      </w:r>
      <w:r>
        <w:rPr>
          <w:bCs/>
        </w:rPr>
        <w:t xml:space="preserve"> tane birim ve her birime karşı gelen </w:t>
      </w:r>
      <w:r w:rsidRPr="00871808">
        <w:rPr>
          <w:bCs/>
          <w:i/>
        </w:rPr>
        <w:t>T</w:t>
      </w:r>
      <w:r>
        <w:rPr>
          <w:bCs/>
        </w:rPr>
        <w:t xml:space="preserve"> adet gözlem bulunmaktadır. Bu iki boyutun aynı anda kullanılması daha fazla bilgi kullanımı ve serbestlik derecesinde artış sağlamaktadır. </w:t>
      </w:r>
    </w:p>
    <w:p w:rsidR="001137FB" w:rsidRDefault="001137FB" w:rsidP="00D05A15">
      <w:pPr>
        <w:pStyle w:val="ListeParagraf"/>
        <w:spacing w:before="240" w:after="240" w:line="360" w:lineRule="auto"/>
        <w:ind w:left="0" w:firstLine="708"/>
        <w:jc w:val="both"/>
        <w:rPr>
          <w:bCs/>
        </w:rPr>
      </w:pPr>
      <w:r w:rsidRPr="001137FB">
        <w:rPr>
          <w:bCs/>
        </w:rPr>
        <w:t>Eğer aynı kesit birimi zaman içinde izleniyorsa bu tür karma verilere Panel Veri adı verilir.</w:t>
      </w:r>
      <w:r>
        <w:rPr>
          <w:bCs/>
        </w:rPr>
        <w:t xml:space="preserve"> </w:t>
      </w:r>
      <w:r w:rsidRPr="001137FB">
        <w:rPr>
          <w:bCs/>
        </w:rPr>
        <w:t>Panel veride “birim” ifadesi bir bireyi, hane halkını,  ülkeyi, firmayı, sektörü vb. ifade etmek için kullanılmaktadır</w:t>
      </w:r>
      <w:r>
        <w:rPr>
          <w:bCs/>
        </w:rPr>
        <w:t xml:space="preserve">. </w:t>
      </w:r>
      <w:r w:rsidRPr="001137FB">
        <w:rPr>
          <w:bCs/>
        </w:rPr>
        <w:t>Panel veri analizinde örneklemdeki farklı zaman noktaları için bireysel gözlemler dikkate alınır ve bu örneklemdeki her bir bireysel veri için çoklu gözlemler oluşturulması sağlanır</w:t>
      </w:r>
      <w:r>
        <w:rPr>
          <w:bCs/>
        </w:rPr>
        <w:t>.</w:t>
      </w:r>
    </w:p>
    <w:p w:rsidR="001137FB" w:rsidRDefault="001137FB" w:rsidP="00D05A15">
      <w:pPr>
        <w:pStyle w:val="ListeParagraf"/>
        <w:spacing w:before="240" w:after="240" w:line="360" w:lineRule="auto"/>
        <w:ind w:left="0" w:firstLine="708"/>
        <w:jc w:val="both"/>
        <w:rPr>
          <w:bCs/>
        </w:rPr>
      </w:pPr>
      <w:r w:rsidRPr="001137FB">
        <w:rPr>
          <w:bCs/>
        </w:rPr>
        <w:t>Yatay kesit veri birçok birim için sadece bir dönem hakkında bilgi verirken, zaman serisi verisi sadece bir birimin dönemlere göre bilgisini vermektedir. Hem dönemlere hem de birimlere göre bilgiler isteniyorsa, panel veri kullanılmalıdır.</w:t>
      </w:r>
      <w:r>
        <w:rPr>
          <w:bCs/>
        </w:rPr>
        <w:t xml:space="preserve"> </w:t>
      </w:r>
      <w:r w:rsidRPr="001137FB">
        <w:rPr>
          <w:bCs/>
        </w:rPr>
        <w:t>Yatay kesit verilerinin yıllar itibariyle aldıkları değerler söz konusu olduğundan panel veri analizinin temelinde tekrarlı varyans analizi ile iki yönlü ( birim ve zaman) varyans analizi modellerinin bulunduğu söylenebilir.</w:t>
      </w:r>
    </w:p>
    <w:p w:rsidR="0028565C" w:rsidRDefault="0028565C" w:rsidP="00DA6A5A">
      <w:pPr>
        <w:pStyle w:val="ListeParagraf"/>
        <w:spacing w:before="240" w:after="240" w:line="360" w:lineRule="auto"/>
        <w:ind w:left="0" w:firstLine="708"/>
        <w:jc w:val="both"/>
        <w:rPr>
          <w:bCs/>
        </w:rPr>
      </w:pPr>
      <w:r>
        <w:rPr>
          <w:bCs/>
        </w:rPr>
        <w:lastRenderedPageBreak/>
        <w:t>Panel veriler</w:t>
      </w:r>
      <w:r w:rsidR="004F7133">
        <w:rPr>
          <w:bCs/>
        </w:rPr>
        <w:t>;</w:t>
      </w:r>
      <w:r>
        <w:rPr>
          <w:bCs/>
        </w:rPr>
        <w:t xml:space="preserve"> dengeli ve dengesiz panel olarak ikiye ayrılır. Dengeli panelde</w:t>
      </w:r>
      <w:r w:rsidR="004F7133">
        <w:rPr>
          <w:bCs/>
        </w:rPr>
        <w:t xml:space="preserve"> her bir birim tüm zamanlar boyunca gözlemlenmiştir. Dengesiz pane</w:t>
      </w:r>
      <w:r w:rsidR="001A49DB">
        <w:rPr>
          <w:bCs/>
        </w:rPr>
        <w:t>l</w:t>
      </w:r>
      <w:r w:rsidR="004F7133">
        <w:rPr>
          <w:bCs/>
        </w:rPr>
        <w:t xml:space="preserve">de ise bazı birimler için bazı dönemlere ait bilgiler kayıptır. </w:t>
      </w:r>
      <w:r w:rsidR="004F7133" w:rsidRPr="004F7133">
        <w:rPr>
          <w:bCs/>
        </w:rPr>
        <w:t xml:space="preserve">Dengeli/Tamamlanmış (complate) Panel Veriler için geliştirilmiş tahmin yöntemleri ve testlerin, dengesiz/tamamlanmamış (incomplate) paneller için </w:t>
      </w:r>
      <w:r w:rsidR="004F7133">
        <w:rPr>
          <w:bCs/>
        </w:rPr>
        <w:t xml:space="preserve">kullanımında bazı kısıtlamalar </w:t>
      </w:r>
      <w:r w:rsidR="004F7133" w:rsidRPr="004F7133">
        <w:rPr>
          <w:bCs/>
        </w:rPr>
        <w:t>söz konusudur.</w:t>
      </w:r>
    </w:p>
    <w:p w:rsidR="004F7133" w:rsidRDefault="004F7133" w:rsidP="00DA6A5A">
      <w:pPr>
        <w:pStyle w:val="ListeParagraf"/>
        <w:spacing w:before="240" w:after="240" w:line="360" w:lineRule="auto"/>
        <w:ind w:left="0" w:firstLine="708"/>
        <w:jc w:val="both"/>
        <w:rPr>
          <w:bCs/>
        </w:rPr>
      </w:pPr>
      <w:r>
        <w:rPr>
          <w:bCs/>
        </w:rPr>
        <w:t xml:space="preserve">Dengesiz panel veri setleriyle çalışabilmek için bazı yönetemler kullanılır. Verilerdeki kayıp gözlemlerde tesadüfilik varsa dengeli panel için kullanılan metodlar dengesiz paneller için geliştirilmekte ve tahminler tutarlı olmaktadır. </w:t>
      </w:r>
      <w:r w:rsidRPr="004F7133">
        <w:rPr>
          <w:bCs/>
        </w:rPr>
        <w:t>Kayıp gözlemi olan veriyi kaybetmektense bazı algoritmalar kullanılarak bu boşlukların doldurulması önerilebilmektedir.</w:t>
      </w:r>
    </w:p>
    <w:p w:rsidR="00A76D82" w:rsidRDefault="00A76D82" w:rsidP="00E84FB3">
      <w:pPr>
        <w:pStyle w:val="Balk2"/>
        <w:numPr>
          <w:ilvl w:val="1"/>
          <w:numId w:val="5"/>
        </w:numPr>
      </w:pPr>
      <w:r>
        <w:t xml:space="preserve"> </w:t>
      </w:r>
      <w:bookmarkStart w:id="167" w:name="_Toc384824025"/>
      <w:r>
        <w:t xml:space="preserve">ANALİZİN </w:t>
      </w:r>
      <w:r w:rsidR="00DD5885">
        <w:t xml:space="preserve">TEMEL </w:t>
      </w:r>
      <w:r>
        <w:t>AMACI</w:t>
      </w:r>
      <w:bookmarkEnd w:id="167"/>
    </w:p>
    <w:p w:rsidR="00871748" w:rsidRDefault="00A76D82" w:rsidP="00871808">
      <w:pPr>
        <w:spacing w:before="240" w:after="240" w:line="360" w:lineRule="auto"/>
        <w:ind w:firstLine="706"/>
        <w:jc w:val="both"/>
      </w:pPr>
      <w:r>
        <w:t xml:space="preserve">Tezin bu bölümünde ele alınacak olan analizin amacı temel olarak </w:t>
      </w:r>
      <w:r w:rsidR="00E47BD4">
        <w:t>sera gazı emisyonlarının makroekonomik değişkenlerle olan ilişkisini OECD ülkeleri için panel veri analizi</w:t>
      </w:r>
      <w:r w:rsidR="00CF7E96">
        <w:t xml:space="preserve">yle </w:t>
      </w:r>
      <w:r w:rsidR="00E47BD4">
        <w:t>ampirik olarak araştırmaktır. Buna göre söz konusu analizde CO</w:t>
      </w:r>
      <w:r w:rsidR="00E47BD4">
        <w:rPr>
          <w:vertAlign w:val="subscript"/>
        </w:rPr>
        <w:t>2</w:t>
      </w:r>
      <w:r w:rsidR="00E47BD4">
        <w:t xml:space="preserve"> emisyonları makroekonomik değişkenler olan ekonomik büyüme, enerji tüketimi ve</w:t>
      </w:r>
      <w:r w:rsidR="00944ECB">
        <w:t xml:space="preserve"> ticari</w:t>
      </w:r>
      <w:r w:rsidR="00871748">
        <w:t xml:space="preserve"> açıklık</w:t>
      </w:r>
      <w:r w:rsidR="00E47BD4">
        <w:t xml:space="preserve"> </w:t>
      </w:r>
      <w:r w:rsidR="00871748">
        <w:t>değişkenlerinden ne kadar etkilendiğini ekonometrik yöntemlerle ölçülmüşt</w:t>
      </w:r>
      <w:r w:rsidR="001A49DB">
        <w:t>ü</w:t>
      </w:r>
      <w:r w:rsidR="00871748">
        <w:t>r.</w:t>
      </w:r>
    </w:p>
    <w:p w:rsidR="00BA0CAA" w:rsidRDefault="00CF7E96" w:rsidP="00871808">
      <w:pPr>
        <w:spacing w:before="240" w:after="240" w:line="360" w:lineRule="auto"/>
        <w:ind w:firstLine="706"/>
        <w:jc w:val="both"/>
      </w:pPr>
      <w:r>
        <w:t>Bu çalışmanın yapılma gerekçe</w:t>
      </w:r>
      <w:r w:rsidR="003F7929">
        <w:t>si; dünyada</w:t>
      </w:r>
      <w:r>
        <w:t xml:space="preserve"> çevre kirliliğine neden olan ülkelerin OECD gibi gelişmiş ülkeler olmasıdır. Kyoto protokolünü imzalamayan ABD’nin OECD ülkeleri</w:t>
      </w:r>
      <w:r w:rsidR="00871748">
        <w:t>ne göre durumu karşılaştırmalı olarak analiz edilmiştir.</w:t>
      </w:r>
      <w:r>
        <w:t xml:space="preserve"> </w:t>
      </w:r>
      <w:r w:rsidR="00F455E1">
        <w:t xml:space="preserve">Ayrıca Kyoto </w:t>
      </w:r>
      <w:r w:rsidR="003F7929">
        <w:t>P</w:t>
      </w:r>
      <w:r w:rsidR="00F455E1">
        <w:t>rotokolü</w:t>
      </w:r>
      <w:r w:rsidR="003F7929">
        <w:t>’</w:t>
      </w:r>
      <w:r w:rsidR="00F455E1">
        <w:t>nü imzalayıp herhangi bir yükümlülük almayan Türkiye, Meksika ve Güney Kore</w:t>
      </w:r>
      <w:r w:rsidR="003F7929">
        <w:t xml:space="preserve"> gibi</w:t>
      </w:r>
      <w:r w:rsidR="00F455E1">
        <w:t xml:space="preserve"> OECD ülkeleri</w:t>
      </w:r>
      <w:r w:rsidR="00871748">
        <w:t>nin CO</w:t>
      </w:r>
      <w:r w:rsidR="00871748">
        <w:rPr>
          <w:vertAlign w:val="subscript"/>
        </w:rPr>
        <w:t>2</w:t>
      </w:r>
      <w:r w:rsidR="00871748">
        <w:t xml:space="preserve"> emisyonları</w:t>
      </w:r>
      <w:r w:rsidR="003F7929">
        <w:t xml:space="preserve"> karşılaştırılarak bu ülk</w:t>
      </w:r>
      <w:r w:rsidR="001A49DB">
        <w:t>e</w:t>
      </w:r>
      <w:r w:rsidR="003F7929">
        <w:t>lerin arasındaki benzerlikler ve farklılıklar</w:t>
      </w:r>
      <w:r w:rsidR="00871748">
        <w:t xml:space="preserve"> incelenecektir.</w:t>
      </w:r>
    </w:p>
    <w:p w:rsidR="00871808" w:rsidRDefault="00BA0CAA" w:rsidP="00871808">
      <w:pPr>
        <w:spacing w:before="240" w:after="240" w:line="360" w:lineRule="auto"/>
        <w:ind w:firstLine="706"/>
        <w:jc w:val="both"/>
      </w:pPr>
      <w:proofErr w:type="gramStart"/>
      <w:r>
        <w:t xml:space="preserve">Bu </w:t>
      </w:r>
      <w:r w:rsidR="003169FD">
        <w:t>bağlamda</w:t>
      </w:r>
      <w:r>
        <w:t>; OECD ülkeleri içinde Kyoto Protokolü</w:t>
      </w:r>
      <w:r w:rsidR="00F07FCF">
        <w:t>’</w:t>
      </w:r>
      <w:r>
        <w:t xml:space="preserve">nü imzalayan, imzalamayan ve imzalayıp yükümlülük almayan ülkeleri ayrı gruplar halinde 1970-2011 dönemi için yıllık verilerle panel veri analizi yöntemi kullanarak karbon emisyonları ile makroekonomik değişkenler olan ekonomik büyüme, enerji tüketimi ve </w:t>
      </w:r>
      <w:r w:rsidR="00944ECB">
        <w:t>ticari</w:t>
      </w:r>
      <w:r w:rsidR="00871748">
        <w:t xml:space="preserve"> açıklık değişkenleri</w:t>
      </w:r>
      <w:r>
        <w:t xml:space="preserve"> kul</w:t>
      </w:r>
      <w:r w:rsidR="00871748">
        <w:t xml:space="preserve">lanılarak her ülke için ayrı bir model olarak </w:t>
      </w:r>
      <w:r>
        <w:t xml:space="preserve">test edilmeye çalışılacaktır. </w:t>
      </w:r>
      <w:proofErr w:type="gramEnd"/>
      <w:r>
        <w:t>Ayrıca çalışmada</w:t>
      </w:r>
      <w:r w:rsidR="00871808">
        <w:t xml:space="preserve"> </w:t>
      </w:r>
      <w:r w:rsidR="00944ECB">
        <w:t>ticari</w:t>
      </w:r>
      <w:r w:rsidR="00871808">
        <w:t xml:space="preserve"> açıklık</w:t>
      </w:r>
      <w:r w:rsidR="00FC75FD">
        <w:t>,</w:t>
      </w:r>
      <w:r w:rsidR="00871808">
        <w:t xml:space="preserve"> ihracat</w:t>
      </w:r>
      <w:r w:rsidR="00FC75FD">
        <w:t xml:space="preserve">/GSYİH </w:t>
      </w:r>
      <w:r w:rsidR="00FC75FD" w:rsidRPr="00FC75FD">
        <w:rPr>
          <w:i/>
        </w:rPr>
        <w:t>(OPEX)</w:t>
      </w:r>
      <w:r w:rsidR="00871808">
        <w:t xml:space="preserve"> ve ithalat</w:t>
      </w:r>
      <w:r w:rsidR="00FC75FD">
        <w:t>/GSYİH</w:t>
      </w:r>
      <w:r w:rsidR="00871808">
        <w:t xml:space="preserve"> </w:t>
      </w:r>
      <w:r w:rsidR="00FC75FD" w:rsidRPr="00FC75FD">
        <w:rPr>
          <w:i/>
        </w:rPr>
        <w:t>(OPIM)</w:t>
      </w:r>
      <w:r w:rsidR="00FC75FD">
        <w:t xml:space="preserve"> </w:t>
      </w:r>
      <w:r w:rsidR="00871808">
        <w:t xml:space="preserve">değişkenleri olarak modele ayrı ayrı dahil edilerek literatüre katkı </w:t>
      </w:r>
      <w:r w:rsidR="00447BB8">
        <w:t>sağla</w:t>
      </w:r>
      <w:r w:rsidR="00FC75FD">
        <w:t>n</w:t>
      </w:r>
      <w:r w:rsidR="00447BB8">
        <w:t>maya çalışılmıştır.</w:t>
      </w:r>
    </w:p>
    <w:p w:rsidR="00E84FB3" w:rsidRPr="007B618B" w:rsidRDefault="000624A1" w:rsidP="00E84FB3">
      <w:pPr>
        <w:pStyle w:val="Balk2"/>
        <w:numPr>
          <w:ilvl w:val="1"/>
          <w:numId w:val="5"/>
        </w:numPr>
      </w:pPr>
      <w:bookmarkStart w:id="168" w:name="_Toc384824026"/>
      <w:r>
        <w:lastRenderedPageBreak/>
        <w:t xml:space="preserve"> </w:t>
      </w:r>
      <w:r w:rsidR="00E84FB3">
        <w:t>ARAŞTIRMANIN YÖNTEMİ</w:t>
      </w:r>
      <w:bookmarkEnd w:id="168"/>
    </w:p>
    <w:p w:rsidR="000E1C27" w:rsidRDefault="00E84FB3" w:rsidP="00E84FB3">
      <w:pPr>
        <w:pStyle w:val="ListeParagraf"/>
        <w:spacing w:before="240" w:after="240" w:line="360" w:lineRule="auto"/>
        <w:ind w:left="0" w:firstLine="709"/>
        <w:jc w:val="both"/>
        <w:rPr>
          <w:bCs/>
        </w:rPr>
      </w:pPr>
      <w:r w:rsidRPr="00E84FB3">
        <w:rPr>
          <w:bCs/>
        </w:rPr>
        <w:t xml:space="preserve">Araştırmada, </w:t>
      </w:r>
      <w:r>
        <w:rPr>
          <w:bCs/>
        </w:rPr>
        <w:t>karbon emisyonları</w:t>
      </w:r>
      <w:r w:rsidRPr="00E84FB3">
        <w:rPr>
          <w:bCs/>
        </w:rPr>
        <w:t xml:space="preserve"> ile </w:t>
      </w:r>
      <w:r>
        <w:rPr>
          <w:bCs/>
        </w:rPr>
        <w:t>makroekonomik değişkenler</w:t>
      </w:r>
      <w:r w:rsidRPr="00E84FB3">
        <w:rPr>
          <w:bCs/>
        </w:rPr>
        <w:t xml:space="preserve"> arasında istatistiksel olarak anlamlı bir ilişki olup olmadığı, bu ilişkinin yönünün ve derecesinin ne şekilde olduğunu ortaya koyabilmek için panel veri analizi yöntemi uygulanmıştır.</w:t>
      </w:r>
    </w:p>
    <w:p w:rsidR="007A149D" w:rsidRDefault="007A149D" w:rsidP="007A149D">
      <w:pPr>
        <w:spacing w:before="240" w:after="240" w:line="360" w:lineRule="auto"/>
        <w:ind w:firstLine="708"/>
        <w:jc w:val="both"/>
        <w:rPr>
          <w:bCs/>
        </w:rPr>
      </w:pPr>
      <w:r>
        <w:rPr>
          <w:bCs/>
        </w:rPr>
        <w:t xml:space="preserve">Farklı veri türlerinin kullanıldığı bu analizde yapılarına uygun modellerle incelenmesi gerekmektedir. Zaman serisi ve yatay kesit analizleri verileri ayrı ayrı analiz etmektedir. Yani zaman serileri ile ilgili çalışmalar zaman boyutunu dikkate almakta, yatay kesit analizleri ise kesit boyutu dikkate alınmaktadır. </w:t>
      </w:r>
    </w:p>
    <w:p w:rsidR="007A149D" w:rsidRDefault="007A149D" w:rsidP="007A149D">
      <w:pPr>
        <w:spacing w:before="240" w:after="240" w:line="360" w:lineRule="auto"/>
        <w:ind w:firstLine="708"/>
        <w:jc w:val="both"/>
        <w:rPr>
          <w:bCs/>
        </w:rPr>
      </w:pPr>
      <w:r w:rsidRPr="007A149D">
        <w:rPr>
          <w:bCs/>
        </w:rPr>
        <w:t>Zaman serileri ve yatay kesit verilerinin bir arada kullanıldığı analizler ise panel ver</w:t>
      </w:r>
      <w:r w:rsidR="00CB1F28">
        <w:rPr>
          <w:bCs/>
        </w:rPr>
        <w:t>i adını almaktadır (Greene, 2003</w:t>
      </w:r>
      <w:r w:rsidRPr="007A149D">
        <w:rPr>
          <w:bCs/>
        </w:rPr>
        <w:t>: 283-284</w:t>
      </w:r>
      <w:r>
        <w:rPr>
          <w:bCs/>
        </w:rPr>
        <w:t xml:space="preserve">; </w:t>
      </w:r>
      <w:r w:rsidRPr="007A149D">
        <w:rPr>
          <w:bCs/>
        </w:rPr>
        <w:t>Wooldridge, 2009: 452;</w:t>
      </w:r>
      <w:r>
        <w:rPr>
          <w:bCs/>
        </w:rPr>
        <w:t xml:space="preserve"> </w:t>
      </w:r>
      <w:r w:rsidR="00245995">
        <w:rPr>
          <w:bCs/>
        </w:rPr>
        <w:t>Ayaydın, 2012: 121</w:t>
      </w:r>
      <w:r w:rsidRPr="007A149D">
        <w:rPr>
          <w:bCs/>
        </w:rPr>
        <w:t>). Panel veriler, zaman serisi ve yatay kesit verilerini bir araya getirerek, farklı zaman aralıklarında aynı birimlere ilişkin veri setlerinden oluşmaktadır</w:t>
      </w:r>
      <w:r w:rsidR="00B9598A">
        <w:rPr>
          <w:bCs/>
        </w:rPr>
        <w:t xml:space="preserve"> (</w:t>
      </w:r>
      <w:r w:rsidR="00B9598A" w:rsidRPr="00B9598A">
        <w:rPr>
          <w:bCs/>
        </w:rPr>
        <w:t>Hsiao, 2003: 1</w:t>
      </w:r>
      <w:r w:rsidR="00133CCD">
        <w:rPr>
          <w:bCs/>
        </w:rPr>
        <w:t>; Baltagi, 2005</w:t>
      </w:r>
      <w:r w:rsidR="00B9598A">
        <w:rPr>
          <w:bCs/>
        </w:rPr>
        <w:t>: 1</w:t>
      </w:r>
      <w:r w:rsidR="00E433E9">
        <w:rPr>
          <w:bCs/>
        </w:rPr>
        <w:t>;</w:t>
      </w:r>
      <w:r w:rsidR="00E433E9" w:rsidRPr="00E433E9">
        <w:t xml:space="preserve"> </w:t>
      </w:r>
      <w:r w:rsidR="00E433E9" w:rsidRPr="00E433E9">
        <w:rPr>
          <w:bCs/>
        </w:rPr>
        <w:t>Ayaydın, 2012: 121</w:t>
      </w:r>
      <w:r w:rsidRPr="007A149D">
        <w:rPr>
          <w:bCs/>
        </w:rPr>
        <w:t>). Zaman boyutuna sahip kesit serilerini kullanarak ekonomik ilişkilerin tahmin edilmesi yöntemine panel veri analizi adı verilmektedir (Frees, 2004: 2</w:t>
      </w:r>
      <w:r w:rsidR="00252601">
        <w:rPr>
          <w:bCs/>
        </w:rPr>
        <w:t>; Güriş vd</w:t>
      </w:r>
      <w:proofErr w:type="gramStart"/>
      <w:r w:rsidR="00252601">
        <w:rPr>
          <w:bCs/>
        </w:rPr>
        <w:t>.,</w:t>
      </w:r>
      <w:proofErr w:type="gramEnd"/>
      <w:r w:rsidR="00252601">
        <w:rPr>
          <w:bCs/>
        </w:rPr>
        <w:t xml:space="preserve"> 2011: 7</w:t>
      </w:r>
      <w:r w:rsidRPr="007A149D">
        <w:rPr>
          <w:bCs/>
        </w:rPr>
        <w:t>). Dolayısıyla panel veri analizi, belirli bir dönem için çok sayıda ülkeye ya da ülke grubuna ait değişkenler arasındaki ilişkinin incelenmesine fırsat vermektedir.</w:t>
      </w:r>
    </w:p>
    <w:p w:rsidR="00A2316C" w:rsidRDefault="00A2316C" w:rsidP="007A149D">
      <w:pPr>
        <w:spacing w:before="240" w:after="240" w:line="360" w:lineRule="auto"/>
        <w:ind w:firstLine="708"/>
        <w:jc w:val="both"/>
        <w:rPr>
          <w:bCs/>
        </w:rPr>
      </w:pPr>
      <w:r>
        <w:rPr>
          <w:bCs/>
        </w:rPr>
        <w:t>Zaman serisi ve yatay kesit bağımlılığı verilerinin bir arada kullanılmasıyla bağımlı ve bağımsız değişkenler arasındaki ilişkileri incelemek için temel panel veri regresyon modelinin basit biçimde gösterecek olursak (Greene, 2</w:t>
      </w:r>
      <w:r w:rsidR="00CB1F28">
        <w:rPr>
          <w:bCs/>
        </w:rPr>
        <w:t>003</w:t>
      </w:r>
      <w:r>
        <w:rPr>
          <w:bCs/>
        </w:rPr>
        <w:t>: 285);</w:t>
      </w:r>
    </w:p>
    <w:p w:rsidR="00A2316C" w:rsidRPr="000E47DB" w:rsidRDefault="00E56A11" w:rsidP="00A2316C">
      <w:pPr>
        <w:spacing w:before="240" w:after="240" w:line="360" w:lineRule="auto"/>
        <w:jc w:val="both"/>
        <w:rPr>
          <w:bCs/>
        </w:rPr>
      </w:pPr>
      <m:oMath>
        <m:sSub>
          <m:sSubPr>
            <m:ctrlPr>
              <w:rPr>
                <w:rFonts w:ascii="Cambria Math" w:hAnsi="Cambria Math"/>
                <w:bCs/>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bCs/>
                <w:i/>
              </w:rPr>
            </m:ctrlPr>
          </m:sSubPr>
          <m:e>
            <m:r>
              <w:rPr>
                <w:rFonts w:ascii="Cambria Math" w:hAnsi="Cambria Math"/>
              </w:rPr>
              <m:t>α</m:t>
            </m:r>
          </m:e>
          <m:sub>
            <m:r>
              <w:rPr>
                <w:rFonts w:ascii="Cambria Math" w:hAnsi="Cambria Math"/>
              </w:rPr>
              <m:t>i</m:t>
            </m:r>
          </m:sub>
        </m:sSub>
        <m:r>
          <w:rPr>
            <w:rFonts w:ascii="Cambria Math" w:hAnsi="Cambria Math"/>
          </w:rPr>
          <m:t>+β</m:t>
        </m:r>
        <m:sSub>
          <m:sSubPr>
            <m:ctrlPr>
              <w:rPr>
                <w:rFonts w:ascii="Cambria Math" w:hAnsi="Cambria Math"/>
                <w:bCs/>
                <w:i/>
              </w:rPr>
            </m:ctrlPr>
          </m:sSubPr>
          <m:e>
            <m:r>
              <w:rPr>
                <w:rFonts w:ascii="Cambria Math" w:hAnsi="Cambria Math"/>
              </w:rPr>
              <m:t>X</m:t>
            </m:r>
          </m:e>
          <m:sub>
            <m:r>
              <w:rPr>
                <w:rFonts w:ascii="Cambria Math" w:hAnsi="Cambria Math"/>
              </w:rPr>
              <m:t>it</m:t>
            </m:r>
          </m:sub>
        </m:sSub>
        <m:r>
          <w:rPr>
            <w:rFonts w:ascii="Cambria Math" w:hAnsi="Cambria Math"/>
          </w:rPr>
          <m:t>+</m:t>
        </m:r>
        <m:sSub>
          <m:sSubPr>
            <m:ctrlPr>
              <w:rPr>
                <w:rFonts w:ascii="Cambria Math" w:hAnsi="Cambria Math"/>
                <w:bCs/>
                <w:i/>
              </w:rPr>
            </m:ctrlPr>
          </m:sSubPr>
          <m:e>
            <m:r>
              <w:rPr>
                <w:rFonts w:ascii="Cambria Math" w:hAnsi="Cambria Math"/>
              </w:rPr>
              <m:t>ε</m:t>
            </m:r>
          </m:e>
          <m:sub>
            <m:r>
              <w:rPr>
                <w:rFonts w:ascii="Cambria Math" w:hAnsi="Cambria Math"/>
              </w:rPr>
              <m:t>it</m:t>
            </m:r>
          </m:sub>
        </m:sSub>
        <m:r>
          <w:rPr>
            <w:rFonts w:ascii="Cambria Math" w:hAnsi="Cambria Math"/>
          </w:rPr>
          <m:t xml:space="preserve">    i=1,2,…N    ve  t=1,2,…T                                          (4.1)</m:t>
        </m:r>
      </m:oMath>
      <w:r w:rsidR="000E47DB">
        <w:rPr>
          <w:bCs/>
        </w:rPr>
        <w:t xml:space="preserve">        </w:t>
      </w:r>
    </w:p>
    <w:p w:rsidR="000E47DB" w:rsidRPr="000E47DB" w:rsidRDefault="000E47DB" w:rsidP="000E47DB">
      <w:pPr>
        <w:pStyle w:val="Gvdemetni4"/>
        <w:shd w:val="clear" w:color="auto" w:fill="auto"/>
        <w:tabs>
          <w:tab w:val="left" w:pos="709"/>
        </w:tabs>
        <w:spacing w:before="240" w:after="240" w:line="360" w:lineRule="auto"/>
        <w:ind w:right="23" w:firstLine="0"/>
        <w:jc w:val="both"/>
        <w:rPr>
          <w:bCs/>
          <w:sz w:val="24"/>
          <w:szCs w:val="24"/>
        </w:rPr>
      </w:pPr>
      <w:r>
        <w:rPr>
          <w:bCs/>
          <w:sz w:val="24"/>
          <w:szCs w:val="24"/>
        </w:rPr>
        <w:tab/>
        <w:t xml:space="preserve">4.1. </w:t>
      </w:r>
      <w:r w:rsidRPr="000E47DB">
        <w:rPr>
          <w:bCs/>
          <w:sz w:val="24"/>
          <w:szCs w:val="24"/>
        </w:rPr>
        <w:t>nolu denklemde</w:t>
      </w:r>
      <w:r w:rsidRPr="000E47DB">
        <w:rPr>
          <w:bCs/>
          <w:i/>
          <w:sz w:val="24"/>
          <w:szCs w:val="24"/>
        </w:rPr>
        <w:t xml:space="preserve"> i</w:t>
      </w:r>
      <w:r w:rsidRPr="000E47DB">
        <w:rPr>
          <w:bCs/>
          <w:sz w:val="24"/>
          <w:szCs w:val="24"/>
        </w:rPr>
        <w:t xml:space="preserve"> alt simgesi, </w:t>
      </w:r>
      <w:r>
        <w:rPr>
          <w:bCs/>
          <w:sz w:val="24"/>
          <w:szCs w:val="24"/>
        </w:rPr>
        <w:t xml:space="preserve">OECD ülkelerinin yatay kesit boyutunu ifade </w:t>
      </w:r>
      <w:r w:rsidRPr="000E47DB">
        <w:rPr>
          <w:bCs/>
          <w:sz w:val="24"/>
          <w:szCs w:val="24"/>
        </w:rPr>
        <w:t xml:space="preserve">ederken, </w:t>
      </w:r>
      <w:r w:rsidRPr="000E47DB">
        <w:rPr>
          <w:bCs/>
          <w:i/>
          <w:sz w:val="24"/>
          <w:szCs w:val="24"/>
        </w:rPr>
        <w:t>t</w:t>
      </w:r>
      <w:r w:rsidRPr="000E47DB">
        <w:rPr>
          <w:bCs/>
          <w:sz w:val="24"/>
          <w:szCs w:val="24"/>
        </w:rPr>
        <w:t xml:space="preserve"> alt simgesi, zaman serisi boyutunu ifade etmektedir. Denklemde </w:t>
      </w:r>
      <w:r w:rsidRPr="000E47DB">
        <w:rPr>
          <w:bCs/>
          <w:i/>
          <w:sz w:val="24"/>
          <w:szCs w:val="24"/>
        </w:rPr>
        <w:t>Y</w:t>
      </w:r>
      <w:r w:rsidRPr="000E47DB">
        <w:rPr>
          <w:bCs/>
          <w:i/>
          <w:sz w:val="24"/>
          <w:szCs w:val="24"/>
          <w:vertAlign w:val="subscript"/>
        </w:rPr>
        <w:t>it</w:t>
      </w:r>
      <w:r w:rsidRPr="000E47DB">
        <w:rPr>
          <w:bCs/>
          <w:sz w:val="24"/>
          <w:szCs w:val="24"/>
        </w:rPr>
        <w:t xml:space="preserve"> modele ait bağımlı değişkenleri, </w:t>
      </w:r>
      <w:r w:rsidRPr="000E47DB">
        <w:rPr>
          <w:bCs/>
          <w:i/>
          <w:sz w:val="24"/>
          <w:szCs w:val="24"/>
        </w:rPr>
        <w:t>X</w:t>
      </w:r>
      <w:r w:rsidRPr="000E47DB">
        <w:rPr>
          <w:bCs/>
          <w:i/>
          <w:sz w:val="24"/>
          <w:szCs w:val="24"/>
          <w:vertAlign w:val="subscript"/>
        </w:rPr>
        <w:t>it</w:t>
      </w:r>
      <w:r w:rsidRPr="000E47DB">
        <w:rPr>
          <w:bCs/>
          <w:sz w:val="24"/>
          <w:szCs w:val="24"/>
        </w:rPr>
        <w:t xml:space="preserve"> bağımsız değişkenleri, </w:t>
      </w:r>
      <w:r w:rsidRPr="00224CAC">
        <w:rPr>
          <w:bCs/>
          <w:i/>
          <w:sz w:val="24"/>
          <w:szCs w:val="24"/>
        </w:rPr>
        <w:t>α</w:t>
      </w:r>
      <w:r w:rsidR="00224CAC">
        <w:rPr>
          <w:bCs/>
          <w:sz w:val="24"/>
          <w:szCs w:val="24"/>
          <w:vertAlign w:val="subscript"/>
        </w:rPr>
        <w:t>i</w:t>
      </w:r>
      <w:r w:rsidRPr="000E47DB">
        <w:rPr>
          <w:bCs/>
          <w:sz w:val="24"/>
          <w:szCs w:val="24"/>
        </w:rPr>
        <w:t xml:space="preserve"> sabit kesişim katsayısını ve </w:t>
      </w:r>
      <m:oMath>
        <m:sSub>
          <m:sSubPr>
            <m:ctrlPr>
              <w:rPr>
                <w:rFonts w:ascii="Cambria Math" w:hAnsi="Cambria Math"/>
                <w:bCs/>
                <w:i/>
                <w:sz w:val="24"/>
                <w:szCs w:val="24"/>
              </w:rPr>
            </m:ctrlPr>
          </m:sSubPr>
          <m:e>
            <m:r>
              <w:rPr>
                <w:rFonts w:ascii="Cambria Math" w:hAnsi="Cambria Math"/>
              </w:rPr>
              <m:t>ε</m:t>
            </m:r>
          </m:e>
          <m:sub>
            <m:r>
              <w:rPr>
                <w:rFonts w:ascii="Cambria Math" w:hAnsi="Cambria Math"/>
              </w:rPr>
              <m:t>it</m:t>
            </m:r>
          </m:sub>
        </m:sSub>
      </m:oMath>
      <w:r w:rsidR="00224CAC">
        <w:rPr>
          <w:rFonts w:ascii="Cambria Math" w:hAnsi="Cambria Math"/>
          <w:bCs/>
          <w:sz w:val="24"/>
          <w:szCs w:val="24"/>
        </w:rPr>
        <w:t xml:space="preserve"> </w:t>
      </w:r>
      <w:r w:rsidRPr="000E47DB">
        <w:rPr>
          <w:bCs/>
          <w:sz w:val="24"/>
          <w:szCs w:val="24"/>
        </w:rPr>
        <w:t>hata terimini göstermektedir (Baltagi, 2005: 11-12).</w:t>
      </w:r>
    </w:p>
    <w:p w:rsidR="00285765" w:rsidRDefault="00285765" w:rsidP="00285765">
      <w:pPr>
        <w:pStyle w:val="ListeParagraf"/>
        <w:spacing w:before="240" w:after="240" w:line="360" w:lineRule="auto"/>
        <w:ind w:left="0" w:firstLine="708"/>
        <w:jc w:val="both"/>
        <w:rPr>
          <w:bCs/>
        </w:rPr>
      </w:pPr>
      <w:r>
        <w:rPr>
          <w:bCs/>
        </w:rPr>
        <w:t xml:space="preserve">Panel veri setinde yer alan tüm birimler için söz konusu zaman serisinde gözlem sayıları tamsa bu panel veri setine dengeli panel denir. Eğer çalışmada kullanılan çalışmalarda gözlemlerin eksik gözlemler varsa, bu panel veri setlerine ise dengesiz panel denmektedir. </w:t>
      </w:r>
    </w:p>
    <w:p w:rsidR="00285765" w:rsidRDefault="00285765" w:rsidP="00285765">
      <w:pPr>
        <w:pStyle w:val="ListeParagraf"/>
        <w:spacing w:before="240" w:after="240" w:line="360" w:lineRule="auto"/>
        <w:ind w:left="0"/>
        <w:jc w:val="both"/>
        <w:rPr>
          <w:bCs/>
        </w:rPr>
      </w:pPr>
      <w:r>
        <w:rPr>
          <w:bCs/>
        </w:rPr>
        <w:lastRenderedPageBreak/>
        <w:tab/>
        <w:t>Kullanılan veri setinde eksik gözlemlerin olması panel veri analizinde zaman serisine göre daha avantajlıdır</w:t>
      </w:r>
      <w:r>
        <w:rPr>
          <w:rStyle w:val="DipnotBavurusu"/>
          <w:bCs/>
        </w:rPr>
        <w:footnoteReference w:id="42"/>
      </w:r>
      <w:r>
        <w:rPr>
          <w:bCs/>
        </w:rPr>
        <w:t>. Bu yüzden analiz metodu olarak panel veri analizi tercih edilmiştir.</w:t>
      </w:r>
    </w:p>
    <w:p w:rsidR="00285765" w:rsidRDefault="00285765" w:rsidP="00285765">
      <w:pPr>
        <w:pStyle w:val="ListeParagraf"/>
        <w:spacing w:before="240" w:after="240" w:line="360" w:lineRule="auto"/>
        <w:ind w:left="0" w:firstLine="708"/>
        <w:jc w:val="both"/>
        <w:rPr>
          <w:bCs/>
        </w:rPr>
      </w:pPr>
      <w:r>
        <w:rPr>
          <w:bCs/>
        </w:rPr>
        <w:t>Analizimizde kullandığımız p</w:t>
      </w:r>
      <w:r w:rsidRPr="009952DC">
        <w:rPr>
          <w:bCs/>
        </w:rPr>
        <w:t xml:space="preserve">anel veri </w:t>
      </w:r>
      <w:r>
        <w:rPr>
          <w:bCs/>
        </w:rPr>
        <w:t>analizi yatay kesit veya zaman serisi analizleriyle karşılaştırıldığında çeşitli avantajlara sahiptir. Panel veri analizinin avantajl</w:t>
      </w:r>
      <w:r w:rsidR="00F07FCF">
        <w:rPr>
          <w:bCs/>
        </w:rPr>
        <w:t>ı yönleri</w:t>
      </w:r>
      <w:r>
        <w:rPr>
          <w:bCs/>
        </w:rPr>
        <w:t xml:space="preserve"> şöyle özetlenebilir (Hsiao, 2003: 1-7; Baltagi, 2005: 7; Hsiao, 2005: 3-8):</w:t>
      </w:r>
    </w:p>
    <w:p w:rsidR="00285765" w:rsidRDefault="00285765" w:rsidP="00447BB8">
      <w:pPr>
        <w:pStyle w:val="ListeParagraf"/>
        <w:numPr>
          <w:ilvl w:val="0"/>
          <w:numId w:val="17"/>
        </w:numPr>
        <w:spacing w:before="120" w:after="120" w:line="360" w:lineRule="auto"/>
        <w:jc w:val="both"/>
        <w:rPr>
          <w:bCs/>
        </w:rPr>
      </w:pPr>
      <w:r>
        <w:rPr>
          <w:bCs/>
        </w:rPr>
        <w:t xml:space="preserve">Panel veri analizi yatay kesit gözlemlerle zaman serisini birleştirerek daha kompleks veriler, daha fazla değişkenlik, değişkenler arasında daha az doğrusallık (collinearity), daha fazla serbestlik derecesi ve etkin bir model sağlamaktadır. </w:t>
      </w:r>
    </w:p>
    <w:p w:rsidR="00285765" w:rsidRDefault="00285765" w:rsidP="00447BB8">
      <w:pPr>
        <w:pStyle w:val="ListeParagraf"/>
        <w:numPr>
          <w:ilvl w:val="0"/>
          <w:numId w:val="17"/>
        </w:numPr>
        <w:spacing w:before="120" w:after="120" w:line="360" w:lineRule="auto"/>
        <w:jc w:val="both"/>
        <w:rPr>
          <w:bCs/>
        </w:rPr>
      </w:pPr>
      <w:r>
        <w:rPr>
          <w:bCs/>
        </w:rPr>
        <w:t>Panel veri analizi yatay kesit gözlemlerle çalıştığından, panel veri “değişim dinamiklerini” çalışmak için daha uygun bir yöntemdir.</w:t>
      </w:r>
    </w:p>
    <w:p w:rsidR="00285765" w:rsidRDefault="00285765" w:rsidP="00447BB8">
      <w:pPr>
        <w:pStyle w:val="ListeParagraf"/>
        <w:numPr>
          <w:ilvl w:val="0"/>
          <w:numId w:val="17"/>
        </w:numPr>
        <w:spacing w:before="120" w:after="120" w:line="360" w:lineRule="auto"/>
        <w:jc w:val="both"/>
        <w:rPr>
          <w:bCs/>
        </w:rPr>
      </w:pPr>
      <w:r>
        <w:rPr>
          <w:bCs/>
        </w:rPr>
        <w:t>Panel veri araştırmacıya daha fazla sayıda gözlem sağlar, açıklayıcı değişkenler arasındaki doğrusal bağıntının derecesini düşürür ve serbestlik derecesini arttırır. Bunlar da ekonometrik tahmincilerin etkinliğini arttırır.</w:t>
      </w:r>
    </w:p>
    <w:p w:rsidR="00285765" w:rsidRDefault="00285765" w:rsidP="00447BB8">
      <w:pPr>
        <w:pStyle w:val="ListeParagraf"/>
        <w:numPr>
          <w:ilvl w:val="0"/>
          <w:numId w:val="17"/>
        </w:numPr>
        <w:spacing w:before="120" w:after="120" w:line="360" w:lineRule="auto"/>
        <w:jc w:val="both"/>
        <w:rPr>
          <w:bCs/>
        </w:rPr>
      </w:pPr>
      <w:r>
        <w:rPr>
          <w:bCs/>
        </w:rPr>
        <w:t>Zaman serilerinde veya yatay kesit bağımlılığında gözlemlenemeyen etkiler panel veri analiziyle daha iyi teşhis edilmektedir.</w:t>
      </w:r>
    </w:p>
    <w:p w:rsidR="00285765" w:rsidRDefault="00285765" w:rsidP="00447BB8">
      <w:pPr>
        <w:pStyle w:val="ListeParagraf"/>
        <w:numPr>
          <w:ilvl w:val="0"/>
          <w:numId w:val="17"/>
        </w:numPr>
        <w:spacing w:before="120" w:after="120" w:line="360" w:lineRule="auto"/>
        <w:jc w:val="both"/>
        <w:rPr>
          <w:bCs/>
        </w:rPr>
      </w:pPr>
      <w:r>
        <w:rPr>
          <w:bCs/>
        </w:rPr>
        <w:t xml:space="preserve">Panel veri analizinde dönemler arasında meydana gelen değişim ile mikro birimler arasındaki değişimi birleştirerek değişkenlik meydana getirmektedir. Bu da çoklu doğrusallığı azaltarak daha güvenli sonuçlar vermektedir. </w:t>
      </w:r>
    </w:p>
    <w:p w:rsidR="00285765" w:rsidRDefault="00285765" w:rsidP="00447BB8">
      <w:pPr>
        <w:pStyle w:val="ListeParagraf"/>
        <w:numPr>
          <w:ilvl w:val="0"/>
          <w:numId w:val="17"/>
        </w:numPr>
        <w:spacing w:before="120" w:after="120" w:line="360" w:lineRule="auto"/>
        <w:jc w:val="both"/>
        <w:rPr>
          <w:bCs/>
        </w:rPr>
      </w:pPr>
      <w:r>
        <w:rPr>
          <w:bCs/>
        </w:rPr>
        <w:t>Panel veri analizinde zaman ve yatay kesit bağımlılığı dikkate aldığı için yapılan tahminlerde heterojenliğin kontrol edilmesi, serbestlik derecesinin arttırılması ve daha güvenilir parametrelere ulaşılması gibi avantajlara sahiptir.</w:t>
      </w:r>
    </w:p>
    <w:p w:rsidR="00285765" w:rsidRDefault="00285765" w:rsidP="00447BB8">
      <w:pPr>
        <w:pStyle w:val="ListeParagraf"/>
        <w:numPr>
          <w:ilvl w:val="0"/>
          <w:numId w:val="17"/>
        </w:numPr>
        <w:spacing w:before="120" w:after="120" w:line="360" w:lineRule="auto"/>
        <w:jc w:val="both"/>
        <w:rPr>
          <w:bCs/>
        </w:rPr>
      </w:pPr>
      <w:r>
        <w:rPr>
          <w:bCs/>
        </w:rPr>
        <w:t>Kısa zaman serisi ve/veya yetersiz kesit gözleminin var olduğu durumlarda da ekonometrik analiz yapılmasına imkan verir.</w:t>
      </w:r>
    </w:p>
    <w:p w:rsidR="00285765" w:rsidRDefault="00285765" w:rsidP="00447BB8">
      <w:pPr>
        <w:pStyle w:val="ListeParagraf"/>
        <w:numPr>
          <w:ilvl w:val="0"/>
          <w:numId w:val="17"/>
        </w:numPr>
        <w:spacing w:before="120" w:after="120" w:line="360" w:lineRule="auto"/>
        <w:ind w:left="714" w:hanging="357"/>
        <w:jc w:val="both"/>
        <w:rPr>
          <w:bCs/>
        </w:rPr>
      </w:pPr>
      <w:r w:rsidRPr="003E6A5E">
        <w:t xml:space="preserve">Durağan olmayan zaman serisi analizinde T iken en küçük kareler </w:t>
      </w:r>
      <w:r>
        <w:t xml:space="preserve">(EKK) </w:t>
      </w:r>
      <w:r w:rsidRPr="003E6A5E">
        <w:t xml:space="preserve">veya maksimum olabilirlik tahmincilerinin dağılımları büyük örneklemde bilinen bir dağılıma yakınsamaz. </w:t>
      </w:r>
      <w:r>
        <w:t>Bunun için</w:t>
      </w:r>
      <w:r w:rsidRPr="003E6A5E">
        <w:t xml:space="preserve"> kritik değerler bilgisayar </w:t>
      </w:r>
      <w:r>
        <w:t xml:space="preserve">simülasyonlarıyla </w:t>
      </w:r>
      <w:r>
        <w:lastRenderedPageBreak/>
        <w:t>tahmin edilir. Y</w:t>
      </w:r>
      <w:r w:rsidRPr="003E6A5E">
        <w:t>atay kesit birimlerinin bağımsız olduğu panel veri</w:t>
      </w:r>
      <w:r>
        <w:t>lerde durum farklıdır. M</w:t>
      </w:r>
      <w:r w:rsidRPr="003E6A5E">
        <w:t>erkezi limit teoremleri kullanıl</w:t>
      </w:r>
      <w:r>
        <w:t>arak yatay kesitler boyunca bir</w:t>
      </w:r>
      <w:r w:rsidRPr="003E6A5E">
        <w:t>çok tahmincinin kısıtlayıcı dağılımlarının asimtotik olarak normal dağılımı gösterdiği ve Wald tipi test istatistiklerinin asimtotik olarak ki-kare dağılımına sahip olduğu gösterilebilir</w:t>
      </w:r>
      <w:r>
        <w:t>.</w:t>
      </w:r>
    </w:p>
    <w:p w:rsidR="00285765" w:rsidRDefault="00285765" w:rsidP="00696A93">
      <w:pPr>
        <w:spacing w:before="240" w:after="240" w:line="360" w:lineRule="auto"/>
        <w:ind w:firstLine="720"/>
        <w:jc w:val="both"/>
        <w:rPr>
          <w:bCs/>
        </w:rPr>
      </w:pPr>
      <w:r>
        <w:rPr>
          <w:bCs/>
        </w:rPr>
        <w:t>Panel verinin analizi kullanılmasında bazı dezavantajl</w:t>
      </w:r>
      <w:r w:rsidR="00F07FCF">
        <w:rPr>
          <w:bCs/>
        </w:rPr>
        <w:t>ı yönleri de</w:t>
      </w:r>
      <w:r>
        <w:rPr>
          <w:bCs/>
        </w:rPr>
        <w:t xml:space="preserve"> mevcuttur (Uğur, 2009: 40-43). </w:t>
      </w:r>
    </w:p>
    <w:p w:rsidR="00285765" w:rsidRDefault="00285765" w:rsidP="00447BB8">
      <w:pPr>
        <w:pStyle w:val="ListeParagraf"/>
        <w:numPr>
          <w:ilvl w:val="0"/>
          <w:numId w:val="21"/>
        </w:numPr>
        <w:spacing w:before="120" w:after="120" w:line="360" w:lineRule="auto"/>
        <w:jc w:val="both"/>
        <w:rPr>
          <w:bCs/>
        </w:rPr>
      </w:pPr>
      <w:r>
        <w:rPr>
          <w:bCs/>
        </w:rPr>
        <w:t>Veri seti oluşturmada karşılaşılan sorunlar.</w:t>
      </w:r>
    </w:p>
    <w:p w:rsidR="00285765" w:rsidRDefault="00285765" w:rsidP="00447BB8">
      <w:pPr>
        <w:pStyle w:val="ListeParagraf"/>
        <w:numPr>
          <w:ilvl w:val="0"/>
          <w:numId w:val="21"/>
        </w:numPr>
        <w:spacing w:before="120" w:after="120" w:line="360" w:lineRule="auto"/>
        <w:jc w:val="both"/>
        <w:rPr>
          <w:bCs/>
        </w:rPr>
      </w:pPr>
      <w:r w:rsidRPr="00F74651">
        <w:rPr>
          <w:bCs/>
        </w:rPr>
        <w:t>Yatay kesit ve zaman serisi birlikle alındığı için daha kamaşık modellerin kurulması</w:t>
      </w:r>
      <w:r>
        <w:rPr>
          <w:bCs/>
        </w:rPr>
        <w:t>.</w:t>
      </w:r>
    </w:p>
    <w:p w:rsidR="00285765" w:rsidRDefault="00285765" w:rsidP="00447BB8">
      <w:pPr>
        <w:pStyle w:val="ListeParagraf"/>
        <w:numPr>
          <w:ilvl w:val="0"/>
          <w:numId w:val="21"/>
        </w:numPr>
        <w:spacing w:before="120" w:after="120" w:line="360" w:lineRule="auto"/>
        <w:jc w:val="both"/>
        <w:rPr>
          <w:bCs/>
        </w:rPr>
      </w:pPr>
      <w:r>
        <w:rPr>
          <w:bCs/>
        </w:rPr>
        <w:t>Ölçüm hatalarının çarpıtılması (distortion)</w:t>
      </w:r>
    </w:p>
    <w:p w:rsidR="00285765" w:rsidRDefault="00285765" w:rsidP="00447BB8">
      <w:pPr>
        <w:pStyle w:val="ListeParagraf"/>
        <w:numPr>
          <w:ilvl w:val="0"/>
          <w:numId w:val="21"/>
        </w:numPr>
        <w:spacing w:before="120" w:after="120" w:line="360" w:lineRule="auto"/>
        <w:jc w:val="both"/>
        <w:rPr>
          <w:bCs/>
        </w:rPr>
      </w:pPr>
      <w:r>
        <w:rPr>
          <w:bCs/>
        </w:rPr>
        <w:t>Seçim Yanlılığı (self-selectivity)</w:t>
      </w:r>
    </w:p>
    <w:p w:rsidR="00285765" w:rsidRDefault="00285765" w:rsidP="00447BB8">
      <w:pPr>
        <w:pStyle w:val="ListeParagraf"/>
        <w:numPr>
          <w:ilvl w:val="0"/>
          <w:numId w:val="21"/>
        </w:numPr>
        <w:spacing w:before="120" w:after="120" w:line="360" w:lineRule="auto"/>
        <w:jc w:val="both"/>
        <w:rPr>
          <w:bCs/>
        </w:rPr>
      </w:pPr>
      <w:r>
        <w:rPr>
          <w:bCs/>
        </w:rPr>
        <w:t>Veri seti oluşturulurken deneklerden cevap alınamaması (nonresponse).</w:t>
      </w:r>
    </w:p>
    <w:p w:rsidR="00285765" w:rsidRDefault="00285765" w:rsidP="00447BB8">
      <w:pPr>
        <w:pStyle w:val="ListeParagraf"/>
        <w:numPr>
          <w:ilvl w:val="0"/>
          <w:numId w:val="21"/>
        </w:numPr>
        <w:spacing w:before="120" w:after="120" w:line="360" w:lineRule="auto"/>
        <w:jc w:val="both"/>
        <w:rPr>
          <w:bCs/>
        </w:rPr>
      </w:pPr>
      <w:r>
        <w:rPr>
          <w:bCs/>
        </w:rPr>
        <w:t>Aşınma (attrition)</w:t>
      </w:r>
    </w:p>
    <w:p w:rsidR="00C178B3" w:rsidRDefault="00C178B3" w:rsidP="00447BB8">
      <w:pPr>
        <w:pStyle w:val="ListeParagraf"/>
        <w:spacing w:before="240" w:after="240" w:line="360" w:lineRule="auto"/>
        <w:ind w:left="0" w:firstLine="720"/>
        <w:jc w:val="both"/>
        <w:rPr>
          <w:bCs/>
        </w:rPr>
      </w:pPr>
      <w:r>
        <w:rPr>
          <w:bCs/>
        </w:rPr>
        <w:t xml:space="preserve">Yukarıdaki dezavantajların yanında panel veri kullanmanın getirdiği bazı kısıtlamalar şunlardır: </w:t>
      </w:r>
    </w:p>
    <w:p w:rsidR="00C178B3" w:rsidRPr="00447BB8" w:rsidRDefault="00C178B3" w:rsidP="00E11AD2">
      <w:pPr>
        <w:pStyle w:val="ListeParagraf"/>
        <w:numPr>
          <w:ilvl w:val="0"/>
          <w:numId w:val="25"/>
        </w:numPr>
        <w:spacing w:before="120" w:after="120" w:line="360" w:lineRule="auto"/>
        <w:ind w:left="720"/>
        <w:jc w:val="both"/>
        <w:rPr>
          <w:bCs/>
        </w:rPr>
      </w:pPr>
      <w:r w:rsidRPr="00447BB8">
        <w:rPr>
          <w:bCs/>
        </w:rPr>
        <w:t xml:space="preserve">Panel veri ile yapılan çalışmalarda en önemli problem, verilere ulaşmak ve verileri düzenlemektir. </w:t>
      </w:r>
    </w:p>
    <w:p w:rsidR="00C178B3" w:rsidRPr="00447BB8" w:rsidRDefault="00C178B3" w:rsidP="00E11AD2">
      <w:pPr>
        <w:pStyle w:val="ListeParagraf"/>
        <w:numPr>
          <w:ilvl w:val="0"/>
          <w:numId w:val="25"/>
        </w:numPr>
        <w:spacing w:before="120" w:after="120" w:line="360" w:lineRule="auto"/>
        <w:ind w:left="720"/>
        <w:jc w:val="both"/>
        <w:rPr>
          <w:bCs/>
        </w:rPr>
      </w:pPr>
      <w:r w:rsidRPr="00447BB8">
        <w:rPr>
          <w:bCs/>
        </w:rPr>
        <w:t xml:space="preserve">Veri yapılarına göre, veri toplamanın ciddi bir maliyeti söz konusudur. Bu maliyet bir bireyi en az iki zaman noktasında ölçme maliyetinin yanı sıra, aynı bireyi zaman boyunca izleme zorluğundan da ileri gelir. Bu ikinci nokta, uygulamada ciddi problemler yaratır. </w:t>
      </w:r>
    </w:p>
    <w:p w:rsidR="00C178B3" w:rsidRPr="00447BB8" w:rsidRDefault="00447BB8" w:rsidP="00E11AD2">
      <w:pPr>
        <w:pStyle w:val="ListeParagraf"/>
        <w:numPr>
          <w:ilvl w:val="0"/>
          <w:numId w:val="25"/>
        </w:numPr>
        <w:spacing w:before="120" w:after="120" w:line="360" w:lineRule="auto"/>
        <w:ind w:left="720"/>
        <w:jc w:val="both"/>
        <w:rPr>
          <w:bCs/>
        </w:rPr>
      </w:pPr>
      <w:r>
        <w:rPr>
          <w:bCs/>
        </w:rPr>
        <w:t>S</w:t>
      </w:r>
      <w:r w:rsidR="00C178B3" w:rsidRPr="00447BB8">
        <w:rPr>
          <w:bCs/>
        </w:rPr>
        <w:t>ansürlü gözlemler ve özellikle anket çalışmalarında çeşitli nedenlerden dolayı cevapsız kalan sorular nedeni ile de verilerin kısıtlanması mümkündür.</w:t>
      </w:r>
    </w:p>
    <w:p w:rsidR="00C178B3" w:rsidRPr="00447BB8" w:rsidRDefault="00C178B3" w:rsidP="00E11AD2">
      <w:pPr>
        <w:pStyle w:val="ListeParagraf"/>
        <w:numPr>
          <w:ilvl w:val="0"/>
          <w:numId w:val="25"/>
        </w:numPr>
        <w:spacing w:before="120" w:after="120" w:line="360" w:lineRule="auto"/>
        <w:ind w:left="720"/>
        <w:jc w:val="both"/>
        <w:rPr>
          <w:bCs/>
        </w:rPr>
      </w:pPr>
      <w:r w:rsidRPr="00447BB8">
        <w:rPr>
          <w:bCs/>
        </w:rPr>
        <w:t>Panel veride genellikle, birim boyutu fazla olmasına rağmen zaman boyutu kısadır. Bu da, özellikle doğrusal olmayan panel veri modellerinde çözülmesi zor ekonometrik problem</w:t>
      </w:r>
      <w:r w:rsidR="0028565C" w:rsidRPr="00447BB8">
        <w:rPr>
          <w:bCs/>
        </w:rPr>
        <w:t xml:space="preserve">ler </w:t>
      </w:r>
      <w:r w:rsidRPr="00447BB8">
        <w:rPr>
          <w:bCs/>
        </w:rPr>
        <w:t>yaratır.</w:t>
      </w:r>
    </w:p>
    <w:p w:rsidR="00E33ACD" w:rsidRDefault="006B2394" w:rsidP="00E33ACD">
      <w:pPr>
        <w:pStyle w:val="Balk2"/>
        <w:numPr>
          <w:ilvl w:val="1"/>
          <w:numId w:val="5"/>
        </w:numPr>
      </w:pPr>
      <w:r>
        <w:lastRenderedPageBreak/>
        <w:t xml:space="preserve"> </w:t>
      </w:r>
      <w:bookmarkStart w:id="169" w:name="_Toc384824027"/>
      <w:r w:rsidR="00BD5993">
        <w:t>PANEL VERİ MODELLERİ</w:t>
      </w:r>
      <w:bookmarkEnd w:id="169"/>
    </w:p>
    <w:p w:rsidR="001746CF" w:rsidRDefault="001746CF" w:rsidP="00974745">
      <w:pPr>
        <w:spacing w:before="240" w:after="240" w:line="360" w:lineRule="auto"/>
        <w:ind w:firstLine="706"/>
        <w:jc w:val="both"/>
      </w:pPr>
      <w:r>
        <w:t xml:space="preserve">Y bağımlı değişkeni hem birimden birime hem de zaman periyodunda farklı değerler alan bir değişken ise, bu değişken yatay kesit birimleri için </w:t>
      </w:r>
      <w:r w:rsidRPr="001746CF">
        <w:rPr>
          <w:i/>
        </w:rPr>
        <w:t>i</w:t>
      </w:r>
      <w:r>
        <w:t xml:space="preserve">, zaman periyodu birimi için </w:t>
      </w:r>
      <w:r w:rsidRPr="001746CF">
        <w:rPr>
          <w:i/>
        </w:rPr>
        <w:t>t</w:t>
      </w:r>
      <w:r>
        <w:t xml:space="preserve"> alt indisleriyle gösterilir.</w:t>
      </w:r>
    </w:p>
    <w:p w:rsidR="001746CF" w:rsidRDefault="00E56A11" w:rsidP="00E11AD2">
      <w:pPr>
        <w:spacing w:before="240" w:after="240" w:line="360" w:lineRule="auto"/>
        <w:jc w:val="both"/>
      </w:pP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 xml:space="preserve"> :    i=1,2,…N   ve t=1,2,…T                                                                                 (4.2)</m:t>
        </m:r>
      </m:oMath>
      <w:r w:rsidR="001746CF">
        <w:t xml:space="preserve">       </w:t>
      </w:r>
      <w:r w:rsidR="00BE0650">
        <w:tab/>
        <w:t xml:space="preserve">Panel veri analizinde tüm katsayıların ortak ve değişmeyen bir en küçük kareler yöntemi </w:t>
      </w:r>
      <w:r w:rsidR="00BE0650" w:rsidRPr="00E11AD2">
        <w:rPr>
          <w:i/>
        </w:rPr>
        <w:t>(EKK)</w:t>
      </w:r>
      <w:r w:rsidR="00BE0650">
        <w:t xml:space="preserve"> her zaman doğru sonuçlar vermeyebilir. Çünkü bu modelde hesaba katılmayan değişkenlerin bir hata terimiyle açıklanması beklenir. Ancak modele alınmayan değişkenlerin bir kısmı zamandan bağımsız ve bir kısmı ise birimlerden bağımsız olabilmektedir. Bu durumda uygulanacak olan </w:t>
      </w:r>
      <w:r w:rsidR="00BE0650" w:rsidRPr="00E11AD2">
        <w:rPr>
          <w:i/>
        </w:rPr>
        <w:t>EKK</w:t>
      </w:r>
      <w:r w:rsidR="00BE0650">
        <w:t xml:space="preserve"> doğru sonuçlar vereceği şüphelidir (Uğur, 2009: 43). </w:t>
      </w:r>
      <w:r w:rsidR="001746CF">
        <w:tab/>
      </w:r>
      <w:r w:rsidR="00BE0650">
        <w:t>Tüm faktörlerin modele alındığı bir panel veri modeli aşağıdaki gibidir:</w:t>
      </w:r>
      <w:r w:rsidR="001746CF">
        <w:tab/>
      </w:r>
    </w:p>
    <w:p w:rsidR="00BE0650" w:rsidRDefault="00E56A11" w:rsidP="00BE0650">
      <w:pPr>
        <w:spacing w:before="240" w:after="240" w:line="360" w:lineRule="auto"/>
        <w:rPr>
          <w:i/>
        </w:rPr>
      </w:pP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nary>
          <m:naryPr>
            <m:chr m:val="∑"/>
            <m:limLoc m:val="undOvr"/>
            <m:ctrlPr>
              <w:rPr>
                <w:rFonts w:ascii="Cambria Math" w:hAnsi="Cambria Math"/>
                <w:i/>
              </w:rPr>
            </m:ctrlPr>
          </m:naryPr>
          <m:sub>
            <m:r>
              <w:rPr>
                <w:rFonts w:ascii="Cambria Math" w:hAnsi="Cambria Math"/>
              </w:rPr>
              <m:t>j=2</m:t>
            </m:r>
          </m:sub>
          <m:sup>
            <m:r>
              <w:rPr>
                <w:rFonts w:ascii="Cambria Math" w:hAnsi="Cambria Math"/>
              </w:rPr>
              <m:t>k</m:t>
            </m:r>
          </m:sup>
          <m:e>
            <m:sSub>
              <m:sSubPr>
                <m:ctrlPr>
                  <w:rPr>
                    <w:rFonts w:ascii="Cambria Math" w:hAnsi="Cambria Math"/>
                    <w:i/>
                  </w:rPr>
                </m:ctrlPr>
              </m:sSubPr>
              <m:e>
                <m:r>
                  <w:rPr>
                    <w:rFonts w:ascii="Cambria Math" w:hAnsi="Cambria Math"/>
                  </w:rPr>
                  <m:t>β</m:t>
                </m:r>
              </m:e>
              <m:sub>
                <m:r>
                  <w:rPr>
                    <w:rFonts w:ascii="Cambria Math" w:hAnsi="Cambria Math"/>
                  </w:rPr>
                  <m:t>j</m:t>
                </m:r>
              </m:sub>
            </m:sSub>
          </m:e>
        </m:nary>
        <m:sSub>
          <m:sSubPr>
            <m:ctrlPr>
              <w:rPr>
                <w:rFonts w:ascii="Cambria Math" w:hAnsi="Cambria Math"/>
                <w:i/>
              </w:rPr>
            </m:ctrlPr>
          </m:sSubPr>
          <m:e>
            <m:r>
              <w:rPr>
                <w:rFonts w:ascii="Cambria Math" w:hAnsi="Cambria Math"/>
              </w:rPr>
              <m:t>X</m:t>
            </m:r>
          </m:e>
          <m:sub>
            <m:r>
              <w:rPr>
                <w:rFonts w:ascii="Cambria Math" w:hAnsi="Cambria Math"/>
              </w:rPr>
              <m:t>jit</m:t>
            </m:r>
          </m:sub>
        </m:sSub>
        <m:r>
          <w:rPr>
            <w:rFonts w:ascii="Cambria Math" w:hAnsi="Cambria Math"/>
          </w:rPr>
          <m:t>+</m:t>
        </m:r>
        <m:nary>
          <m:naryPr>
            <m:chr m:val="∑"/>
            <m:limLoc m:val="undOvr"/>
            <m:ctrlPr>
              <w:rPr>
                <w:rFonts w:ascii="Cambria Math" w:hAnsi="Cambria Math"/>
                <w:i/>
              </w:rPr>
            </m:ctrlPr>
          </m:naryPr>
          <m:sub>
            <m:r>
              <w:rPr>
                <w:rFonts w:ascii="Cambria Math" w:hAnsi="Cambria Math"/>
              </w:rPr>
              <m:t>p=1</m:t>
            </m:r>
          </m:sub>
          <m:sup>
            <m:r>
              <w:rPr>
                <w:rFonts w:ascii="Cambria Math" w:hAnsi="Cambria Math"/>
              </w:rPr>
              <m:t>s</m:t>
            </m:r>
          </m:sup>
          <m:e>
            <m:sSub>
              <m:sSubPr>
                <m:ctrlPr>
                  <w:rPr>
                    <w:rFonts w:ascii="Cambria Math" w:hAnsi="Cambria Math"/>
                    <w:i/>
                  </w:rPr>
                </m:ctrlPr>
              </m:sSubPr>
              <m:e>
                <m:r>
                  <w:rPr>
                    <w:rFonts w:ascii="Cambria Math" w:hAnsi="Cambria Math"/>
                  </w:rPr>
                  <m:t>γ</m:t>
                </m:r>
              </m:e>
              <m:sub>
                <m:r>
                  <w:rPr>
                    <w:rFonts w:ascii="Cambria Math" w:hAnsi="Cambria Math"/>
                  </w:rPr>
                  <m:t>p</m:t>
                </m:r>
              </m:sub>
            </m:sSub>
          </m:e>
        </m:nary>
        <m:sSub>
          <m:sSubPr>
            <m:ctrlPr>
              <w:rPr>
                <w:rFonts w:ascii="Cambria Math" w:hAnsi="Cambria Math"/>
                <w:i/>
              </w:rPr>
            </m:ctrlPr>
          </m:sSubPr>
          <m:e>
            <m:r>
              <w:rPr>
                <w:rFonts w:ascii="Cambria Math" w:hAnsi="Cambria Math"/>
              </w:rPr>
              <m:t>Z</m:t>
            </m:r>
          </m:e>
          <m:sub>
            <m:r>
              <w:rPr>
                <w:rFonts w:ascii="Cambria Math" w:hAnsi="Cambria Math"/>
              </w:rPr>
              <m:t>pi</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 xml:space="preserve">it </m:t>
            </m:r>
          </m:sub>
        </m:sSub>
        <m:r>
          <w:rPr>
            <w:rFonts w:ascii="Cambria Math" w:hAnsi="Cambria Math"/>
          </w:rPr>
          <m:t xml:space="preserve">  i=1,2,…N  ve t=1,2,…T    (4.3)</m:t>
        </m:r>
      </m:oMath>
      <w:r w:rsidR="00BE0650">
        <w:t xml:space="preserve">        </w:t>
      </w:r>
    </w:p>
    <w:p w:rsidR="00BE0650" w:rsidRDefault="00100DFE" w:rsidP="00E11AD2">
      <w:pPr>
        <w:spacing w:before="240" w:after="240" w:line="360" w:lineRule="auto"/>
        <w:jc w:val="both"/>
      </w:pPr>
      <w:r>
        <w:tab/>
        <w:t xml:space="preserve">Denklem </w:t>
      </w:r>
      <w:proofErr w:type="gramStart"/>
      <w:r>
        <w:t>4.3’te</w:t>
      </w:r>
      <w:proofErr w:type="gramEnd"/>
      <w:r>
        <w:t xml:space="preserve"> </w:t>
      </w:r>
      <w:r w:rsidRPr="00E11AD2">
        <w:rPr>
          <w:i/>
        </w:rPr>
        <w:t>Y</w:t>
      </w:r>
      <w:r>
        <w:t xml:space="preserve"> bağımlı değişkeni,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t xml:space="preserve">’ler açıklanan bağımsız değişkeni ve </w:t>
      </w:r>
      <m:oMath>
        <m:sSub>
          <m:sSubPr>
            <m:ctrlPr>
              <w:rPr>
                <w:rFonts w:ascii="Cambria Math" w:hAnsi="Cambria Math"/>
                <w:i/>
              </w:rPr>
            </m:ctrlPr>
          </m:sSubPr>
          <m:e>
            <m:r>
              <w:rPr>
                <w:rFonts w:ascii="Cambria Math" w:hAnsi="Cambria Math"/>
              </w:rPr>
              <m:t>Z</m:t>
            </m:r>
          </m:e>
          <m:sub>
            <m:r>
              <w:rPr>
                <w:rFonts w:ascii="Cambria Math" w:hAnsi="Cambria Math"/>
              </w:rPr>
              <m:t>p</m:t>
            </m:r>
          </m:sub>
        </m:sSub>
      </m:oMath>
      <w:r>
        <w:t xml:space="preserve">’ler açıklanamayan bağımsız değişkenleri göstermektedir. Ayrıca i indisi yatay kesit boyutunu, </w:t>
      </w:r>
      <w:r w:rsidRPr="00E11AD2">
        <w:rPr>
          <w:i/>
        </w:rPr>
        <w:t>t</w:t>
      </w:r>
      <w:r>
        <w:t xml:space="preserve"> indisi zaman </w:t>
      </w:r>
      <w:r w:rsidR="00E74D8F">
        <w:t xml:space="preserve">periyodunu ve </w:t>
      </w:r>
      <w:r w:rsidR="00E74D8F" w:rsidRPr="00E11AD2">
        <w:rPr>
          <w:i/>
        </w:rPr>
        <w:t>j</w:t>
      </w:r>
      <w:r w:rsidR="00E74D8F">
        <w:t xml:space="preserve"> ile </w:t>
      </w:r>
      <w:r w:rsidR="00E74D8F" w:rsidRPr="00E11AD2">
        <w:rPr>
          <w:i/>
        </w:rPr>
        <w:t>p</w:t>
      </w:r>
      <w:r w:rsidR="00E74D8F">
        <w:t xml:space="preserve"> indisleri farklı gözlemlenen ve açıklanamayan değişkenleri için kullanılmıştır. Modelimizdeki  </w:t>
      </w:r>
      <m:oMath>
        <m:sSub>
          <m:sSubPr>
            <m:ctrlPr>
              <w:rPr>
                <w:rFonts w:ascii="Cambria Math" w:hAnsi="Cambria Math"/>
                <w:i/>
              </w:rPr>
            </m:ctrlPr>
          </m:sSubPr>
          <m:e>
            <m:r>
              <w:rPr>
                <w:rFonts w:ascii="Cambria Math" w:hAnsi="Cambria Math"/>
              </w:rPr>
              <m:t>ε</m:t>
            </m:r>
          </m:e>
          <m:sub>
            <m:r>
              <w:rPr>
                <w:rFonts w:ascii="Cambria Math" w:hAnsi="Cambria Math"/>
              </w:rPr>
              <m:t xml:space="preserve">it </m:t>
            </m:r>
          </m:sub>
        </m:sSub>
      </m:oMath>
      <w:r w:rsidR="00E11AD2">
        <w:t xml:space="preserve"> </w:t>
      </w:r>
      <w:r w:rsidR="00E74D8F">
        <w:t>ise klasik hata terimdir, yani:</w:t>
      </w:r>
    </w:p>
    <w:p w:rsidR="00E74D8F" w:rsidRDefault="00E74D8F" w:rsidP="00E11AD2">
      <w:pPr>
        <w:spacing w:before="240" w:after="240" w:line="360" w:lineRule="auto"/>
        <w:jc w:val="both"/>
      </w:pPr>
      <w:r>
        <w:t xml:space="preserve">Bütün </w:t>
      </w:r>
      <w:r w:rsidRPr="00E74D8F">
        <w:rPr>
          <w:i/>
        </w:rPr>
        <w:t>i</w:t>
      </w:r>
      <w:r>
        <w:t xml:space="preserve"> ve </w:t>
      </w:r>
      <w:r w:rsidRPr="00E74D8F">
        <w:rPr>
          <w:i/>
        </w:rPr>
        <w:t>t</w:t>
      </w:r>
      <w:r>
        <w:t xml:space="preserve">’ler için </w:t>
      </w: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 xml:space="preserve">it </m:t>
                </m:r>
              </m:sub>
            </m:sSub>
          </m:e>
        </m:d>
        <m:r>
          <w:rPr>
            <w:rFonts w:ascii="Cambria Math" w:hAnsi="Cambria Math"/>
          </w:rPr>
          <m:t>=0, E</m:t>
        </m:r>
        <m:d>
          <m:dPr>
            <m:ctrlPr>
              <w:rPr>
                <w:rFonts w:ascii="Cambria Math" w:hAnsi="Cambria Math"/>
                <w:i/>
              </w:rPr>
            </m:ctrlPr>
          </m:dPr>
          <m:e>
            <m:sSubSup>
              <m:sSubSupPr>
                <m:ctrlPr>
                  <w:rPr>
                    <w:rFonts w:ascii="Cambria Math" w:hAnsi="Cambria Math"/>
                    <w:i/>
                  </w:rPr>
                </m:ctrlPr>
              </m:sSubSupPr>
              <m:e>
                <m:r>
                  <w:rPr>
                    <w:rFonts w:ascii="Cambria Math" w:hAnsi="Cambria Math"/>
                  </w:rPr>
                  <m:t>ε</m:t>
                </m:r>
              </m:e>
              <m:sub>
                <m:r>
                  <w:rPr>
                    <w:rFonts w:ascii="Cambria Math" w:hAnsi="Cambria Math"/>
                  </w:rPr>
                  <m:t>it</m:t>
                </m:r>
              </m:sub>
              <m:sup>
                <m:r>
                  <w:rPr>
                    <w:rFonts w:ascii="Cambria Math" w:hAnsi="Cambria Math"/>
                  </w:rPr>
                  <m:t>2</m:t>
                </m:r>
              </m:sup>
            </m:sSubSup>
          </m:e>
        </m:d>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ε</m:t>
            </m:r>
          </m:sub>
          <m:sup>
            <m:r>
              <w:rPr>
                <w:rFonts w:ascii="Cambria Math" w:hAnsi="Cambria Math"/>
              </w:rPr>
              <m:t>2</m:t>
            </m:r>
          </m:sup>
        </m:sSubSup>
      </m:oMath>
    </w:p>
    <w:p w:rsidR="005D3041" w:rsidRPr="001919BA" w:rsidRDefault="005D3041" w:rsidP="00E11AD2">
      <w:pPr>
        <w:spacing w:before="240" w:after="240" w:line="360" w:lineRule="auto"/>
        <w:jc w:val="both"/>
      </w:pPr>
      <w:r>
        <w:t xml:space="preserve">Bütün </w:t>
      </w:r>
      <w:r w:rsidRPr="00E74D8F">
        <w:rPr>
          <w:i/>
        </w:rPr>
        <w:t>i</w:t>
      </w:r>
      <w:r>
        <w:rPr>
          <w:i/>
        </w:rPr>
        <w:t>,j</w:t>
      </w:r>
      <w:r>
        <w:t xml:space="preserve"> ve </w:t>
      </w:r>
      <w:r w:rsidRPr="00E74D8F">
        <w:rPr>
          <w:i/>
        </w:rPr>
        <w:t>t</w:t>
      </w:r>
      <m:oMath>
        <m:r>
          <w:rPr>
            <w:rFonts w:ascii="Cambria Math" w:hAnsi="Cambria Math"/>
          </w:rPr>
          <m:t>≠s,</m:t>
        </m:r>
      </m:oMath>
      <w:r>
        <w:t xml:space="preserve">  </w:t>
      </w: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 xml:space="preserve">it </m:t>
                </m:r>
              </m:sub>
            </m:sSub>
            <m:sSub>
              <m:sSubPr>
                <m:ctrlPr>
                  <w:rPr>
                    <w:rFonts w:ascii="Cambria Math" w:hAnsi="Cambria Math"/>
                    <w:i/>
                  </w:rPr>
                </m:ctrlPr>
              </m:sSubPr>
              <m:e>
                <m:r>
                  <w:rPr>
                    <w:rFonts w:ascii="Cambria Math" w:hAnsi="Cambria Math"/>
                  </w:rPr>
                  <m:t>ε</m:t>
                </m:r>
              </m:e>
              <m:sub>
                <m:r>
                  <w:rPr>
                    <w:rFonts w:ascii="Cambria Math" w:hAnsi="Cambria Math"/>
                  </w:rPr>
                  <m:t xml:space="preserve">js </m:t>
                </m:r>
              </m:sub>
            </m:sSub>
          </m:e>
        </m:d>
        <m:r>
          <w:rPr>
            <w:rFonts w:ascii="Cambria Math" w:hAnsi="Cambria Math"/>
          </w:rPr>
          <m:t>=0, ve</m:t>
        </m:r>
      </m:oMath>
      <w:r>
        <w:t xml:space="preserve">                                                                    </w:t>
      </w:r>
      <w:r w:rsidR="00301877">
        <w:t xml:space="preserve"> </w:t>
      </w:r>
      <w:r>
        <w:t xml:space="preserve">   (</w:t>
      </w:r>
      <w:proofErr w:type="gramStart"/>
      <w:r>
        <w:t>4.4</w:t>
      </w:r>
      <w:proofErr w:type="gramEnd"/>
      <w:r>
        <w:t>)</w:t>
      </w:r>
    </w:p>
    <w:p w:rsidR="005D3041" w:rsidRDefault="005D3041" w:rsidP="00E11AD2">
      <w:pPr>
        <w:spacing w:before="240" w:after="240" w:line="360" w:lineRule="auto"/>
        <w:jc w:val="both"/>
      </w:pPr>
      <w:r>
        <w:t xml:space="preserve">Bütün </w:t>
      </w:r>
      <w:r w:rsidRPr="00E74D8F">
        <w:rPr>
          <w:i/>
        </w:rPr>
        <w:t>i</w:t>
      </w:r>
      <w:r>
        <w:t xml:space="preserve"> ve </w:t>
      </w:r>
      <w:r w:rsidRPr="00E74D8F">
        <w:rPr>
          <w:i/>
        </w:rPr>
        <w:t>t</w:t>
      </w:r>
      <w:r>
        <w:t xml:space="preserve">’ler için  </w:t>
      </w:r>
      <m:oMath>
        <m:r>
          <w:rPr>
            <w:rFonts w:ascii="Cambria Math" w:hAnsi="Cambria Math"/>
          </w:rPr>
          <m:t xml:space="preserve"> E</m:t>
        </m:r>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 xml:space="preserve">it </m:t>
                </m:r>
              </m:sub>
            </m:sSub>
            <m:r>
              <w:rPr>
                <w:rFonts w:ascii="Cambria Math" w:hAnsi="Cambria Math"/>
              </w:rPr>
              <m:t>ǀ X</m:t>
            </m:r>
          </m:e>
        </m:d>
        <m:r>
          <w:rPr>
            <w:rFonts w:ascii="Cambria Math" w:hAnsi="Cambria Math"/>
          </w:rPr>
          <m:t xml:space="preserve">=0, </m:t>
        </m:r>
      </m:oMath>
    </w:p>
    <w:p w:rsidR="005D3041" w:rsidRDefault="005D3041" w:rsidP="00E11AD2">
      <w:pPr>
        <w:spacing w:before="240" w:after="240" w:line="360" w:lineRule="auto"/>
        <w:jc w:val="both"/>
      </w:pPr>
      <w:r>
        <w:tab/>
      </w:r>
      <w:r w:rsidR="00744483">
        <w:t xml:space="preserve">Model </w:t>
      </w:r>
      <w:proofErr w:type="gramStart"/>
      <w:r w:rsidR="00744483">
        <w:t>4.3’te</w:t>
      </w:r>
      <w:proofErr w:type="gramEnd"/>
      <w:r w:rsidR="00744483">
        <w:t xml:space="preserve"> sabit terimin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744483">
        <w:t xml:space="preserve">) zamana bağlı olarak değişmesini engellemek için eğilim terimi </w:t>
      </w:r>
      <w:r w:rsidR="00744483" w:rsidRPr="00744483">
        <w:rPr>
          <w:i/>
        </w:rPr>
        <w:t>t</w:t>
      </w:r>
      <w:r w:rsidR="00744483">
        <w:t xml:space="preserve"> modele ilave edilmiştir. </w:t>
      </w:r>
      <w:r w:rsidR="00E41110">
        <w:t>Eklenen bu terim sürekli bir değişimin olduğunu örtük olarak varsayar, fakat sürekli bir değişimin olduğu varsayımı görünemiyorsa eğilim terimi yerine referans dönemi hariç her bir zaman dönemi için bir kukla değişken kullanılabilir (Uğur, 2009: 43-44).</w:t>
      </w:r>
    </w:p>
    <w:p w:rsidR="00E41110" w:rsidRDefault="00E41110" w:rsidP="00E11AD2">
      <w:pPr>
        <w:spacing w:before="240" w:after="240" w:line="360" w:lineRule="auto"/>
        <w:jc w:val="both"/>
      </w:pPr>
      <w:r>
        <w:tab/>
        <w:t xml:space="preserve">Panel veri analizlerinde kullanılan modellerde </w:t>
      </w:r>
      <w:r w:rsidR="00227CC1">
        <w:t xml:space="preserve">birimlere ve zamana göre verilerde meydana gelen değişkenlikler </w:t>
      </w:r>
      <w:r w:rsidR="00974745">
        <w:t>modelin katsayısında</w:t>
      </w:r>
      <w:r w:rsidR="00227CC1">
        <w:t xml:space="preserve"> değişmeye neden olabilir. </w:t>
      </w:r>
      <w:r w:rsidR="00227CC1">
        <w:lastRenderedPageBreak/>
        <w:t>Bu tür değişiklikler sabit terimde olduğu gibi hem sabit hem de eğitim katsayılarında da olabilmektedir. Panel veri modelleri yatay kesit ve zaman boyutundaki değişmeleri yakalayabilmek için değişik şekilde modeller kurabiliriz (Hsiao, 2003:</w:t>
      </w:r>
      <w:r w:rsidR="00974745">
        <w:t xml:space="preserve"> </w:t>
      </w:r>
      <w:r w:rsidR="00227CC1">
        <w:t>15):</w:t>
      </w:r>
    </w:p>
    <w:p w:rsidR="005D3041" w:rsidRDefault="00227CC1" w:rsidP="00E11AD2">
      <w:pPr>
        <w:pStyle w:val="ListeParagraf"/>
        <w:numPr>
          <w:ilvl w:val="0"/>
          <w:numId w:val="22"/>
        </w:numPr>
        <w:spacing w:before="120" w:after="120" w:line="360" w:lineRule="auto"/>
        <w:jc w:val="both"/>
      </w:pPr>
      <w:r>
        <w:t>Eğim katsayılarının sabit, kesişim yatay kesit birimlerine bağlı değiştiği model:</w:t>
      </w:r>
    </w:p>
    <w:p w:rsidR="00227CC1" w:rsidRPr="00227CC1" w:rsidRDefault="00E56A11" w:rsidP="00E11AD2">
      <w:pPr>
        <w:spacing w:before="120" w:after="120" w:line="360" w:lineRule="auto"/>
        <w:ind w:left="705"/>
        <w:rPr>
          <w:i/>
        </w:rPr>
      </w:pP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sSub>
              <m:sSubPr>
                <m:ctrlPr>
                  <w:rPr>
                    <w:rFonts w:ascii="Cambria Math" w:hAnsi="Cambria Math"/>
                    <w:i/>
                  </w:rPr>
                </m:ctrlPr>
              </m:sSubPr>
              <m:e>
                <m:r>
                  <w:rPr>
                    <w:rFonts w:ascii="Cambria Math" w:hAnsi="Cambria Math"/>
                  </w:rPr>
                  <m:t>β</m:t>
                </m:r>
              </m:e>
              <m:sub>
                <m:r>
                  <w:rPr>
                    <w:rFonts w:ascii="Cambria Math" w:hAnsi="Cambria Math"/>
                  </w:rPr>
                  <m:t>j</m:t>
                </m:r>
              </m:sub>
            </m:sSub>
          </m:e>
        </m:nary>
        <m:sSub>
          <m:sSubPr>
            <m:ctrlPr>
              <w:rPr>
                <w:rFonts w:ascii="Cambria Math" w:hAnsi="Cambria Math"/>
                <w:i/>
              </w:rPr>
            </m:ctrlPr>
          </m:sSubPr>
          <m:e>
            <m:r>
              <w:rPr>
                <w:rFonts w:ascii="Cambria Math" w:hAnsi="Cambria Math"/>
              </w:rPr>
              <m:t>X</m:t>
            </m:r>
          </m:e>
          <m:sub>
            <m:r>
              <w:rPr>
                <w:rFonts w:ascii="Cambria Math" w:hAnsi="Cambria Math"/>
              </w:rPr>
              <m:t>jit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 xml:space="preserve">it </m:t>
            </m:r>
          </m:sub>
        </m:sSub>
        <m:r>
          <w:rPr>
            <w:rFonts w:ascii="Cambria Math" w:hAnsi="Cambria Math"/>
          </w:rPr>
          <m:t xml:space="preserve">                                                                                 (4.5)</m:t>
        </m:r>
      </m:oMath>
      <w:r w:rsidR="00227CC1">
        <w:t xml:space="preserve">        </w:t>
      </w:r>
    </w:p>
    <w:p w:rsidR="00227CC1" w:rsidRDefault="002D340B" w:rsidP="00E11AD2">
      <w:pPr>
        <w:pStyle w:val="ListeParagraf"/>
        <w:numPr>
          <w:ilvl w:val="0"/>
          <w:numId w:val="22"/>
        </w:numPr>
        <w:spacing w:before="120" w:after="120" w:line="360" w:lineRule="auto"/>
        <w:jc w:val="both"/>
      </w:pPr>
      <w:r>
        <w:t>Eğim katsayılarının sabit, kesişimin yatay kesit birimleri ve zamanla birlikte değiştiği model:</w:t>
      </w:r>
    </w:p>
    <w:p w:rsidR="002D340B" w:rsidRPr="002D340B" w:rsidRDefault="00E56A11" w:rsidP="00E11AD2">
      <w:pPr>
        <w:spacing w:before="120" w:after="120" w:line="360" w:lineRule="auto"/>
        <w:ind w:left="705"/>
        <w:rPr>
          <w:i/>
        </w:rPr>
      </w:pP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sSub>
              <m:sSubPr>
                <m:ctrlPr>
                  <w:rPr>
                    <w:rFonts w:ascii="Cambria Math" w:hAnsi="Cambria Math"/>
                    <w:i/>
                  </w:rPr>
                </m:ctrlPr>
              </m:sSubPr>
              <m:e>
                <m:r>
                  <w:rPr>
                    <w:rFonts w:ascii="Cambria Math" w:hAnsi="Cambria Math"/>
                  </w:rPr>
                  <m:t>β</m:t>
                </m:r>
              </m:e>
              <m:sub>
                <m:r>
                  <w:rPr>
                    <w:rFonts w:ascii="Cambria Math" w:hAnsi="Cambria Math"/>
                  </w:rPr>
                  <m:t>j</m:t>
                </m:r>
              </m:sub>
            </m:sSub>
          </m:e>
        </m:nary>
        <m:sSub>
          <m:sSubPr>
            <m:ctrlPr>
              <w:rPr>
                <w:rFonts w:ascii="Cambria Math" w:hAnsi="Cambria Math"/>
                <w:i/>
              </w:rPr>
            </m:ctrlPr>
          </m:sSubPr>
          <m:e>
            <m:r>
              <w:rPr>
                <w:rFonts w:ascii="Cambria Math" w:hAnsi="Cambria Math"/>
              </w:rPr>
              <m:t>X</m:t>
            </m:r>
          </m:e>
          <m:sub>
            <m:r>
              <w:rPr>
                <w:rFonts w:ascii="Cambria Math" w:hAnsi="Cambria Math"/>
              </w:rPr>
              <m:t>jit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 xml:space="preserve">it </m:t>
            </m:r>
          </m:sub>
        </m:sSub>
        <m:r>
          <w:rPr>
            <w:rFonts w:ascii="Cambria Math" w:hAnsi="Cambria Math"/>
          </w:rPr>
          <m:t xml:space="preserve">                                                                                (4.6)</m:t>
        </m:r>
      </m:oMath>
      <w:r w:rsidR="002D340B">
        <w:t xml:space="preserve">        </w:t>
      </w:r>
    </w:p>
    <w:p w:rsidR="002D340B" w:rsidRDefault="002D340B" w:rsidP="00E11AD2">
      <w:pPr>
        <w:pStyle w:val="ListeParagraf"/>
        <w:numPr>
          <w:ilvl w:val="0"/>
          <w:numId w:val="22"/>
        </w:numPr>
        <w:spacing w:before="120" w:after="120" w:line="360" w:lineRule="auto"/>
        <w:jc w:val="both"/>
      </w:pPr>
      <w:r>
        <w:t>Bütün katsayıların yatay kesit birimlerine bağlı olarak değiştiği model:</w:t>
      </w:r>
    </w:p>
    <w:p w:rsidR="002D340B" w:rsidRPr="001919BA" w:rsidRDefault="00E56A11" w:rsidP="00E11AD2">
      <w:pPr>
        <w:spacing w:before="120" w:after="120" w:line="360" w:lineRule="auto"/>
        <w:ind w:left="705"/>
        <w:jc w:val="both"/>
      </w:pP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sSub>
              <m:sSubPr>
                <m:ctrlPr>
                  <w:rPr>
                    <w:rFonts w:ascii="Cambria Math" w:hAnsi="Cambria Math"/>
                    <w:i/>
                  </w:rPr>
                </m:ctrlPr>
              </m:sSubPr>
              <m:e>
                <m:r>
                  <w:rPr>
                    <w:rFonts w:ascii="Cambria Math" w:hAnsi="Cambria Math"/>
                  </w:rPr>
                  <m:t>β</m:t>
                </m:r>
              </m:e>
              <m:sub>
                <m:r>
                  <w:rPr>
                    <w:rFonts w:ascii="Cambria Math" w:hAnsi="Cambria Math"/>
                  </w:rPr>
                  <m:t>ji</m:t>
                </m:r>
              </m:sub>
            </m:sSub>
          </m:e>
        </m:nary>
        <m:sSub>
          <m:sSubPr>
            <m:ctrlPr>
              <w:rPr>
                <w:rFonts w:ascii="Cambria Math" w:hAnsi="Cambria Math"/>
                <w:i/>
              </w:rPr>
            </m:ctrlPr>
          </m:sSubPr>
          <m:e>
            <m:r>
              <w:rPr>
                <w:rFonts w:ascii="Cambria Math" w:hAnsi="Cambria Math"/>
              </w:rPr>
              <m:t>X</m:t>
            </m:r>
          </m:e>
          <m:sub>
            <m:r>
              <w:rPr>
                <w:rFonts w:ascii="Cambria Math" w:hAnsi="Cambria Math"/>
              </w:rPr>
              <m:t>jit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 xml:space="preserve">it </m:t>
            </m:r>
          </m:sub>
        </m:sSub>
        <m:r>
          <w:rPr>
            <w:rFonts w:ascii="Cambria Math" w:hAnsi="Cambria Math"/>
          </w:rPr>
          <m:t xml:space="preserve">                                                                                 (4.7)</m:t>
        </m:r>
      </m:oMath>
      <w:r w:rsidR="002D340B">
        <w:t xml:space="preserve">       </w:t>
      </w:r>
    </w:p>
    <w:p w:rsidR="001746CF" w:rsidRDefault="002D340B" w:rsidP="00E11AD2">
      <w:pPr>
        <w:pStyle w:val="ListeParagraf"/>
        <w:numPr>
          <w:ilvl w:val="0"/>
          <w:numId w:val="22"/>
        </w:numPr>
        <w:spacing w:before="120" w:after="120" w:line="360" w:lineRule="auto"/>
      </w:pPr>
      <w:r>
        <w:t>Bütün değişkenlerin yatay kesit ve zamanla birlikte değiştiği model:</w:t>
      </w:r>
    </w:p>
    <w:p w:rsidR="002D340B" w:rsidRPr="001919BA" w:rsidRDefault="00E56A11" w:rsidP="002D340B">
      <w:pPr>
        <w:spacing w:before="240" w:after="240" w:line="360" w:lineRule="auto"/>
        <w:ind w:left="705"/>
        <w:jc w:val="both"/>
      </w:pP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sSub>
              <m:sSubPr>
                <m:ctrlPr>
                  <w:rPr>
                    <w:rFonts w:ascii="Cambria Math" w:hAnsi="Cambria Math"/>
                    <w:i/>
                  </w:rPr>
                </m:ctrlPr>
              </m:sSubPr>
              <m:e>
                <m:r>
                  <w:rPr>
                    <w:rFonts w:ascii="Cambria Math" w:hAnsi="Cambria Math"/>
                  </w:rPr>
                  <m:t>β</m:t>
                </m:r>
              </m:e>
              <m:sub>
                <m:r>
                  <w:rPr>
                    <w:rFonts w:ascii="Cambria Math" w:hAnsi="Cambria Math"/>
                  </w:rPr>
                  <m:t>jit</m:t>
                </m:r>
              </m:sub>
            </m:sSub>
          </m:e>
        </m:nary>
        <m:sSub>
          <m:sSubPr>
            <m:ctrlPr>
              <w:rPr>
                <w:rFonts w:ascii="Cambria Math" w:hAnsi="Cambria Math"/>
                <w:i/>
              </w:rPr>
            </m:ctrlPr>
          </m:sSubPr>
          <m:e>
            <m:r>
              <w:rPr>
                <w:rFonts w:ascii="Cambria Math" w:hAnsi="Cambria Math"/>
              </w:rPr>
              <m:t>X</m:t>
            </m:r>
          </m:e>
          <m:sub>
            <m:r>
              <w:rPr>
                <w:rFonts w:ascii="Cambria Math" w:hAnsi="Cambria Math"/>
              </w:rPr>
              <m:t>jit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 xml:space="preserve">it </m:t>
            </m:r>
          </m:sub>
        </m:sSub>
        <m:r>
          <w:rPr>
            <w:rFonts w:ascii="Cambria Math" w:hAnsi="Cambria Math"/>
          </w:rPr>
          <m:t xml:space="preserve">                                                                              (4.8)</m:t>
        </m:r>
      </m:oMath>
      <w:r w:rsidR="002D340B">
        <w:t xml:space="preserve">       </w:t>
      </w:r>
    </w:p>
    <w:p w:rsidR="002D340B" w:rsidRDefault="00CA49F8" w:rsidP="00C83890">
      <w:pPr>
        <w:spacing w:before="240" w:after="240" w:line="360" w:lineRule="auto"/>
        <w:ind w:firstLine="705"/>
        <w:jc w:val="both"/>
      </w:pPr>
      <w:r>
        <w:t xml:space="preserve">Denklem </w:t>
      </w:r>
      <w:proofErr w:type="gramStart"/>
      <w:r>
        <w:t>4.5</w:t>
      </w:r>
      <w:proofErr w:type="gramEnd"/>
      <w:r>
        <w:t xml:space="preserve"> ve 4.6</w:t>
      </w:r>
      <w:r w:rsidR="00C83890">
        <w:t xml:space="preserve"> sabit eğimli ve değişen sabit terimli değişkenlere sahip modellerdir. Bu iki panel veri modeli sıklıkla kullanılan modellerdir. Çünkü bu modellerde katsayılar ortak bir değer almaktadır. </w:t>
      </w:r>
    </w:p>
    <w:p w:rsidR="00E33ACD" w:rsidRDefault="00E33ACD" w:rsidP="00E33ACD">
      <w:pPr>
        <w:spacing w:before="240" w:after="240" w:line="360" w:lineRule="auto"/>
        <w:ind w:firstLine="709"/>
      </w:pPr>
      <w:r>
        <w:t xml:space="preserve">Panel veri ekonometrisinde kullanılan temel yöntemler statik ve dinamik olarak ikiye ayrılmaktadır. </w:t>
      </w:r>
    </w:p>
    <w:p w:rsidR="00664C70" w:rsidRDefault="00EA4A4F" w:rsidP="000624A1">
      <w:pPr>
        <w:pStyle w:val="Balk3"/>
        <w:numPr>
          <w:ilvl w:val="0"/>
          <w:numId w:val="0"/>
        </w:numPr>
      </w:pPr>
      <w:bookmarkStart w:id="170" w:name="_Toc384824028"/>
      <w:r>
        <w:t>4.3.1 Statik Panel Veri Modelleri</w:t>
      </w:r>
      <w:bookmarkEnd w:id="170"/>
    </w:p>
    <w:p w:rsidR="00EA4A4F" w:rsidRDefault="00EA4A4F" w:rsidP="00E9643C">
      <w:pPr>
        <w:spacing w:before="240" w:after="240" w:line="360" w:lineRule="auto"/>
        <w:ind w:firstLine="708"/>
        <w:jc w:val="both"/>
      </w:pPr>
      <w:r>
        <w:t xml:space="preserve">Statik panel veri modelleri; bağımlı değişkeni açıklamak için hem bağımlı hem de bağımsız değişkenin gecikmeli değerlerinin kullanılmadığı veri modelleridir. En temel statik veri modeli klasik doğrusal regresyon modelidir. </w:t>
      </w:r>
      <w:r w:rsidR="00E9643C">
        <w:t>Panel veri analizinde klasik regresyon analizi uygulanarak tu</w:t>
      </w:r>
      <w:r w:rsidR="001F48DD">
        <w:t xml:space="preserve">tarlı tahminlerin elde edilmesi için bağımsız değişkenlerle hatalar arasında ilişki olmaması aranan şartlardandır (Beck, 2006: 2). </w:t>
      </w:r>
    </w:p>
    <w:p w:rsidR="00664C70" w:rsidRDefault="007F5603" w:rsidP="007F5603">
      <w:pPr>
        <w:spacing w:before="240" w:after="240" w:line="360" w:lineRule="auto"/>
      </w:pPr>
      <w:r>
        <w:t>Panel veri modeli en temel biçimiyle aşağıdaki gibi gösterilebi</w:t>
      </w:r>
      <w:r w:rsidR="00664C70">
        <w:t>lir:</w:t>
      </w:r>
    </w:p>
    <w:p w:rsidR="008A1F04" w:rsidRDefault="00E56A11" w:rsidP="007F5603">
      <w:pPr>
        <w:spacing w:before="240" w:after="240" w:line="360" w:lineRule="auto"/>
        <w:rPr>
          <w:i/>
        </w:rPr>
      </w:pP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it</m:t>
            </m:r>
          </m:sub>
        </m:sSub>
        <m:r>
          <w:rPr>
            <w:rFonts w:ascii="Cambria Math" w:hAnsi="Cambria Math"/>
          </w:rPr>
          <m:t>β+</m:t>
        </m:r>
        <m:sSubSup>
          <m:sSubSupPr>
            <m:ctrlPr>
              <w:rPr>
                <w:rFonts w:ascii="Cambria Math" w:hAnsi="Cambria Math"/>
                <w:i/>
              </w:rPr>
            </m:ctrlPr>
          </m:sSubSupPr>
          <m:e>
            <m:r>
              <w:rPr>
                <w:rFonts w:ascii="Cambria Math" w:hAnsi="Cambria Math"/>
              </w:rPr>
              <m:t>z</m:t>
            </m:r>
          </m:e>
          <m:sub>
            <m:r>
              <w:rPr>
                <w:rFonts w:ascii="Cambria Math" w:hAnsi="Cambria Math"/>
              </w:rPr>
              <m:t>i</m:t>
            </m:r>
          </m:sub>
          <m:sup>
            <m:r>
              <w:rPr>
                <w:rFonts w:ascii="Cambria Math" w:hAnsi="Cambria Math"/>
              </w:rPr>
              <m:t>'</m:t>
            </m:r>
          </m:sup>
        </m:sSubSup>
        <m:r>
          <w:rPr>
            <w:rFonts w:ascii="Cambria Math" w:hAnsi="Cambria Math"/>
          </w:rPr>
          <m:t>α+</m:t>
        </m:r>
        <m:sSubSup>
          <m:sSubSupPr>
            <m:ctrlPr>
              <w:rPr>
                <w:rFonts w:ascii="Cambria Math" w:hAnsi="Cambria Math"/>
                <w:i/>
              </w:rPr>
            </m:ctrlPr>
          </m:sSubSupPr>
          <m:e>
            <m:r>
              <w:rPr>
                <w:rFonts w:ascii="Cambria Math" w:hAnsi="Cambria Math"/>
              </w:rPr>
              <m:t>s</m:t>
            </m:r>
          </m:e>
          <m:sub>
            <m:r>
              <w:rPr>
                <w:rFonts w:ascii="Cambria Math" w:hAnsi="Cambria Math"/>
              </w:rPr>
              <m:t>t</m:t>
            </m:r>
          </m:sub>
          <m:sup>
            <m:r>
              <w:rPr>
                <w:rFonts w:ascii="Cambria Math" w:hAnsi="Cambria Math"/>
              </w:rPr>
              <m:t>'</m:t>
            </m:r>
          </m:sup>
        </m:sSubSup>
        <m:r>
          <w:rPr>
            <w:rFonts w:ascii="Cambria Math" w:hAnsi="Cambria Math"/>
          </w:rPr>
          <m:t>γ+</m:t>
        </m:r>
        <m:sSub>
          <m:sSubPr>
            <m:ctrlPr>
              <w:rPr>
                <w:rFonts w:ascii="Cambria Math" w:hAnsi="Cambria Math"/>
                <w:i/>
              </w:rPr>
            </m:ctrlPr>
          </m:sSubPr>
          <m:e>
            <m:r>
              <w:rPr>
                <w:rFonts w:ascii="Cambria Math" w:hAnsi="Cambria Math"/>
              </w:rPr>
              <m:t>ε</m:t>
            </m:r>
          </m:e>
          <m:sub>
            <m:r>
              <w:rPr>
                <w:rFonts w:ascii="Cambria Math" w:hAnsi="Cambria Math"/>
              </w:rPr>
              <m:t xml:space="preserve">it </m:t>
            </m:r>
          </m:sub>
        </m:sSub>
        <m:r>
          <w:rPr>
            <w:rFonts w:ascii="Cambria Math" w:hAnsi="Cambria Math"/>
          </w:rPr>
          <m:t xml:space="preserve">      i=1,2,…N  ve t=1,2,…T                                   (4.9)</m:t>
        </m:r>
      </m:oMath>
      <w:r w:rsidR="001919BA">
        <w:t xml:space="preserve">        </w:t>
      </w:r>
    </w:p>
    <w:p w:rsidR="007F5603" w:rsidRDefault="008A1F04" w:rsidP="00974745">
      <w:pPr>
        <w:spacing w:before="480" w:after="240" w:line="360" w:lineRule="auto"/>
        <w:ind w:firstLine="708"/>
        <w:jc w:val="both"/>
      </w:pPr>
      <w:r>
        <w:lastRenderedPageBreak/>
        <w:t xml:space="preserve">Denklem </w:t>
      </w:r>
      <w:proofErr w:type="gramStart"/>
      <w:r>
        <w:t>4.3’t</w:t>
      </w:r>
      <w:r w:rsidR="001919BA">
        <w:t>e</w:t>
      </w:r>
      <w:proofErr w:type="gramEnd"/>
      <w:r w:rsidR="001919BA">
        <w:t xml:space="preserve"> alt indisteki i yatay kesitleri, t ise zamanı göstermektedir. Sabit terim içermeyen </w:t>
      </w:r>
      <w:r w:rsidR="001919BA" w:rsidRPr="001919BA">
        <w:rPr>
          <w:i/>
        </w:rPr>
        <w:t>X</w:t>
      </w:r>
      <w:r w:rsidR="001919BA" w:rsidRPr="001919BA">
        <w:rPr>
          <w:i/>
          <w:vertAlign w:val="subscript"/>
        </w:rPr>
        <w:t>it</w:t>
      </w:r>
      <w:r w:rsidR="001919BA">
        <w:t xml:space="preserve"> matrisi </w:t>
      </w:r>
      <w:r w:rsidR="001919BA" w:rsidRPr="001919BA">
        <w:rPr>
          <w:i/>
        </w:rPr>
        <w:t>K</w:t>
      </w:r>
      <w:r w:rsidR="001919BA">
        <w:t xml:space="preserve"> tane açıklayıcı değişken içermektedir. </w:t>
      </w:r>
      <w:r w:rsidR="00EF73C0">
        <w:t xml:space="preserve">Modeldeki </w:t>
      </w:r>
      <m:oMath>
        <m:sSubSup>
          <m:sSubSupPr>
            <m:ctrlPr>
              <w:rPr>
                <w:rFonts w:ascii="Cambria Math" w:hAnsi="Cambria Math"/>
                <w:i/>
              </w:rPr>
            </m:ctrlPr>
          </m:sSubSupPr>
          <m:e>
            <m:r>
              <w:rPr>
                <w:rFonts w:ascii="Cambria Math" w:hAnsi="Cambria Math"/>
              </w:rPr>
              <m:t>z</m:t>
            </m:r>
          </m:e>
          <m:sub>
            <m:r>
              <w:rPr>
                <w:rFonts w:ascii="Cambria Math" w:hAnsi="Cambria Math"/>
              </w:rPr>
              <m:t>i</m:t>
            </m:r>
          </m:sub>
          <m:sup>
            <m:r>
              <w:rPr>
                <w:rFonts w:ascii="Cambria Math" w:hAnsi="Cambria Math"/>
              </w:rPr>
              <m:t>'</m:t>
            </m:r>
          </m:sup>
        </m:sSubSup>
        <m:r>
          <w:rPr>
            <w:rFonts w:ascii="Cambria Math" w:hAnsi="Cambria Math"/>
          </w:rPr>
          <m:t>α</m:t>
        </m:r>
      </m:oMath>
      <w:r w:rsidR="00EF73C0">
        <w:t xml:space="preserve"> ve </w:t>
      </w:r>
      <m:oMath>
        <m:sSubSup>
          <m:sSubSupPr>
            <m:ctrlPr>
              <w:rPr>
                <w:rFonts w:ascii="Cambria Math" w:hAnsi="Cambria Math"/>
                <w:i/>
              </w:rPr>
            </m:ctrlPr>
          </m:sSubSupPr>
          <m:e>
            <m:r>
              <w:rPr>
                <w:rFonts w:ascii="Cambria Math" w:hAnsi="Cambria Math"/>
              </w:rPr>
              <m:t>s</m:t>
            </m:r>
          </m:e>
          <m:sub>
            <m:r>
              <w:rPr>
                <w:rFonts w:ascii="Cambria Math" w:hAnsi="Cambria Math"/>
              </w:rPr>
              <m:t>t</m:t>
            </m:r>
          </m:sub>
          <m:sup>
            <m:r>
              <w:rPr>
                <w:rFonts w:ascii="Cambria Math" w:hAnsi="Cambria Math"/>
              </w:rPr>
              <m:t>'</m:t>
            </m:r>
          </m:sup>
        </m:sSubSup>
        <m:r>
          <w:rPr>
            <w:rFonts w:ascii="Cambria Math" w:hAnsi="Cambria Math"/>
          </w:rPr>
          <m:t>γ</m:t>
        </m:r>
      </m:oMath>
      <w:r w:rsidR="00EF73C0">
        <w:t xml:space="preserve"> değişkenleri heterojeniteyi göstermektedir. </w:t>
      </w:r>
      <m:oMath>
        <m:sSubSup>
          <m:sSubSupPr>
            <m:ctrlPr>
              <w:rPr>
                <w:rFonts w:ascii="Cambria Math" w:hAnsi="Cambria Math"/>
                <w:i/>
              </w:rPr>
            </m:ctrlPr>
          </m:sSubSupPr>
          <m:e>
            <m:r>
              <w:rPr>
                <w:rFonts w:ascii="Cambria Math" w:hAnsi="Cambria Math"/>
              </w:rPr>
              <m:t>z</m:t>
            </m:r>
          </m:e>
          <m:sub>
            <m:r>
              <w:rPr>
                <w:rFonts w:ascii="Cambria Math" w:hAnsi="Cambria Math"/>
              </w:rPr>
              <m:t>i</m:t>
            </m:r>
          </m:sub>
          <m:sup>
            <m:r>
              <w:rPr>
                <w:rFonts w:ascii="Cambria Math" w:hAnsi="Cambria Math"/>
              </w:rPr>
              <m:t>'</m:t>
            </m:r>
          </m:sup>
        </m:sSubSup>
        <m:r>
          <w:rPr>
            <w:rFonts w:ascii="Cambria Math" w:hAnsi="Cambria Math"/>
          </w:rPr>
          <m:t>α</m:t>
        </m:r>
      </m:oMath>
      <w:r w:rsidR="00EF73C0">
        <w:t xml:space="preserve"> değişkenin aynı zamanda yatay kesitler arasındaki farklılıkları gösterir. Bu da bireysel etkiler olarak adlandırılır. Değişkendeki </w:t>
      </w:r>
      <m:oMath>
        <m:sSubSup>
          <m:sSubSupPr>
            <m:ctrlPr>
              <w:rPr>
                <w:rFonts w:ascii="Cambria Math" w:hAnsi="Cambria Math"/>
                <w:i/>
              </w:rPr>
            </m:ctrlPr>
          </m:sSubSupPr>
          <m:e>
            <m:r>
              <w:rPr>
                <w:rFonts w:ascii="Cambria Math" w:hAnsi="Cambria Math"/>
              </w:rPr>
              <m:t>z</m:t>
            </m:r>
          </m:e>
          <m:sub>
            <m:r>
              <w:rPr>
                <w:rFonts w:ascii="Cambria Math" w:hAnsi="Cambria Math"/>
              </w:rPr>
              <m:t>i</m:t>
            </m:r>
          </m:sub>
          <m:sup>
            <m:r>
              <w:rPr>
                <w:rFonts w:ascii="Cambria Math" w:hAnsi="Cambria Math"/>
              </w:rPr>
              <m:t>'</m:t>
            </m:r>
          </m:sup>
        </m:sSubSup>
      </m:oMath>
      <w:r w:rsidR="00EF73C0">
        <w:t xml:space="preserve"> sabit terimdir. Modelin zaman serisi boyutundaki dönem farklarını ise </w:t>
      </w:r>
      <m:oMath>
        <m:sSubSup>
          <m:sSubSupPr>
            <m:ctrlPr>
              <w:rPr>
                <w:rFonts w:ascii="Cambria Math" w:hAnsi="Cambria Math"/>
                <w:i/>
              </w:rPr>
            </m:ctrlPr>
          </m:sSubSupPr>
          <m:e>
            <m:r>
              <w:rPr>
                <w:rFonts w:ascii="Cambria Math" w:hAnsi="Cambria Math"/>
              </w:rPr>
              <m:t>s</m:t>
            </m:r>
          </m:e>
          <m:sub>
            <m:r>
              <w:rPr>
                <w:rFonts w:ascii="Cambria Math" w:hAnsi="Cambria Math"/>
              </w:rPr>
              <m:t>t</m:t>
            </m:r>
          </m:sub>
          <m:sup>
            <m:r>
              <w:rPr>
                <w:rFonts w:ascii="Cambria Math" w:hAnsi="Cambria Math"/>
              </w:rPr>
              <m:t>'</m:t>
            </m:r>
          </m:sup>
        </m:sSubSup>
        <m:r>
          <w:rPr>
            <w:rFonts w:ascii="Cambria Math" w:hAnsi="Cambria Math"/>
          </w:rPr>
          <m:t>γ</m:t>
        </m:r>
      </m:oMath>
      <w:r w:rsidR="00EF73C0">
        <w:t xml:space="preserve"> değişkeni gösterir. Modeldeki heterojeniteyi gösteren değişkenler </w:t>
      </w:r>
      <m:oMath>
        <m:sSubSup>
          <m:sSubSupPr>
            <m:ctrlPr>
              <w:rPr>
                <w:rFonts w:ascii="Cambria Math" w:hAnsi="Cambria Math"/>
                <w:i/>
              </w:rPr>
            </m:ctrlPr>
          </m:sSubSupPr>
          <m:e>
            <m:r>
              <w:rPr>
                <w:rFonts w:ascii="Cambria Math" w:hAnsi="Cambria Math"/>
              </w:rPr>
              <m:t>z</m:t>
            </m:r>
          </m:e>
          <m:sub>
            <m:r>
              <w:rPr>
                <w:rFonts w:ascii="Cambria Math" w:hAnsi="Cambria Math"/>
              </w:rPr>
              <m:t>i</m:t>
            </m:r>
          </m:sub>
          <m:sup>
            <m:r>
              <w:rPr>
                <w:rFonts w:ascii="Cambria Math" w:hAnsi="Cambria Math"/>
              </w:rPr>
              <m:t>'</m:t>
            </m:r>
          </m:sup>
        </m:sSubSup>
        <m:r>
          <w:rPr>
            <w:rFonts w:ascii="Cambria Math" w:hAnsi="Cambria Math"/>
          </w:rPr>
          <m:t>α</m:t>
        </m:r>
      </m:oMath>
      <w:r w:rsidR="00EF73C0">
        <w:t xml:space="preserve"> = </w:t>
      </w:r>
      <m:oMath>
        <m:sSub>
          <m:sSubPr>
            <m:ctrlPr>
              <w:rPr>
                <w:rFonts w:ascii="Cambria Math" w:hAnsi="Cambria Math"/>
                <w:i/>
              </w:rPr>
            </m:ctrlPr>
          </m:sSubPr>
          <m:e>
            <m:r>
              <w:rPr>
                <w:rFonts w:ascii="Cambria Math" w:hAnsi="Cambria Math"/>
              </w:rPr>
              <m:t>μ</m:t>
            </m:r>
          </m:e>
          <m:sub>
            <m:r>
              <w:rPr>
                <w:rFonts w:ascii="Cambria Math" w:hAnsi="Cambria Math"/>
              </w:rPr>
              <m:t>i</m:t>
            </m:r>
          </m:sub>
        </m:sSub>
      </m:oMath>
      <w:r w:rsidR="0097053C">
        <w:t xml:space="preserve"> </w:t>
      </w:r>
      <w:r w:rsidR="00EF73C0">
        <w:t xml:space="preserve">ve </w:t>
      </w:r>
      <m:oMath>
        <m:sSubSup>
          <m:sSubSupPr>
            <m:ctrlPr>
              <w:rPr>
                <w:rFonts w:ascii="Cambria Math" w:hAnsi="Cambria Math"/>
                <w:i/>
              </w:rPr>
            </m:ctrlPr>
          </m:sSubSupPr>
          <m:e>
            <m:r>
              <w:rPr>
                <w:rFonts w:ascii="Cambria Math" w:hAnsi="Cambria Math"/>
              </w:rPr>
              <m:t>s</m:t>
            </m:r>
          </m:e>
          <m:sub>
            <m:r>
              <w:rPr>
                <w:rFonts w:ascii="Cambria Math" w:hAnsi="Cambria Math"/>
              </w:rPr>
              <m:t>t</m:t>
            </m:r>
          </m:sub>
          <m:sup>
            <m:r>
              <w:rPr>
                <w:rFonts w:ascii="Cambria Math" w:hAnsi="Cambria Math"/>
              </w:rPr>
              <m:t>'</m:t>
            </m:r>
          </m:sup>
        </m:sSubSup>
        <m:r>
          <w:rPr>
            <w:rFonts w:ascii="Cambria Math" w:hAnsi="Cambria Math"/>
          </w:rPr>
          <m:t>γ</m:t>
        </m:r>
      </m:oMath>
      <w:r w:rsidR="0097053C">
        <w:t xml:space="preserve"> = </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rsidR="0097053C">
        <w:t xml:space="preserve"> şeklinde gösterilirse model şu şekilde düzenlenebilir;</w:t>
      </w:r>
    </w:p>
    <w:p w:rsidR="00E222E8" w:rsidRDefault="00E56A11" w:rsidP="00E222E8">
      <w:pPr>
        <w:spacing w:before="480" w:after="240" w:line="360" w:lineRule="auto"/>
      </w:pP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it</m:t>
            </m:r>
          </m:sub>
        </m:sSub>
        <m:r>
          <w:rPr>
            <w:rFonts w:ascii="Cambria Math" w:hAnsi="Cambria Math"/>
          </w:rPr>
          <m:t>β+</m:t>
        </m:r>
        <m:sSub>
          <m:sSubPr>
            <m:ctrlPr>
              <w:rPr>
                <w:rFonts w:ascii="Cambria Math" w:hAnsi="Cambria Math"/>
                <w:i/>
              </w:rPr>
            </m:ctrlPr>
          </m:sSubPr>
          <m:e>
            <m:r>
              <w:rPr>
                <w:rFonts w:ascii="Cambria Math" w:hAnsi="Cambria Math"/>
              </w:rPr>
              <m:t>μ</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r>
          <w:rPr>
            <w:rFonts w:ascii="Cambria Math" w:hAnsi="Cambria Math"/>
          </w:rPr>
          <m:t xml:space="preserve">                                                                                                   (4.10)</m:t>
        </m:r>
      </m:oMath>
      <w:r w:rsidR="00E222E8">
        <w:t xml:space="preserve">   </w:t>
      </w:r>
    </w:p>
    <w:p w:rsidR="007F5603" w:rsidRDefault="00D55468" w:rsidP="00974745">
      <w:pPr>
        <w:spacing w:before="480" w:after="240" w:line="360" w:lineRule="auto"/>
        <w:ind w:firstLine="708"/>
        <w:jc w:val="both"/>
      </w:pPr>
      <w:r>
        <w:t xml:space="preserve">Statik panel modelleri </w:t>
      </w:r>
      <w:r w:rsidR="009A60AC">
        <w:t xml:space="preserve">genel olarak katsayıların sabit </w:t>
      </w:r>
      <w:r w:rsidR="00974745">
        <w:t>ya da</w:t>
      </w:r>
      <w:r w:rsidR="009A60AC">
        <w:t xml:space="preserve"> tesadüfi (rasgele) varsayılmasına bağlı olarak </w:t>
      </w:r>
      <w:r>
        <w:t>ortak havuz, sabit etkiler ve rassal etkiler olmak</w:t>
      </w:r>
      <w:r w:rsidR="009A60AC">
        <w:t xml:space="preserve"> üzere üç ana kısımda sınıflandırılabilirler.</w:t>
      </w:r>
      <w:r>
        <w:t xml:space="preserve"> </w:t>
      </w:r>
    </w:p>
    <w:p w:rsidR="0039547D" w:rsidRPr="005038CC" w:rsidRDefault="005038CC" w:rsidP="00126FA4">
      <w:pPr>
        <w:pStyle w:val="Balk4"/>
        <w:numPr>
          <w:ilvl w:val="3"/>
          <w:numId w:val="5"/>
        </w:numPr>
      </w:pPr>
      <w:r>
        <w:t xml:space="preserve"> </w:t>
      </w:r>
      <w:bookmarkStart w:id="171" w:name="_Toc384824029"/>
      <w:r>
        <w:t>Ortak Havuz Regresyonu (Klasik Model)</w:t>
      </w:r>
      <w:bookmarkEnd w:id="171"/>
    </w:p>
    <w:p w:rsidR="00F14642" w:rsidRDefault="00F14642" w:rsidP="00F14642">
      <w:pPr>
        <w:spacing w:before="240" w:after="240" w:line="360" w:lineRule="auto"/>
        <w:ind w:firstLine="708"/>
        <w:jc w:val="both"/>
      </w:pPr>
      <w:r>
        <w:t>Ortak havuz regresyonu; yatay kesit birimlerinin birbirinden ayıran kendine özgü nitelikleri yoksa ortak havuz regresyonu kullanılabilir (Baltagi, 2005: 33-38).</w:t>
      </w:r>
      <w:r w:rsidR="0032651C">
        <w:t xml:space="preserve"> Bu tür modellerde tüm yatay birimlerin homojen olduğu kabul edilir.</w:t>
      </w:r>
      <w:r w:rsidR="005904F9">
        <w:t xml:space="preserve"> Yatay kesit birimleri arasında herhan</w:t>
      </w:r>
      <w:r w:rsidR="00C42ED4">
        <w:t xml:space="preserve">gi </w:t>
      </w:r>
      <w:r w:rsidR="005904F9">
        <w:t>bir heterojenite yoktur. Modeldeki z</w:t>
      </w:r>
      <w:r w:rsidR="005904F9">
        <w:rPr>
          <w:vertAlign w:val="subscript"/>
        </w:rPr>
        <w:t>i</w:t>
      </w:r>
      <w:r w:rsidR="005904F9">
        <w:t xml:space="preserve"> sabit terimi içerdiği için en küçük kareler yöntemi sabit terim </w:t>
      </w:r>
      <w:r w:rsidR="005904F9" w:rsidRPr="00E11AD2">
        <w:rPr>
          <w:i/>
        </w:rPr>
        <w:t>(α)</w:t>
      </w:r>
      <w:r w:rsidR="005904F9">
        <w:t xml:space="preserve"> ve eğim katsayısı </w:t>
      </w:r>
      <w:r w:rsidR="005904F9" w:rsidRPr="00E11AD2">
        <w:rPr>
          <w:i/>
        </w:rPr>
        <w:t>(β)</w:t>
      </w:r>
      <w:r w:rsidR="005904F9">
        <w:t xml:space="preserve"> için tutarlı ve etkin tahmi</w:t>
      </w:r>
      <w:r w:rsidR="00CB1F28">
        <w:t>nler sağlamaktadır (Greene, 2003</w:t>
      </w:r>
      <w:r w:rsidR="005904F9">
        <w:t>:</w:t>
      </w:r>
      <w:r w:rsidR="008E2A2E">
        <w:t xml:space="preserve"> </w:t>
      </w:r>
      <w:r w:rsidR="005904F9">
        <w:t>182-183).</w:t>
      </w:r>
      <w:r>
        <w:t xml:space="preserve"> </w:t>
      </w:r>
    </w:p>
    <w:p w:rsidR="00C42ED4" w:rsidRDefault="00C42ED4" w:rsidP="00F14642">
      <w:pPr>
        <w:spacing w:before="240" w:after="240" w:line="360" w:lineRule="auto"/>
        <w:ind w:firstLine="708"/>
        <w:jc w:val="both"/>
      </w:pPr>
      <w:r>
        <w:t xml:space="preserve">Zaman ve kesitler arası tüm katsayılar sabit ise en basit yaklaşım, havuzlanmış verilerin kesit ve zaman boyutlarını ihmal ederek, geleneksel EKKY ile tahmin yapılmaktadır. </w:t>
      </w:r>
    </w:p>
    <w:p w:rsidR="009A60AC" w:rsidRDefault="009A60AC" w:rsidP="009A60AC">
      <w:pPr>
        <w:spacing w:before="240" w:after="240" w:line="360" w:lineRule="auto"/>
        <w:ind w:firstLine="708"/>
        <w:jc w:val="both"/>
      </w:pPr>
      <w:r w:rsidRPr="009A60AC">
        <w:t>Bu modelde, hem sabit hem de eğim katsayılarının birimlere ve zamana göre sabit olduğu yani bütün gözlemlerin homojen olduğu varsayılmaktadır. Bu model genel olarak,</w:t>
      </w:r>
      <w:r>
        <w:t xml:space="preserve"> </w:t>
      </w:r>
    </w:p>
    <w:p w:rsidR="009A60AC" w:rsidRDefault="00E56A11" w:rsidP="009A60AC">
      <w:pPr>
        <w:spacing w:before="240" w:after="240" w:line="36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sSub>
                <m:sSubPr>
                  <m:ctrlPr>
                    <w:rPr>
                      <w:rFonts w:ascii="Cambria Math" w:hAnsi="Cambria Math"/>
                      <w:i/>
                    </w:rPr>
                  </m:ctrlPr>
                </m:sSubPr>
                <m:e>
                  <m:r>
                    <w:rPr>
                      <w:rFonts w:ascii="Cambria Math" w:hAnsi="Cambria Math"/>
                    </w:rPr>
                    <m:t>β</m:t>
                  </m:r>
                </m:e>
                <m:sub>
                  <m:r>
                    <w:rPr>
                      <w:rFonts w:ascii="Cambria Math" w:hAnsi="Cambria Math"/>
                    </w:rPr>
                    <m:t>j</m:t>
                  </m:r>
                </m:sub>
              </m:sSub>
            </m:e>
          </m:nary>
          <m:sSub>
            <m:sSubPr>
              <m:ctrlPr>
                <w:rPr>
                  <w:rFonts w:ascii="Cambria Math" w:hAnsi="Cambria Math"/>
                  <w:i/>
                </w:rPr>
              </m:ctrlPr>
            </m:sSubPr>
            <m:e>
              <m:r>
                <w:rPr>
                  <w:rFonts w:ascii="Cambria Math" w:hAnsi="Cambria Math"/>
                </w:rPr>
                <m:t>X</m:t>
              </m:r>
            </m:e>
            <m:sub>
              <m:r>
                <w:rPr>
                  <w:rFonts w:ascii="Cambria Math" w:hAnsi="Cambria Math"/>
                </w:rPr>
                <m:t>jit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 xml:space="preserve">it </m:t>
              </m:r>
            </m:sub>
          </m:sSub>
          <m:r>
            <w:rPr>
              <w:rFonts w:ascii="Cambria Math" w:hAnsi="Cambria Math"/>
            </w:rPr>
            <m:t xml:space="preserve">     yada    Y=Xβ+u                                                            (4.11)</m:t>
          </m:r>
        </m:oMath>
      </m:oMathPara>
    </w:p>
    <w:p w:rsidR="009A60AC" w:rsidRDefault="009A60AC" w:rsidP="009A60AC">
      <w:pPr>
        <w:spacing w:before="240" w:after="240" w:line="360" w:lineRule="auto"/>
        <w:jc w:val="both"/>
      </w:pPr>
      <w:r>
        <w:t>İfade edilir.</w:t>
      </w:r>
    </w:p>
    <w:p w:rsidR="009A60AC" w:rsidRDefault="009A60AC" w:rsidP="009A60AC">
      <w:pPr>
        <w:spacing w:before="240" w:after="240" w:line="360" w:lineRule="auto"/>
        <w:jc w:val="both"/>
      </w:pPr>
      <w:r>
        <w:lastRenderedPageBreak/>
        <w:tab/>
        <w:t xml:space="preserve">Bu modelde parametreler </w:t>
      </w:r>
      <w:r w:rsidRPr="00E11AD2">
        <w:rPr>
          <w:i/>
        </w:rPr>
        <w:t>(EKK)</w:t>
      </w:r>
      <w:r>
        <w:t xml:space="preserve"> ya</w:t>
      </w:r>
      <w:r w:rsidR="00E11AD2">
        <w:t xml:space="preserve"> </w:t>
      </w:r>
      <w:r>
        <w:t xml:space="preserve">da </w:t>
      </w:r>
      <w:r w:rsidRPr="00E11AD2">
        <w:rPr>
          <w:i/>
        </w:rPr>
        <w:t>(GEKK)</w:t>
      </w:r>
      <w:r>
        <w:t xml:space="preserve"> yöntemleriyle tahmin edilir.</w:t>
      </w:r>
      <w:r w:rsidR="001F3FDE">
        <w:t xml:space="preserve"> Hata teriminin (</w:t>
      </w:r>
      <m:oMath>
        <m:sSub>
          <m:sSubPr>
            <m:ctrlPr>
              <w:rPr>
                <w:rFonts w:ascii="Cambria Math" w:hAnsi="Cambria Math"/>
                <w:i/>
              </w:rPr>
            </m:ctrlPr>
          </m:sSubPr>
          <m:e>
            <m:r>
              <w:rPr>
                <w:rFonts w:ascii="Cambria Math" w:hAnsi="Cambria Math"/>
              </w:rPr>
              <m:t>ε</m:t>
            </m:r>
          </m:e>
          <m:sub>
            <m:r>
              <w:rPr>
                <w:rFonts w:ascii="Cambria Math" w:hAnsi="Cambria Math"/>
              </w:rPr>
              <m:t xml:space="preserve">it </m:t>
            </m:r>
          </m:sub>
        </m:sSub>
      </m:oMath>
      <w:r w:rsidR="001F3FDE">
        <w:t xml:space="preserve">) heteroskedastik (değişen varyanslılık) ve otokorelasyonlu olması nedeniyle; </w:t>
      </w:r>
      <w:r w:rsidR="001F3FDE" w:rsidRPr="00E11AD2">
        <w:rPr>
          <w:i/>
        </w:rPr>
        <w:t>GEKK</w:t>
      </w:r>
      <w:r w:rsidR="001F3FDE">
        <w:t xml:space="preserve"> tahmincileri, </w:t>
      </w:r>
      <w:r w:rsidR="001F3FDE" w:rsidRPr="00E11AD2">
        <w:rPr>
          <w:i/>
        </w:rPr>
        <w:t>EKK</w:t>
      </w:r>
      <w:r w:rsidR="001F3FDE">
        <w:t xml:space="preserve"> tahmincilerinden daha etkili olmaktadır. </w:t>
      </w:r>
    </w:p>
    <w:p w:rsidR="005904F9" w:rsidRPr="00F14642" w:rsidRDefault="00A85A6A" w:rsidP="00126FA4">
      <w:pPr>
        <w:pStyle w:val="Balk4"/>
        <w:numPr>
          <w:ilvl w:val="3"/>
          <w:numId w:val="5"/>
        </w:numPr>
      </w:pPr>
      <w:r>
        <w:t xml:space="preserve"> </w:t>
      </w:r>
      <w:bookmarkStart w:id="172" w:name="_Toc384824030"/>
      <w:r w:rsidR="005038CC">
        <w:t>Sabit Etkiler Modeli (Fixed Effects)</w:t>
      </w:r>
      <w:bookmarkEnd w:id="172"/>
    </w:p>
    <w:p w:rsidR="0039547D" w:rsidRDefault="007B7A66" w:rsidP="00A43B02">
      <w:pPr>
        <w:spacing w:before="240" w:after="240" w:line="360" w:lineRule="auto"/>
        <w:ind w:firstLine="708"/>
        <w:jc w:val="both"/>
      </w:pPr>
      <w:r>
        <w:t>Regresyon analizinde bazı katsayıların birimlere ve/veya zamana göre değişmesine izin verilmesi durumunda regresyon katsayıları bilinmeyen fakat sabit parametrelere dönüşmektedir. Literatürde bu tür modellere sabit etkiler modelleri denilmektedir</w:t>
      </w:r>
      <w:r w:rsidR="00231993">
        <w:t>.</w:t>
      </w:r>
    </w:p>
    <w:p w:rsidR="001C6AD7" w:rsidRDefault="001C6AD7" w:rsidP="00A43B02">
      <w:pPr>
        <w:spacing w:before="240" w:after="240" w:line="360" w:lineRule="auto"/>
        <w:ind w:firstLine="708"/>
        <w:jc w:val="both"/>
      </w:pPr>
      <w:r>
        <w:t>Bir panel veri modelindeki bireysel özellikleri tanımlamanın bir yolu tüm bireylerin aynı katsayılara sahip olduğu varsayımını esnetmektedir. Bu amaçla, sabit etkiler modelinde her birey için bir tane olmak üzere birey sayısı kadar farklı terim bulunmaktadır (Yılancı, 2012: 14).</w:t>
      </w:r>
    </w:p>
    <w:p w:rsidR="00231993" w:rsidRDefault="00231993" w:rsidP="00A43B02">
      <w:pPr>
        <w:spacing w:before="240" w:after="240" w:line="360" w:lineRule="auto"/>
        <w:ind w:firstLine="708"/>
        <w:jc w:val="both"/>
        <w:rPr>
          <w:color w:val="FF0000"/>
        </w:rPr>
      </w:pPr>
      <w:r>
        <w:t>Sabit etkili modellerde sadece birimler arasındaki farklılıklar gözetiliyorsa, “Tek Yönlü Sabit Etkiler Modeli”, birimler ve zamana göre meydana gelen farklılıklar gözetiliyorsa, “İki Yönlü Sabit Etkiler Modeli” olarak isimlendirilmektedir (Sayyan, 2000: 20).</w:t>
      </w:r>
    </w:p>
    <w:p w:rsidR="00C42ED4" w:rsidRDefault="00C42ED4" w:rsidP="00A43B02">
      <w:pPr>
        <w:spacing w:before="240" w:after="240" w:line="360" w:lineRule="auto"/>
        <w:ind w:firstLine="708"/>
        <w:jc w:val="both"/>
      </w:pPr>
      <w:r w:rsidRPr="00C42ED4">
        <w:t xml:space="preserve">Kesitler arası eğim katsayıları aynı, sabit katsayısı değişiyorsa sabit etkiler modeli kullanılmaktadır. </w:t>
      </w:r>
      <w:r>
        <w:t xml:space="preserve">Buradaki sabit etkiler terimi, </w:t>
      </w:r>
      <w:r w:rsidR="00257983">
        <w:t xml:space="preserve">sabit her bir kesit için farklı olsa da, her bir kesitin sabitinin zaman boyunca değişmemesinden (time invariant) gelmektedir. Bu modelde eğim katsayıları hem zaman hem de kesit için aynı olmaktadır. </w:t>
      </w:r>
    </w:p>
    <w:p w:rsidR="002641A8" w:rsidRDefault="005A1E9B" w:rsidP="009C01A3">
      <w:pPr>
        <w:spacing w:before="240" w:after="240" w:line="360" w:lineRule="auto"/>
        <w:ind w:firstLine="708"/>
        <w:jc w:val="both"/>
      </w:pPr>
      <w:r>
        <w:t>Bir modelde eğim katsayılarının zaman ve kesit birimleri için aynı olduğu ancak Greene’</w:t>
      </w:r>
      <w:r w:rsidR="00CB1F28">
        <w:t>nin (2003</w:t>
      </w:r>
      <w:r w:rsidR="009C01A3">
        <w:t>: 469</w:t>
      </w:r>
      <w:r>
        <w:t xml:space="preserve">) ifade ettiği gibi katsayının yatay kesit birimlerine göre değiştiği sabit etkiler modelidir. Bu modele kukla değişken modeli de denmesinin nedeni panel veri modelinin kukla değişkenle açıklanmasıdır. Ayrıca modelde yatay kesit birimleri arasında farklar sabit terimleri açıklamada kullanılmaktadır. </w:t>
      </w:r>
    </w:p>
    <w:p w:rsidR="007843E7" w:rsidRDefault="007843E7" w:rsidP="009C01A3">
      <w:pPr>
        <w:spacing w:before="240" w:after="240" w:line="360" w:lineRule="auto"/>
        <w:ind w:firstLine="708"/>
        <w:jc w:val="both"/>
      </w:pPr>
      <w:r>
        <w:t>Genel olarak bir panel veri ele alındığında;</w:t>
      </w:r>
    </w:p>
    <w:p w:rsidR="007843E7" w:rsidRDefault="00E56A11" w:rsidP="007843E7">
      <w:pPr>
        <w:spacing w:before="240" w:after="240" w:line="360" w:lineRule="auto"/>
        <w:jc w:val="both"/>
      </w:pP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1it</m:t>
            </m:r>
          </m:sub>
        </m:sSub>
        <m:sSub>
          <m:sSubPr>
            <m:ctrlPr>
              <w:rPr>
                <w:rFonts w:ascii="Cambria Math" w:hAnsi="Cambria Math"/>
                <w:i/>
              </w:rPr>
            </m:ctrlPr>
          </m:sSubPr>
          <m:e>
            <m:r>
              <w:rPr>
                <w:rFonts w:ascii="Cambria Math" w:hAnsi="Cambria Math"/>
              </w:rPr>
              <m:t>X</m:t>
            </m:r>
          </m:e>
          <m:sub>
            <m:r>
              <w:rPr>
                <w:rFonts w:ascii="Cambria Math" w:hAnsi="Cambria Math"/>
              </w:rPr>
              <m:t>1it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2it</m:t>
                </m:r>
              </m:sub>
            </m:sSub>
            <m:sSub>
              <m:sSubPr>
                <m:ctrlPr>
                  <w:rPr>
                    <w:rFonts w:ascii="Cambria Math" w:hAnsi="Cambria Math"/>
                    <w:i/>
                  </w:rPr>
                </m:ctrlPr>
              </m:sSubPr>
              <m:e>
                <m:r>
                  <w:rPr>
                    <w:rFonts w:ascii="Cambria Math" w:hAnsi="Cambria Math"/>
                  </w:rPr>
                  <m:t>X</m:t>
                </m:r>
              </m:e>
              <m:sub>
                <m:r>
                  <w:rPr>
                    <w:rFonts w:ascii="Cambria Math" w:hAnsi="Cambria Math"/>
                  </w:rPr>
                  <m:t>2it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jit</m:t>
                </m:r>
              </m:sub>
            </m:sSub>
            <m:sSub>
              <m:sSubPr>
                <m:ctrlPr>
                  <w:rPr>
                    <w:rFonts w:ascii="Cambria Math" w:hAnsi="Cambria Math"/>
                    <w:i/>
                  </w:rPr>
                </m:ctrlPr>
              </m:sSubPr>
              <m:e>
                <m:r>
                  <w:rPr>
                    <w:rFonts w:ascii="Cambria Math" w:hAnsi="Cambria Math"/>
                  </w:rPr>
                  <m:t>X</m:t>
                </m:r>
              </m:e>
              <m:sub>
                <m:r>
                  <w:rPr>
                    <w:rFonts w:ascii="Cambria Math" w:hAnsi="Cambria Math"/>
                  </w:rPr>
                  <m:t>jit</m:t>
                </m:r>
              </m:sub>
            </m:sSub>
            <m:r>
              <w:rPr>
                <w:rFonts w:ascii="Cambria Math" w:hAnsi="Cambria Math"/>
              </w:rPr>
              <m:t>+ε</m:t>
            </m:r>
          </m:e>
          <m:sub>
            <m:r>
              <w:rPr>
                <w:rFonts w:ascii="Cambria Math" w:hAnsi="Cambria Math"/>
              </w:rPr>
              <m:t xml:space="preserve">it </m:t>
            </m:r>
          </m:sub>
        </m:sSub>
        <m:r>
          <w:rPr>
            <w:rFonts w:ascii="Cambria Math" w:hAnsi="Cambria Math"/>
          </w:rPr>
          <m:t xml:space="preserve">  i=1,2,…N  ve t=1    (4.12)</m:t>
        </m:r>
      </m:oMath>
      <w:r w:rsidR="007843E7">
        <w:t xml:space="preserve">   </w:t>
      </w:r>
    </w:p>
    <w:p w:rsidR="00695E81" w:rsidRDefault="00695E81" w:rsidP="00695E81">
      <w:pPr>
        <w:spacing w:before="240" w:after="240" w:line="360" w:lineRule="auto"/>
        <w:ind w:firstLine="708"/>
        <w:jc w:val="both"/>
      </w:pPr>
      <w:r>
        <w:lastRenderedPageBreak/>
        <w:t>Bu modelde x</w:t>
      </w:r>
      <w:r>
        <w:rPr>
          <w:vertAlign w:val="subscript"/>
        </w:rPr>
        <w:t>it</w:t>
      </w:r>
      <w:r>
        <w:t xml:space="preserve">’nin </w:t>
      </w:r>
      <m:oMath>
        <m:sSub>
          <m:sSubPr>
            <m:ctrlPr>
              <w:rPr>
                <w:rFonts w:ascii="Cambria Math" w:hAnsi="Cambria Math"/>
                <w:i/>
              </w:rPr>
            </m:ctrlPr>
          </m:sSubPr>
          <m:e>
            <m:r>
              <w:rPr>
                <w:rFonts w:ascii="Cambria Math" w:hAnsi="Cambria Math"/>
              </w:rPr>
              <m:t>ε</m:t>
            </m:r>
          </m:e>
          <m:sub>
            <m:r>
              <w:rPr>
                <w:rFonts w:ascii="Cambria Math" w:hAnsi="Cambria Math"/>
              </w:rPr>
              <m:t xml:space="preserve">it </m:t>
            </m:r>
          </m:sub>
        </m:sSub>
      </m:oMath>
      <w:r>
        <w:t xml:space="preserve">’den bağımsız olduğu ve  </w:t>
      </w:r>
      <m:oMath>
        <m:sSub>
          <m:sSubPr>
            <m:ctrlPr>
              <w:rPr>
                <w:rFonts w:ascii="Cambria Math" w:hAnsi="Cambria Math"/>
                <w:i/>
              </w:rPr>
            </m:ctrlPr>
          </m:sSubPr>
          <m:e>
            <m:r>
              <w:rPr>
                <w:rFonts w:ascii="Cambria Math" w:hAnsi="Cambria Math"/>
              </w:rPr>
              <m:t>ε</m:t>
            </m:r>
          </m:e>
          <m:sub>
            <m:r>
              <w:rPr>
                <w:rFonts w:ascii="Cambria Math" w:hAnsi="Cambria Math"/>
              </w:rPr>
              <m:t xml:space="preserve">it </m:t>
            </m:r>
          </m:sub>
        </m:sSub>
        <m:r>
          <w:rPr>
            <w:rFonts w:ascii="Cambria Math" w:hAnsi="Cambria Math"/>
          </w:rPr>
          <m:t>~</m:t>
        </m:r>
      </m:oMath>
      <w:r w:rsidRPr="00F56987">
        <w:rPr>
          <w:i/>
        </w:rPr>
        <w:t xml:space="preserve"> iid (0,</w:t>
      </w:r>
      <m:oMath>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Pr="00F56987">
        <w:rPr>
          <w:i/>
        </w:rPr>
        <w:t>)</w:t>
      </w:r>
      <w:r>
        <w:t xml:space="preserve"> olduğu varsayılır. Dikkat edileceği gibi eğim katsayısı </w:t>
      </w:r>
      <m:oMath>
        <m:r>
          <w:rPr>
            <w:rFonts w:ascii="Cambria Math" w:hAnsi="Cambria Math"/>
          </w:rPr>
          <m:t>β</m:t>
        </m:r>
      </m:oMath>
      <w:r>
        <w:t xml:space="preserve"> zaman ve bireyler boyunca sabitken, sabit terim ise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t xml:space="preserve"> zaman boyu sabit fakat bireyler boyunca farklılaşmaktadır. </w:t>
      </w:r>
    </w:p>
    <w:p w:rsidR="001C6AD7" w:rsidRDefault="009C7342" w:rsidP="009C01A3">
      <w:pPr>
        <w:spacing w:before="240" w:after="240" w:line="360" w:lineRule="auto"/>
        <w:ind w:firstLine="708"/>
        <w:jc w:val="both"/>
      </w:pPr>
      <w:r>
        <w:t>Sabit etkili modelde,</w:t>
      </w:r>
    </w:p>
    <w:p w:rsidR="001C6AD7" w:rsidRDefault="00E56A11" w:rsidP="001C6AD7">
      <w:pPr>
        <w:spacing w:before="240" w:after="240" w:line="360" w:lineRule="auto"/>
        <w:jc w:val="both"/>
      </w:pPr>
      <m:oMath>
        <m:sSub>
          <m:sSubPr>
            <m:ctrlPr>
              <w:rPr>
                <w:rFonts w:ascii="Cambria Math" w:hAnsi="Cambria Math"/>
                <w:i/>
              </w:rPr>
            </m:ctrlPr>
          </m:sSubPr>
          <m:e>
            <m:r>
              <w:rPr>
                <w:rFonts w:ascii="Cambria Math" w:hAnsi="Cambria Math"/>
              </w:rPr>
              <m:t>β</m:t>
            </m:r>
          </m:e>
          <m:sub>
            <m:r>
              <w:rPr>
                <w:rFonts w:ascii="Cambria Math" w:hAnsi="Cambria Math"/>
              </w:rPr>
              <m:t>0it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0i</m:t>
            </m:r>
          </m:sub>
        </m:sSub>
        <m:r>
          <w:rPr>
            <w:rFonts w:ascii="Cambria Math" w:hAnsi="Cambria Math"/>
          </w:rPr>
          <m:t>=</m:t>
        </m:r>
        <m:acc>
          <m:accPr>
            <m:chr m:val="̅"/>
            <m:ctrlPr>
              <w:rPr>
                <w:rFonts w:ascii="Cambria Math" w:hAnsi="Cambria Math"/>
                <w:i/>
              </w:rPr>
            </m:ctrlPr>
          </m:accPr>
          <m:e>
            <m:r>
              <w:rPr>
                <w:rFonts w:ascii="Cambria Math" w:hAnsi="Cambria Math"/>
              </w:rPr>
              <m:t>β</m:t>
            </m:r>
          </m:e>
        </m:acc>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 xml:space="preserve">i </m:t>
            </m:r>
          </m:sub>
        </m:sSub>
        <m:r>
          <w:rPr>
            <w:rFonts w:ascii="Cambria Math" w:hAnsi="Cambria Math"/>
          </w:rPr>
          <m:t xml:space="preserve"> ;    </m:t>
        </m:r>
        <m:sSub>
          <m:sSubPr>
            <m:ctrlPr>
              <w:rPr>
                <w:rFonts w:ascii="Cambria Math" w:hAnsi="Cambria Math"/>
                <w:i/>
              </w:rPr>
            </m:ctrlPr>
          </m:sSubPr>
          <m:e>
            <m:r>
              <w:rPr>
                <w:rFonts w:ascii="Cambria Math" w:hAnsi="Cambria Math"/>
              </w:rPr>
              <m:t>β</m:t>
            </m:r>
          </m:e>
          <m:sub>
            <m:r>
              <w:rPr>
                <w:rFonts w:ascii="Cambria Math" w:hAnsi="Cambria Math"/>
              </w:rPr>
              <m:t>1it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jit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j</m:t>
            </m:r>
          </m:sub>
        </m:sSub>
        <m:r>
          <w:rPr>
            <w:rFonts w:ascii="Cambria Math" w:hAnsi="Cambria Math"/>
          </w:rPr>
          <m:t xml:space="preserve">                       (4.13)</m:t>
        </m:r>
      </m:oMath>
      <w:r w:rsidR="001C6AD7">
        <w:t xml:space="preserve">   </w:t>
      </w:r>
    </w:p>
    <w:p w:rsidR="00F56987" w:rsidRDefault="00695E81" w:rsidP="001C6AD7">
      <w:pPr>
        <w:spacing w:before="240" w:after="240" w:line="360" w:lineRule="auto"/>
        <w:jc w:val="both"/>
      </w:pPr>
      <w:r>
        <w:t xml:space="preserve">olduğu varsayılmaktadır. </w:t>
      </w:r>
    </w:p>
    <w:p w:rsidR="00695E81" w:rsidRPr="00695E81" w:rsidRDefault="00695E81" w:rsidP="001C6AD7">
      <w:pPr>
        <w:spacing w:before="240" w:after="240" w:line="360" w:lineRule="auto"/>
        <w:jc w:val="both"/>
      </w:pPr>
      <w:r>
        <w:tab/>
      </w:r>
      <m:oMath>
        <m:sSub>
          <m:sSubPr>
            <m:ctrlPr>
              <w:rPr>
                <w:rFonts w:ascii="Cambria Math" w:hAnsi="Cambria Math"/>
                <w:i/>
              </w:rPr>
            </m:ctrlPr>
          </m:sSubPr>
          <m:e>
            <m:r>
              <w:rPr>
                <w:rFonts w:ascii="Cambria Math" w:hAnsi="Cambria Math"/>
              </w:rPr>
              <m:t>ε</m:t>
            </m:r>
          </m:e>
          <m:sub>
            <m:r>
              <w:rPr>
                <w:rFonts w:ascii="Cambria Math" w:hAnsi="Cambria Math"/>
              </w:rPr>
              <m:t xml:space="preserve">i </m:t>
            </m:r>
          </m:sub>
        </m:sSub>
      </m:oMath>
      <w:r>
        <w:t xml:space="preserve">; zamana göre sabit olan birim etkileri gösterirken </w:t>
      </w:r>
      <m:oMath>
        <m:sSub>
          <m:sSubPr>
            <m:ctrlPr>
              <w:rPr>
                <w:rFonts w:ascii="Cambria Math" w:hAnsi="Cambria Math"/>
                <w:i/>
              </w:rPr>
            </m:ctrlPr>
          </m:sSubPr>
          <m:e>
            <m:r>
              <w:rPr>
                <w:rFonts w:ascii="Cambria Math" w:hAnsi="Cambria Math"/>
              </w:rPr>
              <m:t>ε</m:t>
            </m:r>
          </m:e>
          <m:sub>
            <m:r>
              <w:rPr>
                <w:rFonts w:ascii="Cambria Math" w:hAnsi="Cambria Math"/>
              </w:rPr>
              <m:t xml:space="preserve">it </m:t>
            </m:r>
          </m:sub>
        </m:sSub>
      </m:oMath>
      <w:r>
        <w:t xml:space="preserve">; hata terimini göstermektedir. </w:t>
      </w:r>
      <w:r w:rsidRPr="00695E81">
        <w:t>Birim etkiyi içermesi sebebi ile sadece sabit parametre değişmekte; zamana göre sabit iken, birimlere göre farklılıklar göstermektedir.</w:t>
      </w:r>
    </w:p>
    <w:p w:rsidR="00257983" w:rsidRDefault="005038CC" w:rsidP="00126FA4">
      <w:pPr>
        <w:pStyle w:val="Balk4"/>
        <w:numPr>
          <w:ilvl w:val="3"/>
          <w:numId w:val="5"/>
        </w:numPr>
      </w:pPr>
      <w:r>
        <w:t xml:space="preserve"> </w:t>
      </w:r>
      <w:bookmarkStart w:id="173" w:name="_Toc384824031"/>
      <w:r>
        <w:t>Rassal Etkiler Modeli (Random Effects)</w:t>
      </w:r>
      <w:bookmarkEnd w:id="173"/>
    </w:p>
    <w:p w:rsidR="00257983" w:rsidRDefault="00257983" w:rsidP="00206CBD">
      <w:pPr>
        <w:spacing w:before="240" w:after="240" w:line="360" w:lineRule="auto"/>
        <w:ind w:firstLine="708"/>
        <w:jc w:val="both"/>
      </w:pPr>
      <w:r>
        <w:t xml:space="preserve">Sabit etkiler modelinin yoğun şekilde kullanılmasına rağmen, çok sayıda yatay kesitin söz konusu olduğu (kukla değişken kullanılmasına bağlı olarak) serbestlik derecesi kaybına neden olmaktadır. </w:t>
      </w:r>
      <w:r w:rsidR="00206CBD">
        <w:t xml:space="preserve">Sabit etkiler modelinin kullanılmasının nedeni, modelin tanımlanmasında zaman içinde değişmeyen konu ile ilgili açıklayıcı değişkenlerin modeli dahil etmekte başarısız olması ve kukla değişkenlerin modele dahil edilmesinin bu bilgisizliği örtmesidir. Eğer kukla değişkenler, aslında doğru model konusunda bilgi vermiyorsa, bu bilgisizliğimizin niçin hata terimi yoluyla ifade edilmiyor? Bunun için rassal etkiler modeli önerilmektedir. </w:t>
      </w:r>
    </w:p>
    <w:p w:rsidR="00D47992" w:rsidRDefault="00D47992" w:rsidP="00206CBD">
      <w:pPr>
        <w:spacing w:before="240" w:after="240" w:line="360" w:lineRule="auto"/>
        <w:ind w:firstLine="708"/>
        <w:jc w:val="both"/>
      </w:pPr>
      <w:r>
        <w:t>Rassal etkiler modelinde, kesitlere ve/veya zamana bağlı meydana gelen değişiklikler, modelde hata teriminin bir bileş</w:t>
      </w:r>
      <w:r w:rsidR="005C7139">
        <w:t xml:space="preserve">eni olarak adlandırılır. Çünkü </w:t>
      </w:r>
      <w:r>
        <w:t>sabit etkiler modelinde karşılaştığımız serbestlik derecesi rassal etkiler modelinde ortadan kalkmaktadır (Baltagi, 2005: 15).</w:t>
      </w:r>
    </w:p>
    <w:p w:rsidR="009128D7" w:rsidRDefault="009128D7" w:rsidP="00206CBD">
      <w:pPr>
        <w:spacing w:before="240" w:after="240" w:line="360" w:lineRule="auto"/>
        <w:ind w:firstLine="708"/>
        <w:jc w:val="both"/>
      </w:pPr>
      <w:r>
        <w:t>Modeldeki bireysel etkiler açıklayıcı değişkenleri açıklayamıyorsa ve birimlerin sabit terimleri birbirleriyle rassal olarak dağılıyorsa, modelin yapılandırılabilmesi buna uygun şekle getirilmelidir (Greene, 2003: 293).</w:t>
      </w:r>
    </w:p>
    <w:p w:rsidR="008E7287" w:rsidRDefault="008E7287" w:rsidP="00206CBD">
      <w:pPr>
        <w:spacing w:before="240" w:after="240" w:line="360" w:lineRule="auto"/>
        <w:ind w:firstLine="708"/>
        <w:jc w:val="both"/>
      </w:pPr>
      <w:r>
        <w:t>Modele seçilen birimler tesadüfi olarak seçildiklerinde, birimler arası farklılıklar da tasadüfi olacaktır. Buradaki birim farklılıklarına “rassal farklılıklar” denilmektedir.</w:t>
      </w:r>
    </w:p>
    <w:p w:rsidR="008E7287" w:rsidRDefault="008E7287" w:rsidP="00206CBD">
      <w:pPr>
        <w:spacing w:before="240" w:after="240" w:line="360" w:lineRule="auto"/>
        <w:ind w:firstLine="708"/>
        <w:jc w:val="both"/>
      </w:pPr>
      <w:r w:rsidRPr="008E7287">
        <w:lastRenderedPageBreak/>
        <w:t>Regresyon analizinde genelde bağımlı değişkenin değerini etkileyen, fakat bağımsız değişken gibi modelde yer almayan çok sayıda faktör olduğu ve bu faktörlerin tesadüfi bir kalıntı tarafından özetlendiği varsayılır.</w:t>
      </w:r>
    </w:p>
    <w:p w:rsidR="008E7287" w:rsidRDefault="008E7287" w:rsidP="00206CBD">
      <w:pPr>
        <w:spacing w:before="240" w:after="240" w:line="360" w:lineRule="auto"/>
        <w:ind w:firstLine="708"/>
        <w:jc w:val="both"/>
      </w:pPr>
      <w:r>
        <w:t xml:space="preserve">Rassal etkiler modelinde birinci tip değişkenler </w:t>
      </w:r>
      <m:oMath>
        <m:sSub>
          <m:sSubPr>
            <m:ctrlPr>
              <w:rPr>
                <w:rFonts w:ascii="Cambria Math" w:hAnsi="Cambria Math"/>
                <w:i/>
              </w:rPr>
            </m:ctrlPr>
          </m:sSubPr>
          <m:e>
            <m:r>
              <w:rPr>
                <w:rFonts w:ascii="Cambria Math" w:hAnsi="Cambria Math"/>
              </w:rPr>
              <m:t>ε</m:t>
            </m:r>
          </m:e>
          <m:sub>
            <m:r>
              <w:rPr>
                <w:rFonts w:ascii="Cambria Math" w:hAnsi="Cambria Math"/>
              </w:rPr>
              <m:t>it</m:t>
            </m:r>
          </m:sub>
        </m:sSub>
      </m:oMath>
      <w:r w:rsidR="00BD7B33">
        <w:t xml:space="preserve"> gibi ifade edilirken; ikinci tip değişkenlerin birim etkileri </w:t>
      </w:r>
      <m:oMath>
        <m:sSub>
          <m:sSubPr>
            <m:ctrlPr>
              <w:rPr>
                <w:rFonts w:ascii="Cambria Math" w:hAnsi="Cambria Math"/>
                <w:i/>
              </w:rPr>
            </m:ctrlPr>
          </m:sSubPr>
          <m:e>
            <m:r>
              <w:rPr>
                <w:rFonts w:ascii="Cambria Math" w:hAnsi="Cambria Math"/>
              </w:rPr>
              <m:t>ε</m:t>
            </m:r>
          </m:e>
          <m:sub>
            <m:r>
              <w:rPr>
                <w:rFonts w:ascii="Cambria Math" w:hAnsi="Cambria Math"/>
              </w:rPr>
              <m:t xml:space="preserve">i </m:t>
            </m:r>
          </m:sub>
        </m:sSub>
      </m:oMath>
      <w:r w:rsidR="00BD7B33">
        <w:t xml:space="preserve">şeklinde ifade edilmektedir. Rassal etkiler modeli, “hata bileşenleri modeli veya “varyans bileşenleri modeli” de denmektedir. </w:t>
      </w:r>
    </w:p>
    <w:p w:rsidR="002D10E7" w:rsidRDefault="002D10E7" w:rsidP="00206CBD">
      <w:pPr>
        <w:spacing w:before="240" w:after="240" w:line="360" w:lineRule="auto"/>
        <w:ind w:firstLine="708"/>
        <w:jc w:val="both"/>
      </w:pPr>
      <w:r>
        <w:t>Genel panel veri denklemi;</w:t>
      </w:r>
    </w:p>
    <w:p w:rsidR="002D10E7" w:rsidRDefault="00E56A11" w:rsidP="002D10E7">
      <w:pPr>
        <w:spacing w:before="240" w:after="240" w:line="360" w:lineRule="auto"/>
        <w:jc w:val="both"/>
      </w:pP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1it</m:t>
            </m:r>
          </m:sub>
        </m:sSub>
        <m:sSub>
          <m:sSubPr>
            <m:ctrlPr>
              <w:rPr>
                <w:rFonts w:ascii="Cambria Math" w:hAnsi="Cambria Math"/>
                <w:i/>
              </w:rPr>
            </m:ctrlPr>
          </m:sSubPr>
          <m:e>
            <m:r>
              <w:rPr>
                <w:rFonts w:ascii="Cambria Math" w:hAnsi="Cambria Math"/>
              </w:rPr>
              <m:t>X</m:t>
            </m:r>
          </m:e>
          <m:sub>
            <m:r>
              <w:rPr>
                <w:rFonts w:ascii="Cambria Math" w:hAnsi="Cambria Math"/>
              </w:rPr>
              <m:t>1it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2it</m:t>
                </m:r>
              </m:sub>
            </m:sSub>
            <m:sSub>
              <m:sSubPr>
                <m:ctrlPr>
                  <w:rPr>
                    <w:rFonts w:ascii="Cambria Math" w:hAnsi="Cambria Math"/>
                    <w:i/>
                  </w:rPr>
                </m:ctrlPr>
              </m:sSubPr>
              <m:e>
                <m:r>
                  <w:rPr>
                    <w:rFonts w:ascii="Cambria Math" w:hAnsi="Cambria Math"/>
                  </w:rPr>
                  <m:t>X</m:t>
                </m:r>
              </m:e>
              <m:sub>
                <m:r>
                  <w:rPr>
                    <w:rFonts w:ascii="Cambria Math" w:hAnsi="Cambria Math"/>
                  </w:rPr>
                  <m:t>2it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jit</m:t>
                </m:r>
              </m:sub>
            </m:sSub>
            <m:sSub>
              <m:sSubPr>
                <m:ctrlPr>
                  <w:rPr>
                    <w:rFonts w:ascii="Cambria Math" w:hAnsi="Cambria Math"/>
                    <w:i/>
                  </w:rPr>
                </m:ctrlPr>
              </m:sSubPr>
              <m:e>
                <m:r>
                  <w:rPr>
                    <w:rFonts w:ascii="Cambria Math" w:hAnsi="Cambria Math"/>
                  </w:rPr>
                  <m:t>X</m:t>
                </m:r>
              </m:e>
              <m:sub>
                <m:r>
                  <w:rPr>
                    <w:rFonts w:ascii="Cambria Math" w:hAnsi="Cambria Math"/>
                  </w:rPr>
                  <m:t>jit</m:t>
                </m:r>
              </m:sub>
            </m:sSub>
            <m:r>
              <w:rPr>
                <w:rFonts w:ascii="Cambria Math" w:hAnsi="Cambria Math"/>
              </w:rPr>
              <m:t>+ε</m:t>
            </m:r>
          </m:e>
          <m:sub>
            <m:r>
              <w:rPr>
                <w:rFonts w:ascii="Cambria Math" w:hAnsi="Cambria Math"/>
              </w:rPr>
              <m:t xml:space="preserve">it </m:t>
            </m:r>
          </m:sub>
        </m:sSub>
        <m:r>
          <w:rPr>
            <w:rFonts w:ascii="Cambria Math" w:hAnsi="Cambria Math"/>
          </w:rPr>
          <m:t xml:space="preserve">  i=1,2,…N  ve t=1      (4.14)</m:t>
        </m:r>
      </m:oMath>
      <w:r w:rsidR="002D10E7">
        <w:t xml:space="preserve">   </w:t>
      </w:r>
    </w:p>
    <w:p w:rsidR="002D10E7" w:rsidRDefault="002D10E7" w:rsidP="002D10E7">
      <w:pPr>
        <w:spacing w:before="240" w:after="240" w:line="360" w:lineRule="auto"/>
        <w:jc w:val="both"/>
      </w:pPr>
      <w:r>
        <w:t>Rassal etkiler modeli</w:t>
      </w:r>
      <w:r w:rsidR="00F265A1">
        <w:t>nin hata terimi (</w:t>
      </w:r>
      <m:oMath>
        <m:sSub>
          <m:sSubPr>
            <m:ctrlPr>
              <w:rPr>
                <w:rFonts w:ascii="Cambria Math" w:hAnsi="Cambria Math"/>
                <w:i/>
              </w:rPr>
            </m:ctrlPr>
          </m:sSubPr>
          <m:e>
            <m:r>
              <w:rPr>
                <w:rFonts w:ascii="Cambria Math" w:hAnsi="Cambria Math"/>
              </w:rPr>
              <m:t>ε</m:t>
            </m:r>
          </m:e>
          <m:sub>
            <m:r>
              <w:rPr>
                <w:rFonts w:ascii="Cambria Math" w:hAnsi="Cambria Math"/>
              </w:rPr>
              <m:t>it</m:t>
            </m:r>
          </m:sub>
        </m:sSub>
      </m:oMath>
      <w:r w:rsidR="00F265A1">
        <w:t>)</w:t>
      </w:r>
      <w:r>
        <w:t>,</w:t>
      </w:r>
    </w:p>
    <w:p w:rsidR="002D10E7" w:rsidRDefault="00E56A11" w:rsidP="002D10E7">
      <w:pPr>
        <w:spacing w:before="240" w:after="240" w:line="360" w:lineRule="auto"/>
        <w:jc w:val="both"/>
      </w:pPr>
      <m:oMath>
        <m:sSub>
          <m:sSubPr>
            <m:ctrlPr>
              <w:rPr>
                <w:rFonts w:ascii="Cambria Math" w:hAnsi="Cambria Math"/>
                <w:i/>
              </w:rPr>
            </m:ctrlPr>
          </m:sSubPr>
          <m:e>
            <m:r>
              <w:rPr>
                <w:rFonts w:ascii="Cambria Math" w:hAnsi="Cambria Math"/>
              </w:rPr>
              <m:t>ε</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i</m:t>
            </m:r>
          </m:sub>
        </m:sSub>
        <m:r>
          <w:rPr>
            <w:rFonts w:ascii="Cambria Math" w:hAnsi="Cambria Math"/>
          </w:rPr>
          <m:t xml:space="preserve">                                                                                                                         (4.15)</m:t>
        </m:r>
      </m:oMath>
      <w:r w:rsidR="002D10E7">
        <w:t xml:space="preserve">   </w:t>
      </w:r>
    </w:p>
    <w:p w:rsidR="002D10E7" w:rsidRDefault="00F265A1" w:rsidP="002D10E7">
      <w:pPr>
        <w:spacing w:before="240" w:after="240" w:line="360" w:lineRule="auto"/>
        <w:jc w:val="both"/>
      </w:pPr>
      <w:r>
        <w:t>şeklinde ifade edildiğinden rassal etkiler modeli;</w:t>
      </w:r>
    </w:p>
    <w:p w:rsidR="00F265A1" w:rsidRDefault="00E56A11" w:rsidP="00F265A1">
      <w:pPr>
        <w:spacing w:before="240" w:after="240" w:line="360" w:lineRule="auto"/>
        <w:jc w:val="both"/>
      </w:pP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1it</m:t>
            </m:r>
          </m:sub>
        </m:sSub>
        <m:sSub>
          <m:sSubPr>
            <m:ctrlPr>
              <w:rPr>
                <w:rFonts w:ascii="Cambria Math" w:hAnsi="Cambria Math"/>
                <w:i/>
              </w:rPr>
            </m:ctrlPr>
          </m:sSubPr>
          <m:e>
            <m:r>
              <w:rPr>
                <w:rFonts w:ascii="Cambria Math" w:hAnsi="Cambria Math"/>
              </w:rPr>
              <m:t>X</m:t>
            </m:r>
          </m:e>
          <m:sub>
            <m:r>
              <w:rPr>
                <w:rFonts w:ascii="Cambria Math" w:hAnsi="Cambria Math"/>
              </w:rPr>
              <m:t>1it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2it</m:t>
                </m:r>
              </m:sub>
            </m:sSub>
            <m:sSub>
              <m:sSubPr>
                <m:ctrlPr>
                  <w:rPr>
                    <w:rFonts w:ascii="Cambria Math" w:hAnsi="Cambria Math"/>
                    <w:i/>
                  </w:rPr>
                </m:ctrlPr>
              </m:sSubPr>
              <m:e>
                <m:r>
                  <w:rPr>
                    <w:rFonts w:ascii="Cambria Math" w:hAnsi="Cambria Math"/>
                  </w:rPr>
                  <m:t>X</m:t>
                </m:r>
              </m:e>
              <m:sub>
                <m:r>
                  <w:rPr>
                    <w:rFonts w:ascii="Cambria Math" w:hAnsi="Cambria Math"/>
                  </w:rPr>
                  <m:t>2it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jit</m:t>
                </m:r>
              </m:sub>
            </m:sSub>
            <m:sSub>
              <m:sSubPr>
                <m:ctrlPr>
                  <w:rPr>
                    <w:rFonts w:ascii="Cambria Math" w:hAnsi="Cambria Math"/>
                    <w:i/>
                  </w:rPr>
                </m:ctrlPr>
              </m:sSubPr>
              <m:e>
                <m:r>
                  <w:rPr>
                    <w:rFonts w:ascii="Cambria Math" w:hAnsi="Cambria Math"/>
                  </w:rPr>
                  <m:t>X</m:t>
                </m:r>
              </m:e>
              <m:sub>
                <m:r>
                  <w:rPr>
                    <w:rFonts w:ascii="Cambria Math" w:hAnsi="Cambria Math"/>
                  </w:rPr>
                  <m:t>jit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m:t>
                </m:r>
              </m:sub>
            </m:sSub>
            <m:r>
              <w:rPr>
                <w:rFonts w:ascii="Cambria Math" w:hAnsi="Cambria Math"/>
              </w:rPr>
              <m:t xml:space="preserve">  </m:t>
            </m:r>
          </m:e>
          <m:sub>
            <m:r>
              <w:rPr>
                <w:rFonts w:ascii="Cambria Math" w:hAnsi="Cambria Math"/>
              </w:rPr>
              <m:t xml:space="preserve"> </m:t>
            </m:r>
          </m:sub>
        </m:sSub>
        <m:r>
          <w:rPr>
            <w:rFonts w:ascii="Cambria Math" w:hAnsi="Cambria Math"/>
          </w:rPr>
          <m:t xml:space="preserve">                                       (4.16)</m:t>
        </m:r>
      </m:oMath>
      <w:r w:rsidR="00F265A1">
        <w:t xml:space="preserve">   </w:t>
      </w:r>
    </w:p>
    <w:p w:rsidR="00F265A1" w:rsidRDefault="00F265A1" w:rsidP="002D10E7">
      <w:pPr>
        <w:spacing w:before="240" w:after="240" w:line="360" w:lineRule="auto"/>
        <w:jc w:val="both"/>
      </w:pPr>
      <w:r>
        <w:t xml:space="preserve">Şeklindedir. </w:t>
      </w:r>
      <m:oMath>
        <m:sSub>
          <m:sSubPr>
            <m:ctrlPr>
              <w:rPr>
                <w:rFonts w:ascii="Cambria Math" w:hAnsi="Cambria Math"/>
                <w:i/>
              </w:rPr>
            </m:ctrlPr>
          </m:sSubPr>
          <m:e>
            <m:r>
              <w:rPr>
                <w:rFonts w:ascii="Cambria Math" w:hAnsi="Cambria Math"/>
              </w:rPr>
              <m:t>μ</m:t>
            </m:r>
          </m:e>
          <m:sub>
            <m:r>
              <w:rPr>
                <w:rFonts w:ascii="Cambria Math" w:hAnsi="Cambria Math"/>
              </w:rPr>
              <m:t>i</m:t>
            </m:r>
          </m:sub>
        </m:sSub>
      </m:oMath>
      <w:r>
        <w:t xml:space="preserve"> ; sabit değil rassal olduğu varsayıldığından hata teriminin içinde ifade edilmiştir. </w:t>
      </w:r>
    </w:p>
    <w:p w:rsidR="00F265A1" w:rsidRDefault="00F265A1" w:rsidP="002D10E7">
      <w:pPr>
        <w:spacing w:before="240" w:after="240" w:line="360" w:lineRule="auto"/>
        <w:jc w:val="both"/>
      </w:pPr>
      <w:r>
        <w:tab/>
        <w:t>Rassal etkiler modeli;</w:t>
      </w:r>
    </w:p>
    <w:p w:rsidR="00F265A1" w:rsidRPr="004C6325" w:rsidRDefault="00E56A11" w:rsidP="00F265A1">
      <w:pPr>
        <w:spacing w:before="240" w:after="240" w:line="360" w:lineRule="auto"/>
        <w:jc w:val="both"/>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0it</m:t>
              </m:r>
            </m:sub>
          </m:sSub>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sSub>
                <m:sSubPr>
                  <m:ctrlPr>
                    <w:rPr>
                      <w:rFonts w:ascii="Cambria Math" w:hAnsi="Cambria Math"/>
                      <w:i/>
                    </w:rPr>
                  </m:ctrlPr>
                </m:sSubPr>
                <m:e>
                  <m:r>
                    <w:rPr>
                      <w:rFonts w:ascii="Cambria Math" w:hAnsi="Cambria Math"/>
                    </w:rPr>
                    <m:t>β</m:t>
                  </m:r>
                </m:e>
                <m:sub>
                  <m:r>
                    <w:rPr>
                      <w:rFonts w:ascii="Cambria Math" w:hAnsi="Cambria Math"/>
                    </w:rPr>
                    <m:t>j</m:t>
                  </m:r>
                </m:sub>
              </m:sSub>
            </m:e>
          </m:nary>
          <m:sSub>
            <m:sSubPr>
              <m:ctrlPr>
                <w:rPr>
                  <w:rFonts w:ascii="Cambria Math" w:hAnsi="Cambria Math"/>
                  <w:i/>
                </w:rPr>
              </m:ctrlPr>
            </m:sSubPr>
            <m:e>
              <m:r>
                <w:rPr>
                  <w:rFonts w:ascii="Cambria Math" w:hAnsi="Cambria Math"/>
                </w:rPr>
                <m:t>X</m:t>
              </m:r>
            </m:e>
            <m:sub>
              <m:r>
                <w:rPr>
                  <w:rFonts w:ascii="Cambria Math" w:hAnsi="Cambria Math"/>
                </w:rPr>
                <m:t>jit</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m:t>
              </m:r>
            </m:sub>
          </m:sSub>
          <m:r>
            <w:rPr>
              <w:rFonts w:ascii="Cambria Math" w:hAnsi="Cambria Math"/>
            </w:rPr>
            <m:t xml:space="preserve">                                                                                         (4.17)</m:t>
          </m:r>
        </m:oMath>
      </m:oMathPara>
    </w:p>
    <w:p w:rsidR="004C6325" w:rsidRDefault="004C6325" w:rsidP="002D10E7">
      <w:pPr>
        <w:spacing w:before="240" w:after="240" w:line="360" w:lineRule="auto"/>
        <w:jc w:val="both"/>
      </w:pPr>
      <w:r w:rsidRPr="004C6325">
        <w:rPr>
          <w:i/>
        </w:rPr>
        <w:t>i:</w:t>
      </w:r>
      <w:r>
        <w:t xml:space="preserve"> yatay kesit biriminin sabitini</w:t>
      </w:r>
    </w:p>
    <w:p w:rsidR="00F265A1" w:rsidRPr="004C6325" w:rsidRDefault="00E56A11" w:rsidP="002D10E7">
      <w:pPr>
        <w:spacing w:before="240" w:after="240" w:line="360" w:lineRule="auto"/>
        <w:jc w:val="both"/>
      </w:pPr>
      <m:oMath>
        <m:sSub>
          <m:sSubPr>
            <m:ctrlPr>
              <w:rPr>
                <w:rFonts w:ascii="Cambria Math" w:hAnsi="Cambria Math"/>
                <w:i/>
              </w:rPr>
            </m:ctrlPr>
          </m:sSubPr>
          <m:e>
            <m:r>
              <w:rPr>
                <w:rFonts w:ascii="Cambria Math" w:hAnsi="Cambria Math"/>
              </w:rPr>
              <m:t>v</m:t>
            </m:r>
          </m:e>
          <m:sub>
            <m:r>
              <w:rPr>
                <w:rFonts w:ascii="Cambria Math" w:hAnsi="Cambria Math"/>
              </w:rPr>
              <m:t>it</m:t>
            </m:r>
          </m:sub>
        </m:sSub>
      </m:oMath>
      <w:r w:rsidR="004C6325">
        <w:t xml:space="preserve"> : tüm hataları ve</w:t>
      </w:r>
    </w:p>
    <w:p w:rsidR="004C6325" w:rsidRDefault="00E56A11" w:rsidP="002D10E7">
      <w:pPr>
        <w:spacing w:before="240" w:after="240" w:line="360" w:lineRule="auto"/>
        <w:jc w:val="both"/>
      </w:pPr>
      <m:oMath>
        <m:sSub>
          <m:sSubPr>
            <m:ctrlPr>
              <w:rPr>
                <w:rFonts w:ascii="Cambria Math" w:hAnsi="Cambria Math"/>
                <w:i/>
              </w:rPr>
            </m:ctrlPr>
          </m:sSubPr>
          <m:e>
            <m:r>
              <w:rPr>
                <w:rFonts w:ascii="Cambria Math" w:hAnsi="Cambria Math"/>
              </w:rPr>
              <m:t>μ</m:t>
            </m:r>
          </m:e>
          <m:sub>
            <m:r>
              <w:rPr>
                <w:rFonts w:ascii="Cambria Math" w:hAnsi="Cambria Math"/>
              </w:rPr>
              <m:t>i</m:t>
            </m:r>
          </m:sub>
        </m:sSub>
      </m:oMath>
      <w:r w:rsidR="004C6325">
        <w:t xml:space="preserve"> : birim hatayı, </w:t>
      </w:r>
      <w:r w:rsidR="004C6325" w:rsidRPr="004C6325">
        <w:t>birim farklılıkları</w:t>
      </w:r>
      <w:r w:rsidR="004C6325">
        <w:t xml:space="preserve">nı ve sabit zaman göre birimler </w:t>
      </w:r>
      <w:r w:rsidR="004C6325" w:rsidRPr="004C6325">
        <w:t>arasındaki değişmeyi gösterir</w:t>
      </w:r>
      <w:r w:rsidR="004C6325">
        <w:t>.</w:t>
      </w:r>
    </w:p>
    <w:p w:rsidR="00F801E7" w:rsidRDefault="00F801E7" w:rsidP="000624A1">
      <w:pPr>
        <w:pStyle w:val="ListeParagraf"/>
        <w:numPr>
          <w:ilvl w:val="2"/>
          <w:numId w:val="5"/>
        </w:numPr>
        <w:spacing w:before="240" w:after="240" w:line="360" w:lineRule="auto"/>
        <w:ind w:left="630" w:hanging="630"/>
        <w:jc w:val="both"/>
        <w:outlineLvl w:val="2"/>
        <w:rPr>
          <w:b/>
        </w:rPr>
      </w:pPr>
      <w:bookmarkStart w:id="174" w:name="_Toc384824032"/>
      <w:r w:rsidRPr="00F801E7">
        <w:rPr>
          <w:b/>
        </w:rPr>
        <w:t>Dinamik Panel Veri Modelleri</w:t>
      </w:r>
      <w:bookmarkEnd w:id="174"/>
    </w:p>
    <w:p w:rsidR="00B72044" w:rsidRDefault="00B72044" w:rsidP="005462CB">
      <w:pPr>
        <w:spacing w:before="240" w:after="240" w:line="360" w:lineRule="auto"/>
        <w:ind w:firstLine="709"/>
        <w:jc w:val="both"/>
      </w:pPr>
      <w:r>
        <w:t xml:space="preserve">Dinamik panel veri modelleri, </w:t>
      </w:r>
      <w:r w:rsidR="005462CB">
        <w:t>statik panel veri modellerinden farkı içerisinde gecikmeli değişken ya da değişkenler bulunduran modellerdir. Dinamik panel ver</w:t>
      </w:r>
      <w:r w:rsidR="00177A24">
        <w:t xml:space="preserve">i </w:t>
      </w:r>
      <w:r w:rsidR="00177A24">
        <w:lastRenderedPageBreak/>
        <w:t>modelleri ikiye ayrılır. Dağıt</w:t>
      </w:r>
      <w:r w:rsidR="005462CB">
        <w:t xml:space="preserve">ılmış gecikmeli panel veri modelleri ve otoregresif panel veri modelleridir. </w:t>
      </w:r>
    </w:p>
    <w:p w:rsidR="00177A24" w:rsidRPr="00B72044" w:rsidRDefault="00177A24" w:rsidP="005462CB">
      <w:pPr>
        <w:spacing w:before="240" w:after="240" w:line="360" w:lineRule="auto"/>
        <w:ind w:firstLine="709"/>
        <w:jc w:val="both"/>
      </w:pPr>
      <w:r>
        <w:t xml:space="preserve">Otoregresif panel veri modellerinde bağımlı değişkenlerin gecikmeli değerleri bağımsız değişken olarak yer almaktadır. Dağıtılmış gecikmeli panel veri modellerinde ise bağımsız değişkenlerin gecikmeli değeri bağımsız değişken olarak yer almaktadır (Tatoğlu, 2012: 65). </w:t>
      </w:r>
    </w:p>
    <w:p w:rsidR="002E2DB6" w:rsidRPr="0071175A" w:rsidRDefault="0031716B" w:rsidP="0031716B">
      <w:pPr>
        <w:pStyle w:val="Balk2"/>
        <w:numPr>
          <w:ilvl w:val="0"/>
          <w:numId w:val="0"/>
        </w:numPr>
        <w:ind w:left="360" w:hanging="360"/>
      </w:pPr>
      <w:bookmarkStart w:id="175" w:name="_Toc384824033"/>
      <w:r>
        <w:t>4.4.</w:t>
      </w:r>
      <w:r w:rsidR="00BC0254">
        <w:t xml:space="preserve"> </w:t>
      </w:r>
      <w:r w:rsidR="00DD3587">
        <w:t>VERİ SETİ VE MODEL</w:t>
      </w:r>
      <w:bookmarkEnd w:id="175"/>
    </w:p>
    <w:p w:rsidR="002E2DB6" w:rsidRDefault="002E2DB6" w:rsidP="002E2DB6">
      <w:pPr>
        <w:pStyle w:val="ListeParagraf"/>
        <w:tabs>
          <w:tab w:val="left" w:pos="709"/>
          <w:tab w:val="left" w:pos="851"/>
        </w:tabs>
        <w:spacing w:before="240" w:after="240" w:line="360" w:lineRule="auto"/>
        <w:ind w:left="0"/>
        <w:jc w:val="both"/>
        <w:rPr>
          <w:bCs/>
        </w:rPr>
      </w:pPr>
      <w:r>
        <w:rPr>
          <w:bCs/>
        </w:rPr>
        <w:tab/>
      </w:r>
      <w:r w:rsidRPr="00F54490">
        <w:rPr>
          <w:bCs/>
        </w:rPr>
        <w:t xml:space="preserve">Bu </w:t>
      </w:r>
      <w:r>
        <w:rPr>
          <w:bCs/>
        </w:rPr>
        <w:t>çalışmada 24 OECD ülkesine</w:t>
      </w:r>
      <w:r>
        <w:rPr>
          <w:rStyle w:val="DipnotBavurusu"/>
          <w:bCs/>
        </w:rPr>
        <w:footnoteReference w:id="43"/>
      </w:r>
      <w:r>
        <w:rPr>
          <w:bCs/>
        </w:rPr>
        <w:t xml:space="preserve"> ait, 1971-2011 dönemi, yıllık kişi başı karbondioksit emisyonu (measured in metric kilograms per capita), kişi başı </w:t>
      </w:r>
      <w:r w:rsidRPr="00E11AD2">
        <w:rPr>
          <w:bCs/>
          <w:i/>
        </w:rPr>
        <w:t>GSYİH</w:t>
      </w:r>
      <w:r>
        <w:rPr>
          <w:bCs/>
        </w:rPr>
        <w:t xml:space="preserve"> (constant 2005 US$), kişi başı enerji tüketimi (measured in kg of oil equvalent per capita) ve ticari açıklık (trade opennes, % of </w:t>
      </w:r>
      <w:r w:rsidRPr="00E11AD2">
        <w:rPr>
          <w:bCs/>
          <w:i/>
        </w:rPr>
        <w:t>GDP</w:t>
      </w:r>
      <w:r>
        <w:rPr>
          <w:bCs/>
        </w:rPr>
        <w:t xml:space="preserve">) verileri kullanılmıştır. </w:t>
      </w:r>
      <w:r w:rsidR="00746BED" w:rsidRPr="00746BED">
        <w:rPr>
          <w:bCs/>
        </w:rPr>
        <w:t>Değişken seçiminde Soytaş vd</w:t>
      </w:r>
      <w:proofErr w:type="gramStart"/>
      <w:r w:rsidR="00746BED" w:rsidRPr="00746BED">
        <w:rPr>
          <w:bCs/>
        </w:rPr>
        <w:t>.,</w:t>
      </w:r>
      <w:proofErr w:type="gramEnd"/>
      <w:r w:rsidR="00746BED" w:rsidRPr="00746BED">
        <w:rPr>
          <w:bCs/>
        </w:rPr>
        <w:t xml:space="preserve"> 2007, Bella vd., 2010 ve Öztürk ve Acaravci, 2012 örnek alınmıştır.</w:t>
      </w:r>
      <w:r w:rsidR="00746BED">
        <w:rPr>
          <w:bCs/>
        </w:rPr>
        <w:t xml:space="preserve"> </w:t>
      </w:r>
      <w:r w:rsidR="002829BE">
        <w:rPr>
          <w:bCs/>
        </w:rPr>
        <w:t>Ticari açıklık verisi</w:t>
      </w:r>
      <w:r>
        <w:rPr>
          <w:bCs/>
        </w:rPr>
        <w:t xml:space="preserve"> ise ihracat için </w:t>
      </w:r>
      <w:r w:rsidRPr="00E11AD2">
        <w:rPr>
          <w:bCs/>
          <w:i/>
        </w:rPr>
        <w:t>OPEX</w:t>
      </w:r>
      <w:r>
        <w:rPr>
          <w:bCs/>
        </w:rPr>
        <w:t xml:space="preserve"> (ihracat/</w:t>
      </w:r>
      <w:r w:rsidRPr="00E11AD2">
        <w:rPr>
          <w:bCs/>
          <w:i/>
        </w:rPr>
        <w:t>GSYİH</w:t>
      </w:r>
      <w:r>
        <w:rPr>
          <w:bCs/>
        </w:rPr>
        <w:t xml:space="preserve">) ve ithalat </w:t>
      </w:r>
      <w:r w:rsidRPr="00E11AD2">
        <w:rPr>
          <w:bCs/>
          <w:i/>
        </w:rPr>
        <w:t>OPIM</w:t>
      </w:r>
      <w:r>
        <w:rPr>
          <w:bCs/>
        </w:rPr>
        <w:t xml:space="preserve"> (ithalat/</w:t>
      </w:r>
      <w:r w:rsidRPr="00E11AD2">
        <w:rPr>
          <w:bCs/>
          <w:i/>
        </w:rPr>
        <w:t>GSYİH</w:t>
      </w:r>
      <w:r>
        <w:rPr>
          <w:bCs/>
        </w:rPr>
        <w:t>) olarak iki değ</w:t>
      </w:r>
      <w:r w:rsidR="00746BED">
        <w:rPr>
          <w:bCs/>
        </w:rPr>
        <w:t>işken olarak modele dahil edilmiştir</w:t>
      </w:r>
      <w:r>
        <w:rPr>
          <w:bCs/>
        </w:rPr>
        <w:t xml:space="preserve">. Verilerden kişi başı </w:t>
      </w:r>
      <w:r w:rsidRPr="00341E92">
        <w:rPr>
          <w:bCs/>
          <w:i/>
        </w:rPr>
        <w:t>GSYİH (GDP),</w:t>
      </w:r>
      <w:r>
        <w:rPr>
          <w:bCs/>
        </w:rPr>
        <w:t xml:space="preserve"> kişi başı enerji tüketimi </w:t>
      </w:r>
      <w:r w:rsidRPr="00341E92">
        <w:rPr>
          <w:bCs/>
          <w:i/>
        </w:rPr>
        <w:t>(EC)</w:t>
      </w:r>
      <w:r>
        <w:rPr>
          <w:bCs/>
        </w:rPr>
        <w:t xml:space="preserve"> ve ticari açıklık </w:t>
      </w:r>
      <w:r w:rsidRPr="00341E92">
        <w:rPr>
          <w:bCs/>
          <w:i/>
        </w:rPr>
        <w:t>(OPEX ve OPIM)</w:t>
      </w:r>
      <w:r>
        <w:rPr>
          <w:bCs/>
        </w:rPr>
        <w:t xml:space="preserve"> dünya bankasından (World </w:t>
      </w:r>
      <w:r w:rsidR="00DF04E4">
        <w:rPr>
          <w:bCs/>
        </w:rPr>
        <w:t>B</w:t>
      </w:r>
      <w:r>
        <w:rPr>
          <w:bCs/>
        </w:rPr>
        <w:t xml:space="preserve">ank </w:t>
      </w:r>
      <w:r w:rsidR="00DF04E4">
        <w:rPr>
          <w:bCs/>
        </w:rPr>
        <w:t>I</w:t>
      </w:r>
      <w:r>
        <w:rPr>
          <w:bCs/>
        </w:rPr>
        <w:t>ndicator),  kişi başı</w:t>
      </w:r>
      <w:r w:rsidRPr="004B2098">
        <w:rPr>
          <w:bCs/>
        </w:rPr>
        <w:t xml:space="preserve"> </w:t>
      </w:r>
      <w:r>
        <w:rPr>
          <w:bCs/>
        </w:rPr>
        <w:t xml:space="preserve">karbon emisyonu </w:t>
      </w:r>
      <w:r w:rsidRPr="00AF6FD9">
        <w:rPr>
          <w:bCs/>
          <w:i/>
        </w:rPr>
        <w:t>(CO)</w:t>
      </w:r>
      <w:r>
        <w:rPr>
          <w:bCs/>
        </w:rPr>
        <w:t xml:space="preserve"> ise </w:t>
      </w:r>
      <w:r w:rsidR="00DF04E4">
        <w:rPr>
          <w:bCs/>
        </w:rPr>
        <w:t>U</w:t>
      </w:r>
      <w:r>
        <w:rPr>
          <w:bCs/>
        </w:rPr>
        <w:t xml:space="preserve">luslararası </w:t>
      </w:r>
      <w:r w:rsidR="00DF04E4">
        <w:rPr>
          <w:bCs/>
        </w:rPr>
        <w:t>E</w:t>
      </w:r>
      <w:r>
        <w:rPr>
          <w:bCs/>
        </w:rPr>
        <w:t xml:space="preserve">nerji </w:t>
      </w:r>
      <w:r w:rsidR="00DF04E4">
        <w:rPr>
          <w:bCs/>
        </w:rPr>
        <w:t>A</w:t>
      </w:r>
      <w:r>
        <w:rPr>
          <w:bCs/>
        </w:rPr>
        <w:t>jansı</w:t>
      </w:r>
      <w:r w:rsidR="00DF04E4">
        <w:rPr>
          <w:bCs/>
        </w:rPr>
        <w:t>’</w:t>
      </w:r>
      <w:r>
        <w:rPr>
          <w:bCs/>
        </w:rPr>
        <w:t>ndan (</w:t>
      </w:r>
      <w:r w:rsidR="00912836">
        <w:rPr>
          <w:bCs/>
        </w:rPr>
        <w:t>IEA</w:t>
      </w:r>
      <w:r>
        <w:rPr>
          <w:bCs/>
        </w:rPr>
        <w:t>) alınmıştır. OECD üyesi olup verisi bulunmayan veya eksik olan Çek Cumhuriyeti, Estonya, İrlanda, İsviçre, Polonya, Slovakya, Slovenya ve Yeni Zelanda ülkeleri analiz dışında tutulmuştur. Analiz sonucunda değişen varyans sorunuyla karşılaşmamak için veri setinde anormal dalgalanmaların bulunduğu Lüksemburg ve İzlanda</w:t>
      </w:r>
      <w:r w:rsidRPr="001A565E">
        <w:rPr>
          <w:bCs/>
          <w:color w:val="FF0000"/>
        </w:rPr>
        <w:t xml:space="preserve"> </w:t>
      </w:r>
      <w:r>
        <w:rPr>
          <w:bCs/>
        </w:rPr>
        <w:t>ülkeleri outlier (dışa düşen) değerlendirilmiş ve analiz dışı bı</w:t>
      </w:r>
      <w:r w:rsidR="00707BBA">
        <w:rPr>
          <w:bCs/>
        </w:rPr>
        <w:t xml:space="preserve">rakılmıştır. Analiz için Gauss </w:t>
      </w:r>
      <w:proofErr w:type="gramStart"/>
      <w:r w:rsidR="00707BBA">
        <w:rPr>
          <w:bCs/>
        </w:rPr>
        <w:t>10</w:t>
      </w:r>
      <w:r w:rsidR="004A4C08">
        <w:rPr>
          <w:bCs/>
        </w:rPr>
        <w:t>.0</w:t>
      </w:r>
      <w:proofErr w:type="gramEnd"/>
      <w:r w:rsidR="004A4C08">
        <w:rPr>
          <w:bCs/>
        </w:rPr>
        <w:t xml:space="preserve"> ve </w:t>
      </w:r>
      <w:r w:rsidR="002829BE">
        <w:rPr>
          <w:bCs/>
        </w:rPr>
        <w:t>S</w:t>
      </w:r>
      <w:r w:rsidR="004A4C08">
        <w:rPr>
          <w:bCs/>
        </w:rPr>
        <w:t>tata 10.1</w:t>
      </w:r>
      <w:r>
        <w:rPr>
          <w:bCs/>
        </w:rPr>
        <w:t xml:space="preserve"> ekonometrik analiz programlarından yararlanılmıştır. </w:t>
      </w:r>
    </w:p>
    <w:p w:rsidR="002E2DB6" w:rsidRDefault="002E2DB6" w:rsidP="002E2DB6">
      <w:pPr>
        <w:pStyle w:val="ListeParagraf"/>
        <w:tabs>
          <w:tab w:val="left" w:pos="709"/>
          <w:tab w:val="left" w:pos="851"/>
        </w:tabs>
        <w:spacing w:before="240" w:after="240" w:line="360" w:lineRule="auto"/>
        <w:ind w:left="0"/>
        <w:jc w:val="both"/>
        <w:rPr>
          <w:bCs/>
        </w:rPr>
      </w:pPr>
      <w:r>
        <w:rPr>
          <w:bCs/>
        </w:rPr>
        <w:tab/>
        <w:t>OPEX ve OPIM serileri yüzde olarak alınmış ve CO, GDP ve EC serileri ise düzey değerleriyle logatitmaları alınarak modele dahil edilmiştir. Ayrıca OPIM serisi m</w:t>
      </w:r>
      <w:r w:rsidR="00532F28">
        <w:rPr>
          <w:bCs/>
        </w:rPr>
        <w:t>o</w:t>
      </w:r>
      <w:r>
        <w:rPr>
          <w:bCs/>
        </w:rPr>
        <w:t>dele negatif olarak eklenmiştir. Çalışma</w:t>
      </w:r>
      <w:r w:rsidR="00CE491A">
        <w:rPr>
          <w:bCs/>
        </w:rPr>
        <w:t xml:space="preserve"> 3 tane matematiksel model halinde analiz edilmiştir. Bu çalışmanın matematiksel modelleri denklem 4.18’de verilmiştir:</w:t>
      </w:r>
    </w:p>
    <w:p w:rsidR="00974745" w:rsidRDefault="00974745" w:rsidP="002E2DB6">
      <w:pPr>
        <w:pStyle w:val="ListeParagraf"/>
        <w:tabs>
          <w:tab w:val="left" w:pos="709"/>
          <w:tab w:val="left" w:pos="851"/>
        </w:tabs>
        <w:spacing w:before="240" w:after="240" w:line="360" w:lineRule="auto"/>
        <w:ind w:left="0"/>
        <w:jc w:val="both"/>
        <w:rPr>
          <w:bCs/>
        </w:rPr>
      </w:pPr>
    </w:p>
    <w:p w:rsidR="00CE491A" w:rsidRPr="00CE491A" w:rsidRDefault="00CE491A" w:rsidP="002E2DB6">
      <w:pPr>
        <w:spacing w:before="240" w:after="240" w:line="360" w:lineRule="auto"/>
        <w:jc w:val="both"/>
      </w:pPr>
      <m:oMathPara>
        <m:oMathParaPr>
          <m:jc m:val="left"/>
        </m:oMathParaPr>
        <m:oMath>
          <m:r>
            <w:rPr>
              <w:rFonts w:ascii="Cambria Math" w:hAnsi="Cambria Math"/>
            </w:rPr>
            <w:lastRenderedPageBreak/>
            <m:t>Model I :    CO=GDP</m:t>
          </m:r>
        </m:oMath>
      </m:oMathPara>
    </w:p>
    <w:p w:rsidR="00CE491A" w:rsidRDefault="00CE491A" w:rsidP="00CE491A">
      <w:pPr>
        <w:spacing w:before="240" w:after="240" w:line="360" w:lineRule="auto"/>
        <w:jc w:val="both"/>
        <w:rPr>
          <w:b/>
        </w:rPr>
      </w:pPr>
      <m:oMath>
        <m:r>
          <w:rPr>
            <w:rFonts w:ascii="Cambria Math" w:hAnsi="Cambria Math"/>
          </w:rPr>
          <m:t>Model II:     CO=EC</m:t>
        </m:r>
      </m:oMath>
      <w:r>
        <w:t xml:space="preserve">                                                                      </w:t>
      </w:r>
      <w:r w:rsidR="00981C03">
        <w:t xml:space="preserve">                      </w:t>
      </w:r>
      <w:r>
        <w:t xml:space="preserve">  (4.18)</w:t>
      </w:r>
    </w:p>
    <w:p w:rsidR="002E2DB6" w:rsidRDefault="00CE491A" w:rsidP="002E2DB6">
      <w:pPr>
        <w:spacing w:before="240" w:after="240" w:line="360" w:lineRule="auto"/>
        <w:jc w:val="both"/>
        <w:rPr>
          <w:b/>
        </w:rPr>
      </w:pPr>
      <m:oMath>
        <m:r>
          <w:rPr>
            <w:rFonts w:ascii="Cambria Math" w:hAnsi="Cambria Math"/>
          </w:rPr>
          <m:t>Model III:    CO=OP</m:t>
        </m:r>
      </m:oMath>
      <w:r w:rsidR="002E2DB6">
        <w:t>EX - OPIM</w:t>
      </w:r>
      <w:r w:rsidR="002E2DB6">
        <w:tab/>
      </w:r>
    </w:p>
    <w:p w:rsidR="002E2DB6" w:rsidRDefault="00CE491A" w:rsidP="002E2DB6">
      <w:pPr>
        <w:pStyle w:val="ListeParagraf"/>
        <w:tabs>
          <w:tab w:val="left" w:pos="709"/>
          <w:tab w:val="left" w:pos="851"/>
        </w:tabs>
        <w:spacing w:before="240" w:after="240" w:line="360" w:lineRule="auto"/>
        <w:ind w:left="0"/>
        <w:jc w:val="both"/>
        <w:rPr>
          <w:bCs/>
        </w:rPr>
      </w:pPr>
      <w:r>
        <w:rPr>
          <w:bCs/>
        </w:rPr>
        <w:t>biçiminde olup, bu denklem 4.18’deki matematiksel modeller,</w:t>
      </w:r>
      <w:r w:rsidR="002E2DB6">
        <w:rPr>
          <w:bCs/>
        </w:rPr>
        <w:t xml:space="preserve"> ekonometrik modele dönüştürüldüğünde:</w:t>
      </w:r>
    </w:p>
    <w:p w:rsidR="00CE491A" w:rsidRPr="00981C03" w:rsidRDefault="00E56A11" w:rsidP="002E2DB6">
      <w:pPr>
        <w:pStyle w:val="ListeParagraf"/>
        <w:tabs>
          <w:tab w:val="left" w:pos="709"/>
          <w:tab w:val="left" w:pos="851"/>
        </w:tabs>
        <w:spacing w:before="240" w:after="240" w:line="360" w:lineRule="auto"/>
        <w:ind w:left="0"/>
        <w:jc w:val="both"/>
        <w:rPr>
          <w:bCs/>
        </w:rPr>
      </w:pPr>
      <m:oMathPara>
        <m:oMathParaPr>
          <m:jc m:val="left"/>
        </m:oMathParaPr>
        <m:oMath>
          <m:sSub>
            <m:sSubPr>
              <m:ctrlPr>
                <w:rPr>
                  <w:rFonts w:ascii="Cambria Math" w:hAnsi="Cambria Math"/>
                  <w:i/>
                </w:rPr>
              </m:ctrlPr>
            </m:sSubPr>
            <m:e>
              <m:r>
                <w:rPr>
                  <w:rFonts w:ascii="Cambria Math" w:hAnsi="Cambria Math"/>
                </w:rPr>
                <m:t>Model I:     lnCO</m:t>
              </m:r>
            </m:e>
            <m:sub>
              <m:r>
                <w:rPr>
                  <w:rFonts w:ascii="Cambria Math" w:hAnsi="Cambria Math"/>
                </w:rPr>
                <m:t xml:space="preserve">it  </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lnGDP+</m:t>
          </m:r>
          <m:sSub>
            <m:sSubPr>
              <m:ctrlPr>
                <w:rPr>
                  <w:rFonts w:ascii="Cambria Math" w:hAnsi="Cambria Math"/>
                  <w:i/>
                </w:rPr>
              </m:ctrlPr>
            </m:sSubPr>
            <m:e>
              <m:r>
                <w:rPr>
                  <w:rFonts w:ascii="Cambria Math" w:hAnsi="Cambria Math"/>
                  <w:color w:val="000000"/>
                </w:rPr>
                <m:t xml:space="preserve"> ε</m:t>
              </m:r>
            </m:e>
            <m:sub>
              <m:r>
                <w:rPr>
                  <w:rFonts w:ascii="Cambria Math" w:hAnsi="Cambria Math"/>
                </w:rPr>
                <m:t>it</m:t>
              </m:r>
            </m:sub>
          </m:sSub>
          <m:r>
            <w:rPr>
              <w:rFonts w:ascii="Cambria Math" w:hAnsi="Cambria Math"/>
            </w:rPr>
            <m:t xml:space="preserve">                                    </m:t>
          </m:r>
        </m:oMath>
      </m:oMathPara>
    </w:p>
    <w:p w:rsidR="002E2DB6" w:rsidRDefault="00E56A11" w:rsidP="002E2DB6">
      <w:pPr>
        <w:spacing w:before="240" w:after="240" w:line="360" w:lineRule="auto"/>
        <w:jc w:val="both"/>
      </w:pPr>
      <m:oMath>
        <m:sSub>
          <m:sSubPr>
            <m:ctrlPr>
              <w:rPr>
                <w:rFonts w:ascii="Cambria Math" w:hAnsi="Cambria Math"/>
                <w:i/>
              </w:rPr>
            </m:ctrlPr>
          </m:sSubPr>
          <m:e>
            <m:r>
              <w:rPr>
                <w:rFonts w:ascii="Cambria Math" w:hAnsi="Cambria Math"/>
              </w:rPr>
              <m:t>Model II:     lnCO</m:t>
            </m:r>
          </m:e>
          <m:sub>
            <m:r>
              <w:rPr>
                <w:rFonts w:ascii="Cambria Math" w:hAnsi="Cambria Math"/>
              </w:rPr>
              <m:t xml:space="preserve">it  </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 xml:space="preserve">1 </m:t>
            </m:r>
          </m:sub>
        </m:sSub>
        <m:sSub>
          <m:sSubPr>
            <m:ctrlPr>
              <w:rPr>
                <w:rFonts w:ascii="Cambria Math" w:hAnsi="Cambria Math"/>
                <w:i/>
              </w:rPr>
            </m:ctrlPr>
          </m:sSubPr>
          <m:e>
            <m:r>
              <w:rPr>
                <w:rFonts w:ascii="Cambria Math" w:hAnsi="Cambria Math"/>
              </w:rPr>
              <m:t>lnEC</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color w:val="000000"/>
              </w:rPr>
              <m:t xml:space="preserve"> ε</m:t>
            </m:r>
          </m:e>
          <m:sub>
            <m:r>
              <w:rPr>
                <w:rFonts w:ascii="Cambria Math" w:hAnsi="Cambria Math"/>
              </w:rPr>
              <m:t>it</m:t>
            </m:r>
          </m:sub>
        </m:sSub>
        <m:r>
          <w:rPr>
            <w:rFonts w:ascii="Cambria Math" w:hAnsi="Cambria Math"/>
          </w:rPr>
          <m:t xml:space="preserve">                                                         </m:t>
        </m:r>
      </m:oMath>
      <w:r w:rsidR="002E2DB6">
        <w:t>(4.19)</w:t>
      </w:r>
    </w:p>
    <w:p w:rsidR="00CE491A" w:rsidRPr="00981C03" w:rsidRDefault="00E56A11" w:rsidP="002E2DB6">
      <w:pPr>
        <w:spacing w:before="240" w:after="240" w:line="360" w:lineRule="auto"/>
        <w:jc w:val="both"/>
        <w:rPr>
          <w:b/>
        </w:rPr>
      </w:pPr>
      <m:oMathPara>
        <m:oMathParaPr>
          <m:jc m:val="left"/>
        </m:oMathParaPr>
        <m:oMath>
          <m:sSub>
            <m:sSubPr>
              <m:ctrlPr>
                <w:rPr>
                  <w:rFonts w:ascii="Cambria Math" w:hAnsi="Cambria Math"/>
                  <w:i/>
                </w:rPr>
              </m:ctrlPr>
            </m:sSubPr>
            <m:e>
              <m:r>
                <w:rPr>
                  <w:rFonts w:ascii="Cambria Math" w:hAnsi="Cambria Math"/>
                </w:rPr>
                <m:t>Model III:    lnCO</m:t>
              </m:r>
            </m:e>
            <m:sub>
              <m:r>
                <w:rPr>
                  <w:rFonts w:ascii="Cambria Math" w:hAnsi="Cambria Math"/>
                </w:rPr>
                <m:t xml:space="preserve">it  </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 xml:space="preserve">1 </m:t>
              </m:r>
            </m:sub>
          </m:sSub>
          <m:sSub>
            <m:sSubPr>
              <m:ctrlPr>
                <w:rPr>
                  <w:rFonts w:ascii="Cambria Math" w:hAnsi="Cambria Math"/>
                  <w:i/>
                </w:rPr>
              </m:ctrlPr>
            </m:sSubPr>
            <m:e>
              <m:r>
                <w:rPr>
                  <w:rFonts w:ascii="Cambria Math" w:hAnsi="Cambria Math"/>
                </w:rPr>
                <m:t>OPEX</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 xml:space="preserve">2 </m:t>
              </m:r>
            </m:sub>
          </m:sSub>
          <m:sSub>
            <m:sSubPr>
              <m:ctrlPr>
                <w:rPr>
                  <w:rFonts w:ascii="Cambria Math" w:hAnsi="Cambria Math"/>
                  <w:i/>
                </w:rPr>
              </m:ctrlPr>
            </m:sSubPr>
            <m:e>
              <m:r>
                <w:rPr>
                  <w:rFonts w:ascii="Cambria Math" w:hAnsi="Cambria Math"/>
                </w:rPr>
                <m:t>OPIM</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color w:val="000000"/>
                </w:rPr>
                <m:t xml:space="preserve"> ε</m:t>
              </m:r>
            </m:e>
            <m:sub>
              <m:r>
                <w:rPr>
                  <w:rFonts w:ascii="Cambria Math" w:hAnsi="Cambria Math"/>
                </w:rPr>
                <m:t>it</m:t>
              </m:r>
            </m:sub>
          </m:sSub>
          <m:r>
            <w:rPr>
              <w:rFonts w:ascii="Cambria Math" w:hAnsi="Cambria Math"/>
            </w:rPr>
            <m:t xml:space="preserve">                             </m:t>
          </m:r>
        </m:oMath>
      </m:oMathPara>
    </w:p>
    <w:p w:rsidR="002E2DB6" w:rsidRDefault="002E2DB6" w:rsidP="002E2DB6">
      <w:pPr>
        <w:pStyle w:val="ListeParagraf"/>
        <w:tabs>
          <w:tab w:val="left" w:pos="709"/>
          <w:tab w:val="left" w:pos="851"/>
        </w:tabs>
        <w:spacing w:before="240" w:after="240" w:line="360" w:lineRule="auto"/>
        <w:ind w:left="0"/>
        <w:jc w:val="both"/>
        <w:rPr>
          <w:bCs/>
        </w:rPr>
      </w:pPr>
      <w:r>
        <w:rPr>
          <w:bCs/>
        </w:rPr>
        <w:t>biçimindedir.</w:t>
      </w:r>
    </w:p>
    <w:p w:rsidR="002E2DB6" w:rsidRDefault="002E2DB6" w:rsidP="002E2DB6">
      <w:pPr>
        <w:pStyle w:val="ListeParagraf"/>
        <w:tabs>
          <w:tab w:val="left" w:pos="709"/>
          <w:tab w:val="left" w:pos="851"/>
        </w:tabs>
        <w:spacing w:before="240" w:after="240" w:line="360" w:lineRule="auto"/>
        <w:ind w:left="0"/>
        <w:jc w:val="both"/>
        <w:rPr>
          <w:bCs/>
        </w:rPr>
      </w:pPr>
      <w:r>
        <w:rPr>
          <w:bCs/>
        </w:rPr>
        <w:tab/>
        <w:t xml:space="preserve">Bu bölümde önce panel veri analiziyle ilgili </w:t>
      </w:r>
      <w:r w:rsidRPr="00F54490">
        <w:rPr>
          <w:bCs/>
        </w:rPr>
        <w:t xml:space="preserve">literatür dikkate alınarak </w:t>
      </w:r>
      <w:r>
        <w:rPr>
          <w:bCs/>
        </w:rPr>
        <w:t xml:space="preserve">karbon emisyonlarının makro ekonomik değişkenlerle ilişkisi incelenmekte daha sonra kurulan modelde </w:t>
      </w:r>
      <w:r w:rsidRPr="00F54490">
        <w:rPr>
          <w:bCs/>
        </w:rPr>
        <w:t>yer</w:t>
      </w:r>
      <w:r>
        <w:rPr>
          <w:bCs/>
        </w:rPr>
        <w:t xml:space="preserve"> alan </w:t>
      </w:r>
      <w:r w:rsidRPr="00F54490">
        <w:rPr>
          <w:bCs/>
        </w:rPr>
        <w:t>değişkenler tanımlanmakta, çalışmanın veri seti ve modeli üzerinde durulmakta, çalışmada kullanılan panel regresyon analizi ve panel birim kök testleri teorik açıdan tanıtılmaktadır. Daha sonra modele ilişkin elde edilen ampirik bulgular değerlendi</w:t>
      </w:r>
      <w:r>
        <w:rPr>
          <w:bCs/>
        </w:rPr>
        <w:t xml:space="preserve">rilecektir. </w:t>
      </w:r>
    </w:p>
    <w:p w:rsidR="002E2DB6" w:rsidRPr="00383D62" w:rsidRDefault="002E2DB6" w:rsidP="00A2311D">
      <w:pPr>
        <w:pStyle w:val="stil1"/>
      </w:pPr>
      <w:bookmarkStart w:id="176" w:name="_Toc382298167"/>
      <w:r>
        <w:t xml:space="preserve">Şekil </w:t>
      </w:r>
      <w:proofErr w:type="gramStart"/>
      <w:r>
        <w:t>4.1</w:t>
      </w:r>
      <w:proofErr w:type="gramEnd"/>
      <w:r>
        <w:t>: OECD Ülkelerinin 2011 Yılı Kişi Başı CO</w:t>
      </w:r>
      <w:r>
        <w:rPr>
          <w:vertAlign w:val="subscript"/>
        </w:rPr>
        <w:t>2</w:t>
      </w:r>
      <w:r>
        <w:t xml:space="preserve"> Tüketimi (tonnes CO</w:t>
      </w:r>
      <w:r>
        <w:rPr>
          <w:vertAlign w:val="subscript"/>
        </w:rPr>
        <w:t>2</w:t>
      </w:r>
      <w:r>
        <w:t>/capita)</w:t>
      </w:r>
      <w:bookmarkEnd w:id="176"/>
    </w:p>
    <w:p w:rsidR="002E2DB6" w:rsidRDefault="002E2DB6" w:rsidP="002E2DB6">
      <w:pPr>
        <w:pStyle w:val="ListeParagraf"/>
        <w:tabs>
          <w:tab w:val="left" w:pos="0"/>
        </w:tabs>
        <w:spacing w:before="120" w:after="120"/>
        <w:ind w:left="0"/>
        <w:jc w:val="both"/>
        <w:rPr>
          <w:b/>
        </w:rPr>
      </w:pPr>
      <w:r>
        <w:rPr>
          <w:noProof/>
          <w:lang w:eastAsia="tr-TR"/>
        </w:rPr>
        <w:drawing>
          <wp:inline distT="0" distB="0" distL="0" distR="0" wp14:anchorId="7F66559F" wp14:editId="13EFBDCF">
            <wp:extent cx="5402580" cy="2331720"/>
            <wp:effectExtent l="0" t="0" r="26670" b="1143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E2DB6" w:rsidRDefault="002E2DB6" w:rsidP="002E2DB6">
      <w:pPr>
        <w:pStyle w:val="ListeParagraf"/>
        <w:tabs>
          <w:tab w:val="left" w:pos="0"/>
        </w:tabs>
        <w:spacing w:before="120" w:after="120"/>
        <w:ind w:left="0"/>
        <w:jc w:val="both"/>
        <w:rPr>
          <w:bCs/>
          <w:sz w:val="20"/>
          <w:szCs w:val="20"/>
        </w:rPr>
      </w:pPr>
      <w:r w:rsidRPr="00F40A92">
        <w:rPr>
          <w:b/>
          <w:bCs/>
          <w:sz w:val="20"/>
          <w:szCs w:val="20"/>
        </w:rPr>
        <w:t>Kaynak:</w:t>
      </w:r>
      <w:r w:rsidRPr="00FD18D5">
        <w:rPr>
          <w:bCs/>
          <w:sz w:val="20"/>
          <w:szCs w:val="20"/>
        </w:rPr>
        <w:t xml:space="preserve"> </w:t>
      </w:r>
      <w:r>
        <w:rPr>
          <w:bCs/>
          <w:sz w:val="20"/>
          <w:szCs w:val="20"/>
        </w:rPr>
        <w:t>IEA 2011 verileri kullanılarak tarafımızdan oluşturulmuştur</w:t>
      </w:r>
      <w:r w:rsidRPr="00FD18D5">
        <w:rPr>
          <w:bCs/>
          <w:sz w:val="20"/>
          <w:szCs w:val="20"/>
        </w:rPr>
        <w:t>.</w:t>
      </w:r>
    </w:p>
    <w:p w:rsidR="002E2DB6" w:rsidRDefault="002E2DB6" w:rsidP="002E2DB6">
      <w:pPr>
        <w:spacing w:before="240" w:after="240" w:line="360" w:lineRule="auto"/>
        <w:ind w:firstLine="708"/>
        <w:jc w:val="both"/>
        <w:rPr>
          <w:bCs/>
        </w:rPr>
      </w:pPr>
      <w:r>
        <w:rPr>
          <w:bCs/>
        </w:rPr>
        <w:t xml:space="preserve">Şekil </w:t>
      </w:r>
      <w:proofErr w:type="gramStart"/>
      <w:r>
        <w:rPr>
          <w:bCs/>
        </w:rPr>
        <w:t>4.1’de</w:t>
      </w:r>
      <w:proofErr w:type="gramEnd"/>
      <w:r>
        <w:rPr>
          <w:bCs/>
        </w:rPr>
        <w:t xml:space="preserve"> görüldüğü gibi OECD ülkelerinde kişi başı CO</w:t>
      </w:r>
      <w:r>
        <w:rPr>
          <w:bCs/>
          <w:vertAlign w:val="subscript"/>
        </w:rPr>
        <w:t>2</w:t>
      </w:r>
      <w:r>
        <w:rPr>
          <w:bCs/>
        </w:rPr>
        <w:t xml:space="preserve"> tüketimi en fazla olan ülkelerin başında ABD, Avustralya ve Kanada gelmektedir. Türkiye, Portekiz, Şili </w:t>
      </w:r>
      <w:r>
        <w:rPr>
          <w:bCs/>
        </w:rPr>
        <w:lastRenderedPageBreak/>
        <w:t>ve Meksika gibi gelişmekte olan ülkeler ise OECD ortalamasının altında yer almaktadır. Uluslararası Enerji Ajansının 2011 yılı verilerine göre dünyada 31342 milyon ton CO</w:t>
      </w:r>
      <w:r>
        <w:rPr>
          <w:bCs/>
          <w:vertAlign w:val="subscript"/>
        </w:rPr>
        <w:t>2</w:t>
      </w:r>
      <w:r>
        <w:rPr>
          <w:bCs/>
        </w:rPr>
        <w:t xml:space="preserve"> emisyonu salınmıştır. Bu salımın 12342 milyon ton OECD ülkeleri gerçekleştirmiştir. </w:t>
      </w:r>
      <w:proofErr w:type="gramStart"/>
      <w:r>
        <w:rPr>
          <w:bCs/>
        </w:rPr>
        <w:t xml:space="preserve">Ayrıca dünyayı en çok kirleten ülkelerin 2011 sıralamasında Çin (7954,5 milyon ton) birinci, ABD (5287,2 milyon ton) ikinci, Hindistan (1745,1 milyon ton) üçüncü, Rusya (1653,2 milyon ton) dördüncü, Japonya (1186,0 milyon ton) beşinci, Almanya (747,6 milyon ton) altıncı, Güney Kore (587,7 milyon ton)  yedinci, Kanada (529,8 milyon ton) sekizinci, İran (521,0 milyon ton) dokuzuncu ve Suudi Arabistan (457,3 milyon ton) sırada yer almaktadır. </w:t>
      </w:r>
      <w:proofErr w:type="gramEnd"/>
      <w:r>
        <w:rPr>
          <w:bCs/>
        </w:rPr>
        <w:t xml:space="preserve">Türkiye ise bu sıralamada 285,7 milyon tonla yirminci sırada yer almaktadır. </w:t>
      </w:r>
    </w:p>
    <w:p w:rsidR="002E2DB6" w:rsidRDefault="002E2DB6" w:rsidP="00A2311D">
      <w:pPr>
        <w:pStyle w:val="stil1"/>
      </w:pPr>
      <w:bookmarkStart w:id="177" w:name="_Toc382298168"/>
      <w:r>
        <w:t xml:space="preserve">Şekil </w:t>
      </w:r>
      <w:proofErr w:type="gramStart"/>
      <w:r>
        <w:t>4.2</w:t>
      </w:r>
      <w:proofErr w:type="gramEnd"/>
      <w:r>
        <w:t xml:space="preserve">: OECD Ülkeleri 2011 Yılı Kişi Başı Gelir (GDP per capita, </w:t>
      </w:r>
      <w:r w:rsidRPr="004A5F06">
        <w:t>constant 2005 US$)</w:t>
      </w:r>
      <w:bookmarkEnd w:id="177"/>
    </w:p>
    <w:p w:rsidR="002E2DB6" w:rsidRDefault="002E2DB6" w:rsidP="002E2DB6">
      <w:pPr>
        <w:jc w:val="both"/>
        <w:rPr>
          <w:rFonts w:ascii="Calibri" w:hAnsi="Calibri"/>
          <w:color w:val="000000"/>
          <w:sz w:val="22"/>
          <w:szCs w:val="22"/>
        </w:rPr>
      </w:pPr>
      <w:r>
        <w:rPr>
          <w:noProof/>
          <w:lang w:eastAsia="tr-TR"/>
        </w:rPr>
        <mc:AlternateContent>
          <mc:Choice Requires="wps">
            <w:drawing>
              <wp:anchor distT="0" distB="0" distL="114300" distR="114300" simplePos="0" relativeHeight="251684352" behindDoc="0" locked="0" layoutInCell="1" allowOverlap="1" wp14:anchorId="6F516A37" wp14:editId="2164ACC7">
                <wp:simplePos x="0" y="0"/>
                <wp:positionH relativeFrom="column">
                  <wp:posOffset>693420</wp:posOffset>
                </wp:positionH>
                <wp:positionV relativeFrom="paragraph">
                  <wp:posOffset>1000125</wp:posOffset>
                </wp:positionV>
                <wp:extent cx="4593590" cy="0"/>
                <wp:effectExtent l="0" t="19050" r="16510" b="19050"/>
                <wp:wrapNone/>
                <wp:docPr id="52" name="Düz Bağlayıcı 52"/>
                <wp:cNvGraphicFramePr/>
                <a:graphic xmlns:a="http://schemas.openxmlformats.org/drawingml/2006/main">
                  <a:graphicData uri="http://schemas.microsoft.com/office/word/2010/wordprocessingShape">
                    <wps:wsp>
                      <wps:cNvCnPr/>
                      <wps:spPr>
                        <a:xfrm flipH="1">
                          <a:off x="0" y="0"/>
                          <a:ext cx="4593590" cy="0"/>
                        </a:xfrm>
                        <a:prstGeom prst="line">
                          <a:avLst/>
                        </a:prstGeom>
                        <a:noFill/>
                        <a:ln w="28575" cap="flat" cmpd="sng" algn="ctr">
                          <a:solidFill>
                            <a:srgbClr val="FF0000"/>
                          </a:solidFill>
                          <a:prstDash val="sysDash"/>
                        </a:ln>
                        <a:effectLst/>
                      </wps:spPr>
                      <wps:bodyPr/>
                    </wps:wsp>
                  </a:graphicData>
                </a:graphic>
                <wp14:sizeRelH relativeFrom="margin">
                  <wp14:pctWidth>0</wp14:pctWidth>
                </wp14:sizeRelH>
              </wp:anchor>
            </w:drawing>
          </mc:Choice>
          <mc:Fallback>
            <w:pict>
              <v:line id="Düz Bağlayıcı 52" o:spid="_x0000_s1026" style="position:absolute;flip:x;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6pt,78.75pt" to="416.3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" strokecolor="red" strokeweight="2.25pt">
                <v:stroke dashstyle="3 1"/>
              </v:line>
            </w:pict>
          </mc:Fallback>
        </mc:AlternateContent>
      </w:r>
      <w:r>
        <w:rPr>
          <w:noProof/>
          <w:lang w:eastAsia="tr-TR"/>
        </w:rPr>
        <w:drawing>
          <wp:inline distT="0" distB="0" distL="0" distR="0" wp14:anchorId="2E451E3E" wp14:editId="2CA60319">
            <wp:extent cx="5400040" cy="2240161"/>
            <wp:effectExtent l="0" t="0" r="10160" b="27305"/>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E2DB6" w:rsidRDefault="002E2DB6" w:rsidP="002E2DB6">
      <w:pPr>
        <w:pStyle w:val="ListeParagraf"/>
        <w:tabs>
          <w:tab w:val="left" w:pos="0"/>
        </w:tabs>
        <w:ind w:left="0"/>
        <w:jc w:val="both"/>
        <w:rPr>
          <w:bCs/>
          <w:sz w:val="20"/>
          <w:szCs w:val="20"/>
        </w:rPr>
      </w:pPr>
      <w:r w:rsidRPr="00F40A92">
        <w:rPr>
          <w:b/>
          <w:bCs/>
          <w:sz w:val="20"/>
          <w:szCs w:val="20"/>
        </w:rPr>
        <w:t>Kaynak:</w:t>
      </w:r>
      <w:r w:rsidRPr="00FD18D5">
        <w:rPr>
          <w:bCs/>
          <w:sz w:val="20"/>
          <w:szCs w:val="20"/>
        </w:rPr>
        <w:t xml:space="preserve"> </w:t>
      </w:r>
      <w:r>
        <w:rPr>
          <w:bCs/>
          <w:sz w:val="20"/>
          <w:szCs w:val="20"/>
        </w:rPr>
        <w:t>Dünya Bankası 2011 verileri kullanılarak tarafımızdan oluşturulmuştur</w:t>
      </w:r>
      <w:r w:rsidRPr="00FD18D5">
        <w:rPr>
          <w:bCs/>
          <w:sz w:val="20"/>
          <w:szCs w:val="20"/>
        </w:rPr>
        <w:t>.</w:t>
      </w:r>
    </w:p>
    <w:p w:rsidR="002E2DB6" w:rsidRDefault="002E2DB6" w:rsidP="002E2DB6">
      <w:pPr>
        <w:pStyle w:val="ListeParagraf"/>
        <w:tabs>
          <w:tab w:val="left" w:pos="0"/>
        </w:tabs>
        <w:ind w:left="0"/>
        <w:jc w:val="both"/>
        <w:rPr>
          <w:bCs/>
          <w:sz w:val="20"/>
          <w:szCs w:val="20"/>
        </w:rPr>
      </w:pPr>
    </w:p>
    <w:p w:rsidR="002E2DB6" w:rsidRDefault="002E2DB6" w:rsidP="002E2DB6">
      <w:pPr>
        <w:pStyle w:val="ListeParagraf"/>
        <w:tabs>
          <w:tab w:val="left" w:pos="0"/>
        </w:tabs>
        <w:spacing w:before="240" w:after="240" w:line="360" w:lineRule="auto"/>
        <w:ind w:left="0"/>
        <w:jc w:val="both"/>
        <w:rPr>
          <w:bCs/>
        </w:rPr>
      </w:pPr>
      <w:r>
        <w:rPr>
          <w:bCs/>
        </w:rPr>
        <w:tab/>
      </w:r>
      <w:r w:rsidRPr="006A00B2">
        <w:rPr>
          <w:bCs/>
        </w:rPr>
        <w:t>Uluslararası Enerji Ajansının 2011 yılı rakamlarına göre dünya toplam 52486 milyar dolar GSYİH’ya sahipken bu gelirin % 72,8’ini OECD ülkele</w:t>
      </w:r>
      <w:r>
        <w:rPr>
          <w:bCs/>
        </w:rPr>
        <w:t xml:space="preserve">ri paylaşmaktadır. Şekil </w:t>
      </w:r>
      <w:proofErr w:type="gramStart"/>
      <w:r>
        <w:rPr>
          <w:bCs/>
        </w:rPr>
        <w:t>4.2’de</w:t>
      </w:r>
      <w:proofErr w:type="gramEnd"/>
      <w:r>
        <w:rPr>
          <w:bCs/>
        </w:rPr>
        <w:t xml:space="preserve"> OECD ülkelerinin</w:t>
      </w:r>
      <w:r w:rsidRPr="006A00B2">
        <w:rPr>
          <w:bCs/>
        </w:rPr>
        <w:t xml:space="preserve"> kişi başı gelir </w:t>
      </w:r>
      <w:r>
        <w:rPr>
          <w:bCs/>
        </w:rPr>
        <w:t xml:space="preserve">(sabit) </w:t>
      </w:r>
      <w:r w:rsidRPr="006A00B2">
        <w:rPr>
          <w:bCs/>
        </w:rPr>
        <w:t xml:space="preserve">rakamları verilmektedir. </w:t>
      </w:r>
      <w:r>
        <w:rPr>
          <w:bCs/>
        </w:rPr>
        <w:t>OECD ülkelerinin ortalama geliri 31083,41</w:t>
      </w:r>
      <w:r w:rsidRPr="006A00B2">
        <w:rPr>
          <w:bCs/>
        </w:rPr>
        <w:t xml:space="preserve"> </w:t>
      </w:r>
      <w:r>
        <w:rPr>
          <w:bCs/>
        </w:rPr>
        <w:t>$ olarak verilmiş ve bu eşik</w:t>
      </w:r>
      <w:r w:rsidRPr="006A00B2">
        <w:rPr>
          <w:bCs/>
        </w:rPr>
        <w:t xml:space="preserve"> kırmızı çizgi ile belirtilmiştir. Norveç, İsveç, A</w:t>
      </w:r>
      <w:r>
        <w:rPr>
          <w:bCs/>
        </w:rPr>
        <w:t>BD</w:t>
      </w:r>
      <w:r w:rsidRPr="006A00B2">
        <w:rPr>
          <w:bCs/>
        </w:rPr>
        <w:t xml:space="preserve"> ve </w:t>
      </w:r>
      <w:r>
        <w:rPr>
          <w:bCs/>
        </w:rPr>
        <w:t>Danimarka</w:t>
      </w:r>
      <w:r w:rsidRPr="006A00B2">
        <w:rPr>
          <w:bCs/>
        </w:rPr>
        <w:t xml:space="preserve"> gibi ülkeler bu ortalamanın çok üstünde kaldıkları için zengin ülkeler olarak adlandırılmaktadırlar. Türkiye, Meksika, Macaristan ve Şili gibi gelişmekte olan ülkelerin kişi başı geliri OECD ortalamasının çok altında kalmaktadır.</w:t>
      </w:r>
    </w:p>
    <w:p w:rsidR="00E014BF" w:rsidRDefault="00E014BF" w:rsidP="002E2DB6">
      <w:pPr>
        <w:pStyle w:val="ListeParagraf"/>
        <w:tabs>
          <w:tab w:val="left" w:pos="0"/>
        </w:tabs>
        <w:spacing w:before="240" w:after="240" w:line="360" w:lineRule="auto"/>
        <w:ind w:left="0"/>
        <w:jc w:val="both"/>
        <w:rPr>
          <w:bCs/>
        </w:rPr>
      </w:pPr>
    </w:p>
    <w:p w:rsidR="002E2DB6" w:rsidRDefault="002E2DB6" w:rsidP="00A2311D">
      <w:pPr>
        <w:pStyle w:val="stil1"/>
        <w:rPr>
          <w:rFonts w:ascii="Calibri" w:hAnsi="Calibri"/>
          <w:color w:val="000000"/>
          <w:sz w:val="22"/>
          <w:szCs w:val="22"/>
        </w:rPr>
      </w:pPr>
      <w:bookmarkStart w:id="178" w:name="_Toc382298169"/>
      <w:r>
        <w:lastRenderedPageBreak/>
        <w:t xml:space="preserve">Şekil </w:t>
      </w:r>
      <w:proofErr w:type="gramStart"/>
      <w:r>
        <w:t>4.3</w:t>
      </w:r>
      <w:proofErr w:type="gramEnd"/>
      <w:r>
        <w:t xml:space="preserve">: OECD Ülkeleri 2011 Yılı Kişi Başı Enerji Kullanımı </w:t>
      </w:r>
      <w:r w:rsidRPr="00C10C62">
        <w:t>(</w:t>
      </w:r>
      <w:r>
        <w:t>tonnes</w:t>
      </w:r>
      <w:r w:rsidRPr="00C10C62">
        <w:t xml:space="preserve"> of oil e</w:t>
      </w:r>
      <w:r>
        <w:t>quivalent per capita)</w:t>
      </w:r>
      <w:bookmarkEnd w:id="178"/>
      <w:r>
        <w:t xml:space="preserve"> </w:t>
      </w:r>
    </w:p>
    <w:p w:rsidR="002E2DB6" w:rsidRDefault="002E2DB6" w:rsidP="002E2DB6">
      <w:pPr>
        <w:jc w:val="both"/>
        <w:rPr>
          <w:noProof/>
          <w:lang w:eastAsia="tr-TR"/>
        </w:rPr>
      </w:pPr>
    </w:p>
    <w:p w:rsidR="002E2DB6" w:rsidRDefault="002E2DB6" w:rsidP="002E2DB6">
      <w:pPr>
        <w:jc w:val="both"/>
        <w:rPr>
          <w:noProof/>
          <w:lang w:eastAsia="tr-TR"/>
        </w:rPr>
      </w:pPr>
      <w:r>
        <w:rPr>
          <w:noProof/>
          <w:lang w:eastAsia="tr-TR"/>
        </w:rPr>
        <w:drawing>
          <wp:inline distT="0" distB="0" distL="0" distR="0" wp14:anchorId="77D19000" wp14:editId="3D8E3980">
            <wp:extent cx="5402580" cy="2788920"/>
            <wp:effectExtent l="0" t="0" r="26670" b="11430"/>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E2DB6" w:rsidRDefault="002E2DB6" w:rsidP="002E2DB6">
      <w:pPr>
        <w:pStyle w:val="ListeParagraf"/>
        <w:tabs>
          <w:tab w:val="left" w:pos="0"/>
        </w:tabs>
        <w:ind w:left="0"/>
        <w:jc w:val="both"/>
        <w:rPr>
          <w:bCs/>
          <w:sz w:val="20"/>
          <w:szCs w:val="20"/>
        </w:rPr>
      </w:pPr>
      <w:r w:rsidRPr="00F40A92">
        <w:rPr>
          <w:b/>
          <w:bCs/>
          <w:sz w:val="20"/>
          <w:szCs w:val="20"/>
        </w:rPr>
        <w:t>Kaynak:</w:t>
      </w:r>
      <w:r w:rsidRPr="00FD18D5">
        <w:rPr>
          <w:bCs/>
          <w:sz w:val="20"/>
          <w:szCs w:val="20"/>
        </w:rPr>
        <w:t xml:space="preserve"> </w:t>
      </w:r>
      <w:r>
        <w:rPr>
          <w:bCs/>
          <w:sz w:val="20"/>
          <w:szCs w:val="20"/>
        </w:rPr>
        <w:t>Dünya Bankası 2011 verileri kullanılarak tarafımızdan oluşturulmuştur</w:t>
      </w:r>
      <w:r w:rsidRPr="00FD18D5">
        <w:rPr>
          <w:bCs/>
          <w:sz w:val="20"/>
          <w:szCs w:val="20"/>
        </w:rPr>
        <w:t>.</w:t>
      </w:r>
    </w:p>
    <w:p w:rsidR="002E2DB6" w:rsidRDefault="002E2DB6" w:rsidP="00115789">
      <w:pPr>
        <w:spacing w:before="240" w:after="240" w:line="360" w:lineRule="auto"/>
        <w:ind w:firstLine="706"/>
        <w:jc w:val="both"/>
        <w:rPr>
          <w:bCs/>
        </w:rPr>
      </w:pPr>
      <w:r>
        <w:rPr>
          <w:bCs/>
        </w:rPr>
        <w:t xml:space="preserve">Şekil </w:t>
      </w:r>
      <w:proofErr w:type="gramStart"/>
      <w:r>
        <w:rPr>
          <w:bCs/>
        </w:rPr>
        <w:t>4.3’te</w:t>
      </w:r>
      <w:proofErr w:type="gramEnd"/>
      <w:r>
        <w:rPr>
          <w:bCs/>
        </w:rPr>
        <w:t xml:space="preserve"> görüldüğü gibi ABD, Kanada ve Finlandiya gibi ülkelerin kişi başı enerji kullanımları OECD ortalamasının çok üstünde iken Türkiye, Meksika ve Şili gibi gelişmekte olan ülkelerin kişi başı enerji tüketimleri OECD ortalamasının çok altındadır. </w:t>
      </w:r>
    </w:p>
    <w:p w:rsidR="002E2DB6" w:rsidRDefault="002E2DB6" w:rsidP="00A2311D">
      <w:pPr>
        <w:pStyle w:val="stil1"/>
      </w:pPr>
      <w:bookmarkStart w:id="179" w:name="_Toc382298170"/>
      <w:r>
        <w:t xml:space="preserve">Şekil </w:t>
      </w:r>
      <w:proofErr w:type="gramStart"/>
      <w:r>
        <w:t>4.4</w:t>
      </w:r>
      <w:proofErr w:type="gramEnd"/>
      <w:r>
        <w:t>: OECD Ülkeleri</w:t>
      </w:r>
      <w:r w:rsidR="00694B61">
        <w:t xml:space="preserve">nde 2011 Yılı </w:t>
      </w:r>
      <w:r w:rsidR="00694B61" w:rsidRPr="00694B61">
        <w:t>İhracatın /</w:t>
      </w:r>
      <w:r w:rsidR="00694B61">
        <w:t xml:space="preserve"> GSYİH</w:t>
      </w:r>
      <w:r>
        <w:t xml:space="preserve"> Oranı</w:t>
      </w:r>
      <w:bookmarkEnd w:id="179"/>
      <w:r>
        <w:t xml:space="preserve"> </w:t>
      </w:r>
    </w:p>
    <w:p w:rsidR="002E2DB6" w:rsidRDefault="002E2DB6" w:rsidP="002E2DB6">
      <w:pPr>
        <w:spacing w:line="360" w:lineRule="auto"/>
        <w:jc w:val="both"/>
        <w:rPr>
          <w:bCs/>
        </w:rPr>
      </w:pPr>
      <w:r>
        <w:rPr>
          <w:noProof/>
          <w:lang w:eastAsia="tr-TR"/>
        </w:rPr>
        <w:drawing>
          <wp:inline distT="0" distB="0" distL="0" distR="0" wp14:anchorId="1440B3C0" wp14:editId="113C94D6">
            <wp:extent cx="5400040" cy="2425597"/>
            <wp:effectExtent l="0" t="0" r="10160" b="13335"/>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E2DB6" w:rsidRDefault="002E2DB6" w:rsidP="002E2DB6">
      <w:pPr>
        <w:pStyle w:val="ListeParagraf"/>
        <w:tabs>
          <w:tab w:val="left" w:pos="0"/>
        </w:tabs>
        <w:spacing w:line="360" w:lineRule="auto"/>
        <w:ind w:left="0"/>
        <w:jc w:val="both"/>
        <w:rPr>
          <w:bCs/>
          <w:sz w:val="20"/>
          <w:szCs w:val="20"/>
        </w:rPr>
      </w:pPr>
      <w:r w:rsidRPr="00F40A92">
        <w:rPr>
          <w:b/>
          <w:bCs/>
          <w:sz w:val="20"/>
          <w:szCs w:val="20"/>
        </w:rPr>
        <w:t>Kaynak:</w:t>
      </w:r>
      <w:r w:rsidRPr="00FD18D5">
        <w:rPr>
          <w:bCs/>
          <w:sz w:val="20"/>
          <w:szCs w:val="20"/>
        </w:rPr>
        <w:t xml:space="preserve"> </w:t>
      </w:r>
      <w:r>
        <w:rPr>
          <w:bCs/>
          <w:sz w:val="20"/>
          <w:szCs w:val="20"/>
        </w:rPr>
        <w:t>Dünya Bankası 2011 verileri kullanılarak tarafımızdan oluşturulmuştur</w:t>
      </w:r>
      <w:r w:rsidRPr="00FD18D5">
        <w:rPr>
          <w:bCs/>
          <w:sz w:val="20"/>
          <w:szCs w:val="20"/>
        </w:rPr>
        <w:t>.</w:t>
      </w:r>
    </w:p>
    <w:p w:rsidR="002E2DB6" w:rsidRPr="00115789" w:rsidRDefault="00115789" w:rsidP="00115789">
      <w:pPr>
        <w:spacing w:before="240" w:after="240" w:line="360" w:lineRule="auto"/>
        <w:ind w:firstLine="708"/>
        <w:jc w:val="both"/>
      </w:pPr>
      <w:r w:rsidRPr="00115789">
        <w:t xml:space="preserve">OECD ülkelerinde GSYİH içinde ihracat payı en yüksek olan ülkelerin başında Macaristan, Belçika ve Hollanda gelmektedir. Bu ülkelerin ihracat/GSYİH oranları OECD ortalamasının çok üstündedir. Ayrıca ABD, Japonya gibi gelişmiş ülkelirin ihracat/GSYİH oranı ise OECD ortalamasının altında yer almaktadır (Şekil </w:t>
      </w:r>
      <w:proofErr w:type="gramStart"/>
      <w:r w:rsidRPr="00115789">
        <w:t>4.4</w:t>
      </w:r>
      <w:proofErr w:type="gramEnd"/>
      <w:r w:rsidRPr="00115789">
        <w:t>).</w:t>
      </w:r>
    </w:p>
    <w:p w:rsidR="002E2DB6" w:rsidRDefault="002E2DB6" w:rsidP="00A2311D">
      <w:pPr>
        <w:pStyle w:val="stil1"/>
      </w:pPr>
      <w:bookmarkStart w:id="180" w:name="_Toc382298171"/>
      <w:r>
        <w:lastRenderedPageBreak/>
        <w:t xml:space="preserve">Şekil </w:t>
      </w:r>
      <w:proofErr w:type="gramStart"/>
      <w:r>
        <w:t>4.5</w:t>
      </w:r>
      <w:proofErr w:type="gramEnd"/>
      <w:r>
        <w:t xml:space="preserve">: OECD Ülkelerinde 2011 Yılı İthalatın </w:t>
      </w:r>
      <w:r w:rsidR="00694B61">
        <w:t>/ GSYİH</w:t>
      </w:r>
      <w:r>
        <w:t xml:space="preserve"> Oranı</w:t>
      </w:r>
      <w:bookmarkEnd w:id="180"/>
      <w:r>
        <w:t xml:space="preserve"> </w:t>
      </w:r>
    </w:p>
    <w:p w:rsidR="002E2DB6" w:rsidRDefault="002E2DB6" w:rsidP="002E2DB6">
      <w:pPr>
        <w:spacing w:line="360" w:lineRule="auto"/>
        <w:jc w:val="both"/>
        <w:rPr>
          <w:b/>
        </w:rPr>
      </w:pPr>
      <w:r>
        <w:rPr>
          <w:noProof/>
          <w:lang w:eastAsia="tr-TR"/>
        </w:rPr>
        <w:drawing>
          <wp:inline distT="0" distB="0" distL="0" distR="0" wp14:anchorId="5C267F2D" wp14:editId="4BE9CC58">
            <wp:extent cx="5400040" cy="2892920"/>
            <wp:effectExtent l="0" t="0" r="10160" b="22225"/>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E2DB6" w:rsidRDefault="002E2DB6" w:rsidP="002E2DB6">
      <w:pPr>
        <w:pStyle w:val="ListeParagraf"/>
        <w:tabs>
          <w:tab w:val="left" w:pos="0"/>
        </w:tabs>
        <w:spacing w:line="360" w:lineRule="auto"/>
        <w:ind w:left="0"/>
        <w:jc w:val="both"/>
        <w:rPr>
          <w:bCs/>
          <w:sz w:val="20"/>
          <w:szCs w:val="20"/>
        </w:rPr>
      </w:pPr>
      <w:r w:rsidRPr="00F40A92">
        <w:rPr>
          <w:b/>
          <w:bCs/>
          <w:sz w:val="20"/>
          <w:szCs w:val="20"/>
        </w:rPr>
        <w:t>Kaynak:</w:t>
      </w:r>
      <w:r w:rsidRPr="00FD18D5">
        <w:rPr>
          <w:bCs/>
          <w:sz w:val="20"/>
          <w:szCs w:val="20"/>
        </w:rPr>
        <w:t xml:space="preserve"> </w:t>
      </w:r>
      <w:r>
        <w:rPr>
          <w:bCs/>
          <w:sz w:val="20"/>
          <w:szCs w:val="20"/>
        </w:rPr>
        <w:t>Dünya Bankası 2011 verileri kullanılarak tarafımızdan oluşturulmuştur</w:t>
      </w:r>
      <w:r w:rsidRPr="00FD18D5">
        <w:rPr>
          <w:bCs/>
          <w:sz w:val="20"/>
          <w:szCs w:val="20"/>
        </w:rPr>
        <w:t>.</w:t>
      </w:r>
    </w:p>
    <w:p w:rsidR="002E2DB6" w:rsidRDefault="002E2DB6" w:rsidP="002E2DB6">
      <w:pPr>
        <w:spacing w:before="240" w:after="240" w:line="360" w:lineRule="auto"/>
        <w:ind w:firstLine="708"/>
        <w:jc w:val="both"/>
        <w:rPr>
          <w:bCs/>
        </w:rPr>
      </w:pPr>
      <w:r w:rsidRPr="00837D0E">
        <w:rPr>
          <w:bCs/>
        </w:rPr>
        <w:t xml:space="preserve">İthalat ve ihracat toplamının (dış ticaret) GSYIH’ye oranıyla bulunan </w:t>
      </w:r>
      <w:r>
        <w:rPr>
          <w:bCs/>
        </w:rPr>
        <w:t>ticari açıklık</w:t>
      </w:r>
      <w:r w:rsidRPr="00837D0E">
        <w:rPr>
          <w:bCs/>
        </w:rPr>
        <w:t xml:space="preserve"> (trade opennes) </w:t>
      </w:r>
      <w:r w:rsidR="00B94BB9">
        <w:rPr>
          <w:bCs/>
        </w:rPr>
        <w:t>iki ayrı değişken olarak (ihracat/GSYİH ve ithalat/GSYİH) incelenmiştir. Şekil 4. 5</w:t>
      </w:r>
      <w:r>
        <w:rPr>
          <w:bCs/>
        </w:rPr>
        <w:t>’te OECD ülkeleri</w:t>
      </w:r>
      <w:r w:rsidR="00B94BB9">
        <w:rPr>
          <w:bCs/>
        </w:rPr>
        <w:t xml:space="preserve">nde 2011 yılı ithalat/GSYİH oranları verilmiştir. </w:t>
      </w:r>
      <w:r>
        <w:rPr>
          <w:bCs/>
        </w:rPr>
        <w:t xml:space="preserve"> </w:t>
      </w:r>
      <w:r w:rsidR="00182042">
        <w:rPr>
          <w:bCs/>
        </w:rPr>
        <w:t>Türkiye’nin ihracattan farklı olrak ithalat/GSYİH oranı OECD ortalamasının üzerindedir. OECD ortalamasının %</w:t>
      </w:r>
      <w:proofErr w:type="gramStart"/>
      <w:r w:rsidR="00182042">
        <w:rPr>
          <w:bCs/>
        </w:rPr>
        <w:t>28.5</w:t>
      </w:r>
      <w:proofErr w:type="gramEnd"/>
      <w:r>
        <w:rPr>
          <w:bCs/>
        </w:rPr>
        <w:t xml:space="preserve"> olduğu </w:t>
      </w:r>
      <w:r w:rsidR="00182042">
        <w:rPr>
          <w:bCs/>
        </w:rPr>
        <w:t>ithalat/GSYİH’da</w:t>
      </w:r>
      <w:r>
        <w:rPr>
          <w:bCs/>
        </w:rPr>
        <w:t xml:space="preserve"> Belçika, Macaristan ve Hollanda bu ortalamanın çok üstünde yer alırken, ABD, Japonya ve Avustralya ortalamanın altında kalmaktadır. </w:t>
      </w:r>
    </w:p>
    <w:p w:rsidR="00F801E7" w:rsidRPr="001D095A" w:rsidRDefault="000624A1" w:rsidP="0031716B">
      <w:pPr>
        <w:pStyle w:val="Balk3"/>
        <w:numPr>
          <w:ilvl w:val="2"/>
          <w:numId w:val="31"/>
        </w:numPr>
      </w:pPr>
      <w:bookmarkStart w:id="181" w:name="_Toc384824034"/>
      <w:r>
        <w:t xml:space="preserve"> </w:t>
      </w:r>
      <w:r w:rsidR="00F801E7" w:rsidRPr="001D095A">
        <w:t xml:space="preserve">Panel Birim </w:t>
      </w:r>
      <w:r w:rsidR="00F801E7" w:rsidRPr="0031716B">
        <w:t>Kök</w:t>
      </w:r>
      <w:r w:rsidR="00F801E7" w:rsidRPr="001D095A">
        <w:t xml:space="preserve"> Testleri</w:t>
      </w:r>
      <w:bookmarkEnd w:id="181"/>
    </w:p>
    <w:p w:rsidR="00F801E7" w:rsidRDefault="00F801E7" w:rsidP="00F801E7">
      <w:pPr>
        <w:pStyle w:val="ListeParagraf"/>
        <w:spacing w:before="240" w:after="240" w:line="360" w:lineRule="auto"/>
        <w:ind w:left="0" w:firstLine="708"/>
        <w:jc w:val="both"/>
        <w:rPr>
          <w:bCs/>
        </w:rPr>
      </w:pPr>
      <w:proofErr w:type="gramStart"/>
      <w:r>
        <w:rPr>
          <w:bCs/>
        </w:rPr>
        <w:t>Verinin hem zaman hem de yatay kesit boyutunu hesaba katan panel birim kök sınamalarının, sadece zaman boyutunu göz önüne olan zaman serisi birim kök sınamalarından, istatiksel anlamada daha güçlü olduğu kabul edilmektedir (Im, Pasaran ve Shin, 1997; Taylor ve Sarno, 1998;</w:t>
      </w:r>
      <w:r w:rsidRPr="00E26CA7">
        <w:rPr>
          <w:bCs/>
        </w:rPr>
        <w:t xml:space="preserve"> </w:t>
      </w:r>
      <w:r>
        <w:rPr>
          <w:bCs/>
        </w:rPr>
        <w:t>Maddala ve Wu, 1999; Hadri, 2000; Levin, Lin ve Chu, 2002; Pesaran, 2006</w:t>
      </w:r>
      <w:r w:rsidR="001164D4">
        <w:rPr>
          <w:bCs/>
        </w:rPr>
        <w:t>a</w:t>
      </w:r>
      <w:r>
        <w:rPr>
          <w:bCs/>
        </w:rPr>
        <w:t xml:space="preserve">). </w:t>
      </w:r>
      <w:proofErr w:type="gramEnd"/>
    </w:p>
    <w:p w:rsidR="00F801E7" w:rsidRDefault="00F801E7" w:rsidP="00F801E7">
      <w:pPr>
        <w:pStyle w:val="ListeParagraf"/>
        <w:spacing w:before="240" w:after="240" w:line="360" w:lineRule="auto"/>
        <w:ind w:left="0" w:firstLine="708"/>
        <w:jc w:val="both"/>
        <w:rPr>
          <w:bCs/>
        </w:rPr>
      </w:pPr>
      <w:r>
        <w:rPr>
          <w:bCs/>
        </w:rPr>
        <w:t xml:space="preserve">Panel birim kök sınamasında paneli oluşturan yatay kesitlerin birbirinden bağımsız olup olmadıkları en önemli bir sorundur. Panel birim kök testleri birinci kuşak ve ikinci kuşak testler olmak üzere ikiye ayrılmaktadır. Birinci kuşak testler de kendi içinde homojen ve heterojen testler olmak üzere ikiye ayrılır. Homojen testler Hadri (2000), Breitung (2000) ve Levin, Lin ve Chu (2002) testleridir. Heterojen testler ise </w:t>
      </w:r>
      <w:r>
        <w:rPr>
          <w:bCs/>
        </w:rPr>
        <w:lastRenderedPageBreak/>
        <w:t>Maddala ve Wu</w:t>
      </w:r>
      <w:r w:rsidR="00FF4367">
        <w:rPr>
          <w:bCs/>
        </w:rPr>
        <w:t xml:space="preserve"> (1999), Choi (2001) ve Im, Pesa</w:t>
      </w:r>
      <w:r>
        <w:rPr>
          <w:bCs/>
        </w:rPr>
        <w:t xml:space="preserve">ran ve Shin (2003) testleridir. Bu çalışmada birinci kuşak panel birim kök testleri kullanılmıştır. </w:t>
      </w:r>
    </w:p>
    <w:p w:rsidR="00F801E7" w:rsidRDefault="00F801E7" w:rsidP="00F801E7">
      <w:pPr>
        <w:pStyle w:val="ListeParagraf"/>
        <w:spacing w:before="240" w:after="240" w:line="360" w:lineRule="auto"/>
        <w:ind w:left="0" w:firstLine="708"/>
        <w:jc w:val="both"/>
        <w:rPr>
          <w:bCs/>
        </w:rPr>
      </w:pPr>
      <w:r w:rsidRPr="00F801E7">
        <w:rPr>
          <w:bCs/>
        </w:rPr>
        <w:t>Yatay kesit birimlerinin aynı tür şoktan etkilendiği durumlar için yatay kesit bağımsızlığını öne sürmek gerçekçi olmamaktadır. Yatay kesit bağımlılığını (cross section dependence)  dikkate alan panel birim kök sınamalarının temel çıkış noktası buradan gelmektedir. Son dönemlerde yapılan panel birim kök sınamalarında MADF (Taylor ve Sarno, 1998), SURADF (Breuer, Mcknown ve Wallace, 2002), Bai ve Ng (2004) ve CADF (Pesaran, 2006</w:t>
      </w:r>
      <w:r w:rsidR="001164D4">
        <w:rPr>
          <w:bCs/>
        </w:rPr>
        <w:t>a</w:t>
      </w:r>
      <w:r w:rsidRPr="00F801E7">
        <w:rPr>
          <w:bCs/>
        </w:rPr>
        <w:t>) testleri paneli oluşturan seriler arasındaki yatay kesit bağımlılığını açıkça dikkate alan sınamalar geliştirmişlerdir (</w:t>
      </w:r>
      <w:r w:rsidR="004464AC">
        <w:rPr>
          <w:bCs/>
        </w:rPr>
        <w:t xml:space="preserve">Güloğlu ve İvrendi, 2008; </w:t>
      </w:r>
      <w:r w:rsidRPr="00F801E7">
        <w:rPr>
          <w:bCs/>
        </w:rPr>
        <w:t>Göçer, 2013</w:t>
      </w:r>
      <w:r w:rsidR="003820CF">
        <w:rPr>
          <w:bCs/>
        </w:rPr>
        <w:t>a</w:t>
      </w:r>
      <w:r w:rsidRPr="00F801E7">
        <w:rPr>
          <w:bCs/>
        </w:rPr>
        <w:t>). Bu sınamalar ikinci kuşak panel birim kök sınamaları olarak adlandırılmışlardır.</w:t>
      </w:r>
    </w:p>
    <w:p w:rsidR="00604166" w:rsidRDefault="0031716B" w:rsidP="0031716B">
      <w:pPr>
        <w:pStyle w:val="Balk4"/>
      </w:pPr>
      <w:bookmarkStart w:id="182" w:name="_Toc384824035"/>
      <w:r>
        <w:t xml:space="preserve">4.4.1.1 </w:t>
      </w:r>
      <w:r w:rsidR="00604166">
        <w:t>Yatay Kesit Bağımlılığı Testi</w:t>
      </w:r>
      <w:bookmarkEnd w:id="182"/>
    </w:p>
    <w:p w:rsidR="00FF183C" w:rsidRDefault="00F64215" w:rsidP="007F2DEC">
      <w:pPr>
        <w:pStyle w:val="ListeParagraf"/>
        <w:spacing w:before="240" w:after="240" w:line="360" w:lineRule="auto"/>
        <w:ind w:left="0" w:firstLine="708"/>
        <w:jc w:val="both"/>
      </w:pPr>
      <w:r>
        <w:t xml:space="preserve">Seriler arasında yatay kesit bağımlılığının bulunması halinde, analizde çıkacak sonuçlarda önemli derecede sapmalar meydana gelmektedir (Breusch and Pagan, 1980; Pesaran, 2004). Bu yüzden analiz yaparken serilerde yatay kesit bağımlılığının varlığının test edilmesi gerekmektedir. </w:t>
      </w:r>
      <w:r w:rsidR="00604166" w:rsidRPr="00FF183C">
        <w:t>Panel veri setlerinde yatay kesit bağımlılığını test etmek için kullanılan yöntemler Pesaran vd (2004) CDLM testi, Breusch-Pagan (1980) CDLM1 testi ve Pesaran vd (2004) CDLM2 testleridir. Çalışmadaki 19</w:t>
      </w:r>
      <w:r w:rsidR="004464AC" w:rsidRPr="00FF183C">
        <w:t>71</w:t>
      </w:r>
      <w:r w:rsidR="00604166" w:rsidRPr="00FF183C">
        <w:t>-20</w:t>
      </w:r>
      <w:r w:rsidR="004464AC" w:rsidRPr="00FF183C">
        <w:t>11</w:t>
      </w:r>
      <w:r w:rsidR="00604166" w:rsidRPr="00FF183C">
        <w:t xml:space="preserve"> dönemini kapsayan </w:t>
      </w:r>
      <w:r w:rsidR="007F2DEC">
        <w:t>41</w:t>
      </w:r>
      <w:r w:rsidR="00604166" w:rsidRPr="00FF183C">
        <w:t xml:space="preserve"> yıl (T) ve </w:t>
      </w:r>
      <w:r w:rsidR="007F2DEC">
        <w:t>24 OECD ülkesinin</w:t>
      </w:r>
      <w:r w:rsidR="00604166" w:rsidRPr="00FF183C">
        <w:t xml:space="preserve"> (N), CDLM1 ve CDLM2 testlerinin uygulanabilmesi için gerekli koşulun gerçekleşmesini sağlamıştır. CDLM1 ve CDLM2 testlerinde, her ülkenin bireysel zaman etkisinden ayrı şekilde etkilenebildiği varsayımı altında tahminleme yapılmaktadır (Güloğlu ve İvrendi, 2008: 384). </w:t>
      </w:r>
    </w:p>
    <w:p w:rsidR="00517888" w:rsidRPr="00244BF8" w:rsidRDefault="00244BF8" w:rsidP="00244BF8">
      <w:pPr>
        <w:spacing w:line="360" w:lineRule="auto"/>
        <w:ind w:firstLine="900"/>
        <w:jc w:val="both"/>
        <w:rPr>
          <w:color w:val="FF0000"/>
        </w:rPr>
      </w:pPr>
      <w:r w:rsidRPr="00244BF8">
        <w:t xml:space="preserve">CDLM1 ve CDLM2 testleri T&gt;N durumunda yatay kesit bağımlılığı olup olmadığını test eden tahmincilerdir. CDLM testi ise N&gt;T durumunda yatay kesit bağımlılığı olup olmadığını test eden bir tahmincidir. </w:t>
      </w:r>
      <w:r w:rsidR="00517888" w:rsidRPr="00517888">
        <w:t xml:space="preserve">Bu çalışmada </w:t>
      </w:r>
      <w:r>
        <w:t>24</w:t>
      </w:r>
      <w:r w:rsidR="00517888" w:rsidRPr="00517888">
        <w:t xml:space="preserve"> ülke (N=</w:t>
      </w:r>
      <w:r>
        <w:t>24</w:t>
      </w:r>
      <w:r w:rsidR="00517888" w:rsidRPr="00517888">
        <w:t>) ve 41 yıl (T=41) olduğu için, Berusch-Pagan (1980) CDLM testi kullanılmıştır. Bu test, grup ortalaması sıfır fakat bireysel ortalama sıfırdan farklı olduğunda, sapmalı olmaktadır. Pesaran, Ullah ve Yamagata (2008), bu sapmayı, test istatistiğine varyansı ve ortalamayı da ekleyerek düzeltmiştir. Bu nedenle ismi düzeltilmiş LM testi olarak ifade edilmektedir. LM test istatistiği ilk haliyle aşağıdaki gibidir.</w:t>
      </w:r>
    </w:p>
    <w:p w:rsidR="00517888" w:rsidRDefault="00517888" w:rsidP="00061D8C">
      <w:pPr>
        <w:spacing w:line="360" w:lineRule="auto"/>
      </w:pPr>
      <m:oMath>
        <m:r>
          <w:rPr>
            <w:rFonts w:ascii="Cambria Math" w:hAnsi="Cambria Math"/>
            <w:sz w:val="28"/>
            <w:szCs w:val="28"/>
          </w:rPr>
          <w:lastRenderedPageBreak/>
          <m:t>CDLM1=T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N-1</m:t>
            </m:r>
          </m:sup>
          <m:e>
            <m:nary>
              <m:naryPr>
                <m:chr m:val="∑"/>
                <m:limLoc m:val="undOvr"/>
                <m:ctrlPr>
                  <w:rPr>
                    <w:rFonts w:ascii="Cambria Math" w:hAnsi="Cambria Math"/>
                    <w:i/>
                    <w:sz w:val="28"/>
                    <w:szCs w:val="28"/>
                  </w:rPr>
                </m:ctrlPr>
              </m:naryPr>
              <m:sub>
                <m:r>
                  <w:rPr>
                    <w:rFonts w:ascii="Cambria Math" w:hAnsi="Cambria Math"/>
                    <w:sz w:val="28"/>
                    <w:szCs w:val="28"/>
                  </w:rPr>
                  <m:t>j=i+1</m:t>
                </m:r>
              </m:sub>
              <m:sup>
                <m:r>
                  <w:rPr>
                    <w:rFonts w:ascii="Cambria Math" w:hAnsi="Cambria Math"/>
                    <w:sz w:val="28"/>
                    <w:szCs w:val="28"/>
                  </w:rPr>
                  <m:t>N</m:t>
                </m:r>
              </m:sup>
              <m:e>
                <m:sSubSup>
                  <m:sSubSupPr>
                    <m:ctrlPr>
                      <w:rPr>
                        <w:rFonts w:ascii="Cambria Math" w:hAnsi="Cambria Math"/>
                        <w:i/>
                        <w:sz w:val="28"/>
                        <w:szCs w:val="28"/>
                      </w:rPr>
                    </m:ctrlPr>
                  </m:sSubSupPr>
                  <m:e>
                    <m:acc>
                      <m:accPr>
                        <m:ctrlPr>
                          <w:rPr>
                            <w:rFonts w:ascii="Cambria Math" w:hAnsi="Cambria Math"/>
                            <w:i/>
                            <w:sz w:val="28"/>
                            <w:szCs w:val="28"/>
                          </w:rPr>
                        </m:ctrlPr>
                      </m:accPr>
                      <m:e>
                        <m:r>
                          <w:rPr>
                            <w:rFonts w:ascii="Cambria Math" w:hAnsi="Cambria Math"/>
                            <w:sz w:val="28"/>
                            <w:szCs w:val="28"/>
                          </w:rPr>
                          <m:t>ρ</m:t>
                        </m:r>
                      </m:e>
                    </m:acc>
                  </m:e>
                  <m:sub>
                    <m:r>
                      <w:rPr>
                        <w:rFonts w:ascii="Cambria Math" w:hAnsi="Cambria Math"/>
                        <w:sz w:val="28"/>
                        <w:szCs w:val="28"/>
                      </w:rPr>
                      <m:t>ij</m:t>
                    </m:r>
                  </m:sub>
                  <m:sup>
                    <m:r>
                      <w:rPr>
                        <w:rFonts w:ascii="Cambria Math" w:hAnsi="Cambria Math"/>
                        <w:sz w:val="28"/>
                        <w:szCs w:val="28"/>
                      </w:rPr>
                      <m:t>2</m:t>
                    </m:r>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 xml:space="preserve"> χ</m:t>
                    </m:r>
                  </m:e>
                  <m:sub>
                    <m:f>
                      <m:fPr>
                        <m:ctrlPr>
                          <w:rPr>
                            <w:rFonts w:ascii="Cambria Math" w:hAnsi="Cambria Math"/>
                            <w:i/>
                            <w:sz w:val="28"/>
                            <w:szCs w:val="28"/>
                          </w:rPr>
                        </m:ctrlPr>
                      </m:fPr>
                      <m:num>
                        <m:r>
                          <w:rPr>
                            <w:rFonts w:ascii="Cambria Math" w:hAnsi="Cambria Math"/>
                            <w:sz w:val="28"/>
                            <w:szCs w:val="28"/>
                          </w:rPr>
                          <m:t>N(N-1)</m:t>
                        </m:r>
                      </m:num>
                      <m:den>
                        <m:r>
                          <w:rPr>
                            <w:rFonts w:ascii="Cambria Math" w:hAnsi="Cambria Math"/>
                            <w:sz w:val="28"/>
                            <w:szCs w:val="28"/>
                          </w:rPr>
                          <m:t>2</m:t>
                        </m:r>
                      </m:den>
                    </m:f>
                  </m:sub>
                  <m:sup>
                    <m:r>
                      <w:rPr>
                        <w:rFonts w:ascii="Cambria Math" w:hAnsi="Cambria Math"/>
                        <w:sz w:val="28"/>
                        <w:szCs w:val="28"/>
                      </w:rPr>
                      <m:t>2</m:t>
                    </m:r>
                  </m:sup>
                </m:sSubSup>
              </m:e>
            </m:nary>
          </m:e>
        </m:nary>
      </m:oMath>
      <w:r>
        <w:rPr>
          <w:rFonts w:eastAsiaTheme="minorEastAsia"/>
        </w:rPr>
        <w:t xml:space="preserve">                       </w:t>
      </w:r>
      <w:r w:rsidR="00061D8C">
        <w:rPr>
          <w:rFonts w:eastAsiaTheme="minorEastAsia"/>
        </w:rPr>
        <w:tab/>
      </w:r>
      <w:r w:rsidR="00061D8C">
        <w:rPr>
          <w:rFonts w:eastAsiaTheme="minorEastAsia"/>
        </w:rPr>
        <w:tab/>
      </w:r>
      <w:r>
        <w:rPr>
          <w:rFonts w:eastAsiaTheme="minorEastAsia"/>
        </w:rPr>
        <w:t xml:space="preserve">        </w:t>
      </w:r>
      <w:r w:rsidR="00061D8C">
        <w:rPr>
          <w:rFonts w:eastAsiaTheme="minorEastAsia"/>
        </w:rPr>
        <w:t xml:space="preserve">  </w:t>
      </w:r>
      <w:r w:rsidR="00A25079">
        <w:rPr>
          <w:rFonts w:eastAsiaTheme="minorEastAsia"/>
        </w:rPr>
        <w:t xml:space="preserve"> (4.20</w:t>
      </w:r>
      <w:r>
        <w:rPr>
          <w:rFonts w:eastAsiaTheme="minorEastAsia"/>
        </w:rPr>
        <w:t>)</w:t>
      </w:r>
    </w:p>
    <w:p w:rsidR="00517888" w:rsidRDefault="00517888" w:rsidP="00517888">
      <w:pPr>
        <w:tabs>
          <w:tab w:val="left" w:pos="1134"/>
          <w:tab w:val="left" w:pos="1276"/>
        </w:tabs>
        <w:spacing w:line="360" w:lineRule="auto"/>
        <w:jc w:val="both"/>
      </w:pPr>
      <w:r>
        <w:t>Daha sonra yapılan düzeltmeyle şu hale gelmiştir.</w:t>
      </w:r>
    </w:p>
    <w:p w:rsidR="00517888" w:rsidRDefault="00E56A11" w:rsidP="00061D8C">
      <w:pPr>
        <w:tabs>
          <w:tab w:val="left" w:pos="1134"/>
          <w:tab w:val="left" w:pos="1276"/>
        </w:tabs>
        <w:spacing w:line="360" w:lineRule="auto"/>
      </w:pPr>
      <m:oMath>
        <m:sSub>
          <m:sSubPr>
            <m:ctrlPr>
              <w:rPr>
                <w:rFonts w:ascii="Cambria Math" w:hAnsi="Cambria Math"/>
                <w:i/>
                <w:sz w:val="28"/>
                <w:szCs w:val="28"/>
              </w:rPr>
            </m:ctrlPr>
          </m:sSubPr>
          <m:e>
            <m:r>
              <w:rPr>
                <w:rFonts w:ascii="Cambria Math" w:hAnsi="Cambria Math"/>
                <w:sz w:val="28"/>
                <w:szCs w:val="28"/>
              </w:rPr>
              <m:t>LM</m:t>
            </m:r>
          </m:e>
          <m:sub>
            <m:r>
              <w:rPr>
                <w:rFonts w:ascii="Cambria Math" w:hAnsi="Cambria Math"/>
                <w:sz w:val="28"/>
                <w:szCs w:val="28"/>
              </w:rPr>
              <m:t>adj</m:t>
            </m:r>
          </m:sub>
        </m:sSub>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N(N-1)</m:t>
                    </m:r>
                  </m:den>
                </m:f>
              </m:e>
            </m:d>
          </m:e>
          <m:sup>
            <m:f>
              <m:fPr>
                <m:type m:val="skw"/>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N-1</m:t>
            </m:r>
          </m:sup>
          <m:e>
            <m:nary>
              <m:naryPr>
                <m:chr m:val="∑"/>
                <m:limLoc m:val="undOvr"/>
                <m:ctrlPr>
                  <w:rPr>
                    <w:rFonts w:ascii="Cambria Math" w:hAnsi="Cambria Math"/>
                    <w:i/>
                    <w:sz w:val="28"/>
                    <w:szCs w:val="28"/>
                  </w:rPr>
                </m:ctrlPr>
              </m:naryPr>
              <m:sub>
                <m:r>
                  <w:rPr>
                    <w:rFonts w:ascii="Cambria Math" w:hAnsi="Cambria Math"/>
                    <w:sz w:val="28"/>
                    <w:szCs w:val="28"/>
                  </w:rPr>
                  <m:t>j=i+1</m:t>
                </m:r>
              </m:sub>
              <m:sup>
                <m:r>
                  <w:rPr>
                    <w:rFonts w:ascii="Cambria Math" w:hAnsi="Cambria Math"/>
                    <w:sz w:val="28"/>
                    <w:szCs w:val="28"/>
                  </w:rPr>
                  <m:t>N</m:t>
                </m:r>
              </m:sup>
              <m:e>
                <m:sSubSup>
                  <m:sSubSupPr>
                    <m:ctrlPr>
                      <w:rPr>
                        <w:rFonts w:ascii="Cambria Math" w:hAnsi="Cambria Math"/>
                        <w:i/>
                        <w:sz w:val="28"/>
                        <w:szCs w:val="28"/>
                      </w:rPr>
                    </m:ctrlPr>
                  </m:sSubSupPr>
                  <m:e>
                    <m:acc>
                      <m:accPr>
                        <m:ctrlPr>
                          <w:rPr>
                            <w:rFonts w:ascii="Cambria Math" w:hAnsi="Cambria Math"/>
                            <w:i/>
                            <w:sz w:val="28"/>
                            <w:szCs w:val="28"/>
                          </w:rPr>
                        </m:ctrlPr>
                      </m:accPr>
                      <m:e>
                        <m:r>
                          <w:rPr>
                            <w:rFonts w:ascii="Cambria Math" w:hAnsi="Cambria Math"/>
                            <w:sz w:val="28"/>
                            <w:szCs w:val="28"/>
                          </w:rPr>
                          <m:t>ρ</m:t>
                        </m:r>
                      </m:e>
                    </m:acc>
                  </m:e>
                  <m:sub>
                    <m:r>
                      <w:rPr>
                        <w:rFonts w:ascii="Cambria Math" w:hAnsi="Cambria Math"/>
                        <w:sz w:val="28"/>
                        <w:szCs w:val="28"/>
                      </w:rPr>
                      <m:t>ij</m:t>
                    </m:r>
                  </m:sub>
                  <m:sup>
                    <m:r>
                      <w:rPr>
                        <w:rFonts w:ascii="Cambria Math" w:hAnsi="Cambria Math"/>
                        <w:sz w:val="28"/>
                        <w:szCs w:val="28"/>
                      </w:rPr>
                      <m:t>2</m:t>
                    </m:r>
                  </m:sup>
                </m:sSubSup>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T-K-1</m:t>
                        </m:r>
                      </m:e>
                    </m:d>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ρ</m:t>
                            </m:r>
                          </m:e>
                        </m:acc>
                      </m:e>
                      <m:sub>
                        <m:r>
                          <w:rPr>
                            <w:rFonts w:ascii="Cambria Math" w:hAnsi="Cambria Math"/>
                            <w:sz w:val="28"/>
                            <w:szCs w:val="28"/>
                          </w:rPr>
                          <m:t>ij</m:t>
                        </m:r>
                      </m:sub>
                    </m:sSub>
                    <m:r>
                      <w:rPr>
                        <w:rFonts w:ascii="Cambria Math" w:hAnsi="Cambria Math"/>
                        <w:sz w:val="28"/>
                        <w:szCs w:val="28"/>
                      </w:rPr>
                      <m:t>-</m:t>
                    </m:r>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μ</m:t>
                            </m:r>
                          </m:e>
                        </m:acc>
                      </m:e>
                      <m:sub>
                        <m:r>
                          <w:rPr>
                            <w:rFonts w:ascii="Cambria Math" w:hAnsi="Cambria Math"/>
                            <w:sz w:val="28"/>
                            <w:szCs w:val="28"/>
                          </w:rPr>
                          <m:t>Tij</m:t>
                        </m:r>
                      </m:sub>
                    </m:sSub>
                  </m:num>
                  <m:den>
                    <m:sSub>
                      <m:sSubPr>
                        <m:ctrlPr>
                          <w:rPr>
                            <w:rFonts w:ascii="Cambria Math" w:hAnsi="Cambria Math"/>
                            <w:i/>
                            <w:sz w:val="28"/>
                            <w:szCs w:val="28"/>
                          </w:rPr>
                        </m:ctrlPr>
                      </m:sSubPr>
                      <m:e>
                        <m:r>
                          <w:rPr>
                            <w:rFonts w:ascii="Cambria Math" w:hAnsi="Cambria Math"/>
                            <w:sz w:val="28"/>
                            <w:szCs w:val="28"/>
                          </w:rPr>
                          <m:t>υ</m:t>
                        </m:r>
                      </m:e>
                      <m:sub>
                        <m:r>
                          <w:rPr>
                            <w:rFonts w:ascii="Cambria Math" w:hAnsi="Cambria Math"/>
                            <w:sz w:val="28"/>
                            <w:szCs w:val="28"/>
                          </w:rPr>
                          <m:t>Tij</m:t>
                        </m:r>
                      </m:sub>
                    </m:sSub>
                  </m:den>
                </m:f>
                <m:r>
                  <w:rPr>
                    <w:rFonts w:ascii="Cambria Math" w:hAnsi="Cambria Math"/>
                    <w:sz w:val="28"/>
                    <w:szCs w:val="28"/>
                  </w:rPr>
                  <m:t xml:space="preserve"> ~ N(0,1)</m:t>
                </m:r>
              </m:e>
            </m:nary>
          </m:e>
        </m:nary>
      </m:oMath>
      <w:r w:rsidR="00517888">
        <w:rPr>
          <w:rFonts w:eastAsiaTheme="minorEastAsia"/>
        </w:rPr>
        <w:t xml:space="preserve">    </w:t>
      </w:r>
      <w:r w:rsidR="00A25079">
        <w:rPr>
          <w:rFonts w:eastAsiaTheme="minorEastAsia"/>
        </w:rPr>
        <w:t xml:space="preserve">      (4.21</w:t>
      </w:r>
      <w:r w:rsidR="00517888">
        <w:rPr>
          <w:rFonts w:eastAsiaTheme="minorEastAsia"/>
        </w:rPr>
        <w:t>)</w:t>
      </w:r>
    </w:p>
    <w:p w:rsidR="00517888" w:rsidRDefault="00517888" w:rsidP="00517888">
      <w:pPr>
        <w:spacing w:line="360" w:lineRule="auto"/>
        <w:jc w:val="both"/>
      </w:pPr>
      <w:r>
        <w:t xml:space="preserve">Burada; </w:t>
      </w:r>
      <m:oMath>
        <m:sSub>
          <m:sSubPr>
            <m:ctrlPr>
              <w:rPr>
                <w:rFonts w:ascii="Cambria Math" w:hAnsi="Cambria Math"/>
                <w:i/>
              </w:rPr>
            </m:ctrlPr>
          </m:sSubPr>
          <m:e>
            <m:acc>
              <m:accPr>
                <m:ctrlPr>
                  <w:rPr>
                    <w:rFonts w:ascii="Cambria Math" w:hAnsi="Cambria Math"/>
                    <w:i/>
                  </w:rPr>
                </m:ctrlPr>
              </m:accPr>
              <m:e>
                <m:r>
                  <w:rPr>
                    <w:rFonts w:ascii="Cambria Math" w:hAnsi="Cambria Math"/>
                  </w:rPr>
                  <m:t>μ</m:t>
                </m:r>
              </m:e>
            </m:acc>
          </m:e>
          <m:sub>
            <m:r>
              <w:rPr>
                <w:rFonts w:ascii="Cambria Math" w:hAnsi="Cambria Math"/>
              </w:rPr>
              <m:t>Tij</m:t>
            </m:r>
          </m:sub>
        </m:sSub>
      </m:oMath>
      <w:r>
        <w:rPr>
          <w:rFonts w:eastAsiaTheme="minorEastAsia"/>
        </w:rPr>
        <w:t xml:space="preserve"> </w:t>
      </w:r>
      <w:r>
        <w:t xml:space="preserve">ortalamayı, </w:t>
      </w:r>
      <m:oMath>
        <m:sSub>
          <m:sSubPr>
            <m:ctrlPr>
              <w:rPr>
                <w:rFonts w:ascii="Cambria Math" w:hAnsi="Cambria Math"/>
                <w:i/>
              </w:rPr>
            </m:ctrlPr>
          </m:sSubPr>
          <m:e>
            <m:r>
              <w:rPr>
                <w:rFonts w:ascii="Cambria Math" w:hAnsi="Cambria Math"/>
              </w:rPr>
              <m:t>υ</m:t>
            </m:r>
          </m:e>
          <m:sub>
            <m:r>
              <w:rPr>
                <w:rFonts w:ascii="Cambria Math" w:hAnsi="Cambria Math"/>
              </w:rPr>
              <m:t>Tij</m:t>
            </m:r>
          </m:sub>
        </m:sSub>
      </m:oMath>
      <w:r>
        <w:rPr>
          <w:position w:val="-14"/>
        </w:rPr>
        <w:t xml:space="preserve"> </w:t>
      </w:r>
      <w:r>
        <w:t>varyansı (variance) temsil etmektedir.</w:t>
      </w:r>
    </w:p>
    <w:p w:rsidR="00517888" w:rsidRPr="004E4E46" w:rsidRDefault="00517888" w:rsidP="00517888">
      <w:pPr>
        <w:spacing w:line="360" w:lineRule="auto"/>
        <w:jc w:val="both"/>
      </w:pPr>
      <w:r>
        <w:t>B</w:t>
      </w:r>
      <w:r w:rsidRPr="004E4E46">
        <w:t xml:space="preserve">uradan elde edilecek olan test istatistiği, asimtotik olarak standart normal dağılım göstermektedir (Pesaran, </w:t>
      </w:r>
      <w:r>
        <w:t xml:space="preserve">vd. </w:t>
      </w:r>
      <w:r w:rsidRPr="004E4E46">
        <w:t>200</w:t>
      </w:r>
      <w:r>
        <w:t>8</w:t>
      </w:r>
      <w:r w:rsidRPr="004E4E46">
        <w:t>). Testin hipotezleri:</w:t>
      </w:r>
    </w:p>
    <w:p w:rsidR="00517888" w:rsidRPr="004E4E46" w:rsidRDefault="00517888" w:rsidP="00517888">
      <w:pPr>
        <w:spacing w:line="360" w:lineRule="auto"/>
        <w:ind w:firstLine="708"/>
        <w:jc w:val="both"/>
      </w:pPr>
      <w:r w:rsidRPr="00501AFB">
        <w:rPr>
          <w:i/>
        </w:rPr>
        <w:t>H</w:t>
      </w:r>
      <w:r w:rsidRPr="00501AFB">
        <w:rPr>
          <w:i/>
          <w:vertAlign w:val="subscript"/>
        </w:rPr>
        <w:t>0</w:t>
      </w:r>
      <w:r w:rsidRPr="004E4E46">
        <w:t xml:space="preserve">: Yatay kesit bağımlılığı yoktur.  </w:t>
      </w:r>
    </w:p>
    <w:p w:rsidR="00517888" w:rsidRPr="004E4E46" w:rsidRDefault="00517888" w:rsidP="00517888">
      <w:pPr>
        <w:spacing w:line="360" w:lineRule="auto"/>
        <w:ind w:firstLine="708"/>
        <w:jc w:val="both"/>
      </w:pPr>
      <w:r w:rsidRPr="00501AFB">
        <w:rPr>
          <w:i/>
        </w:rPr>
        <w:t>H</w:t>
      </w:r>
      <w:r w:rsidRPr="00501AFB">
        <w:rPr>
          <w:i/>
          <w:vertAlign w:val="subscript"/>
        </w:rPr>
        <w:t>1</w:t>
      </w:r>
      <w:r w:rsidRPr="004E4E46">
        <w:t>: Yatay kesit bağımlılığı vardır.</w:t>
      </w:r>
    </w:p>
    <w:p w:rsidR="00517888" w:rsidRDefault="00517888" w:rsidP="00061D8C">
      <w:pPr>
        <w:spacing w:line="360" w:lineRule="auto"/>
        <w:ind w:firstLine="708"/>
        <w:jc w:val="both"/>
      </w:pPr>
      <w:r w:rsidRPr="004E4E46">
        <w:t xml:space="preserve">Test sonucunda elde edilecek olasılık değeri 0.05’ten küçük olduğunda, %5 anlamlılık düzeyinde, </w:t>
      </w:r>
      <w:r w:rsidRPr="00501AFB">
        <w:rPr>
          <w:i/>
        </w:rPr>
        <w:t>H</w:t>
      </w:r>
      <w:r w:rsidRPr="00501AFB">
        <w:rPr>
          <w:i/>
          <w:vertAlign w:val="subscript"/>
        </w:rPr>
        <w:t>0</w:t>
      </w:r>
      <w:r w:rsidRPr="004E4E46">
        <w:t xml:space="preserve"> hipotezi reddedil</w:t>
      </w:r>
      <w:r>
        <w:t>mekte</w:t>
      </w:r>
      <w:r w:rsidRPr="004E4E46">
        <w:t xml:space="preserve"> ve paneli oluşturan birimler arasında yatay kesit bağımlılığı olduğuna kara</w:t>
      </w:r>
      <w:r>
        <w:t>r</w:t>
      </w:r>
      <w:r w:rsidRPr="004E4E46">
        <w:t xml:space="preserve"> veril</w:t>
      </w:r>
      <w:r>
        <w:t>mekted</w:t>
      </w:r>
      <w:r w:rsidRPr="004E4E46">
        <w:t>ir</w:t>
      </w:r>
      <w:r>
        <w:t xml:space="preserve"> (Pesaran</w:t>
      </w:r>
      <w:r w:rsidR="00FE7429">
        <w:t xml:space="preserve"> vd</w:t>
      </w:r>
      <w:proofErr w:type="gramStart"/>
      <w:r w:rsidR="00FE7429">
        <w:t>.</w:t>
      </w:r>
      <w:r>
        <w:t>,</w:t>
      </w:r>
      <w:proofErr w:type="gramEnd"/>
      <w:r>
        <w:t xml:space="preserve"> 2008)</w:t>
      </w:r>
      <w:r w:rsidRPr="004E4E46">
        <w:t>.</w:t>
      </w:r>
      <w:r w:rsidRPr="000864C2">
        <w:t xml:space="preserve"> </w:t>
      </w:r>
    </w:p>
    <w:p w:rsidR="00604166" w:rsidRDefault="00517888" w:rsidP="00753C49">
      <w:pPr>
        <w:pStyle w:val="ListeParagraf"/>
        <w:spacing w:before="240" w:after="240" w:line="360" w:lineRule="auto"/>
        <w:ind w:left="0" w:firstLine="708"/>
        <w:jc w:val="both"/>
      </w:pPr>
      <w:r>
        <w:t xml:space="preserve">Bu çalışmada, değişkenlerde yatay kesit bağımlılığının varlığı, Gauss kodları yardımıyla </w:t>
      </w:r>
      <w:r w:rsidR="00352D09">
        <w:t xml:space="preserve">Gauss </w:t>
      </w:r>
      <w:proofErr w:type="gramStart"/>
      <w:r w:rsidR="00352D09">
        <w:t>10.0</w:t>
      </w:r>
      <w:proofErr w:type="gramEnd"/>
      <w:r w:rsidR="00352D09">
        <w:t xml:space="preserve"> programında </w:t>
      </w:r>
      <w:r>
        <w:t xml:space="preserve">ayrı ayrı LM testi ile kontrol edilmiş ve </w:t>
      </w:r>
      <w:r w:rsidR="00352D09">
        <w:t>Çizelge</w:t>
      </w:r>
      <w:r>
        <w:t xml:space="preserve"> </w:t>
      </w:r>
      <w:r w:rsidR="00352D09">
        <w:t>4.1’deki</w:t>
      </w:r>
      <w:r>
        <w:t xml:space="preserve"> sonuçlar elde edilmiştir.  </w:t>
      </w:r>
    </w:p>
    <w:p w:rsidR="00753C49" w:rsidRDefault="008B1B5D" w:rsidP="000D38D2">
      <w:pPr>
        <w:pStyle w:val="it6"/>
      </w:pPr>
      <w:bookmarkStart w:id="183" w:name="_Toc384716099"/>
      <w:r>
        <w:t>Çizelge 4.</w:t>
      </w:r>
      <w:r w:rsidR="00352D09">
        <w:t xml:space="preserve"> </w:t>
      </w:r>
      <w:r>
        <w:t>1</w:t>
      </w:r>
      <w:r w:rsidR="00753C49" w:rsidRPr="000864C2">
        <w:t>:</w:t>
      </w:r>
      <w:r w:rsidR="00753C49">
        <w:t xml:space="preserve"> </w:t>
      </w:r>
      <w:r w:rsidR="00753C49" w:rsidRPr="008B1B5D">
        <w:t>Yatay Kesit Bağımlılığı Test Sonuçları</w:t>
      </w:r>
      <w:bookmarkEnd w:id="183"/>
    </w:p>
    <w:tbl>
      <w:tblPr>
        <w:tblW w:w="8589" w:type="dxa"/>
        <w:tblInd w:w="55" w:type="dxa"/>
        <w:tblCellMar>
          <w:left w:w="70" w:type="dxa"/>
          <w:right w:w="70" w:type="dxa"/>
        </w:tblCellMar>
        <w:tblLook w:val="04A0" w:firstRow="1" w:lastRow="0" w:firstColumn="1" w:lastColumn="0" w:noHBand="0" w:noVBand="1"/>
      </w:tblPr>
      <w:tblGrid>
        <w:gridCol w:w="2856"/>
        <w:gridCol w:w="1178"/>
        <w:gridCol w:w="1351"/>
        <w:gridCol w:w="986"/>
        <w:gridCol w:w="1104"/>
        <w:gridCol w:w="1114"/>
      </w:tblGrid>
      <w:tr w:rsidR="007122A9" w:rsidTr="007122A9">
        <w:trPr>
          <w:trHeight w:val="330"/>
        </w:trPr>
        <w:tc>
          <w:tcPr>
            <w:tcW w:w="2856" w:type="dxa"/>
            <w:tcBorders>
              <w:top w:val="single" w:sz="4" w:space="0" w:color="auto"/>
              <w:left w:val="single" w:sz="4" w:space="0" w:color="auto"/>
              <w:bottom w:val="double" w:sz="6" w:space="0" w:color="auto"/>
              <w:right w:val="single" w:sz="4" w:space="0" w:color="auto"/>
            </w:tcBorders>
            <w:shd w:val="clear" w:color="000000" w:fill="BFBFBF"/>
            <w:vAlign w:val="center"/>
            <w:hideMark/>
          </w:tcPr>
          <w:p w:rsidR="007122A9" w:rsidRPr="007122A9" w:rsidRDefault="007122A9">
            <w:pPr>
              <w:jc w:val="center"/>
              <w:rPr>
                <w:b/>
                <w:bCs/>
                <w:color w:val="000000"/>
                <w:sz w:val="20"/>
                <w:szCs w:val="20"/>
              </w:rPr>
            </w:pPr>
            <w:r w:rsidRPr="007122A9">
              <w:rPr>
                <w:b/>
                <w:bCs/>
                <w:color w:val="000000"/>
                <w:sz w:val="20"/>
                <w:szCs w:val="20"/>
              </w:rPr>
              <w:t xml:space="preserve">Testler </w:t>
            </w:r>
          </w:p>
        </w:tc>
        <w:tc>
          <w:tcPr>
            <w:tcW w:w="1178" w:type="dxa"/>
            <w:tcBorders>
              <w:top w:val="single" w:sz="4" w:space="0" w:color="auto"/>
              <w:left w:val="nil"/>
              <w:bottom w:val="double" w:sz="6" w:space="0" w:color="auto"/>
              <w:right w:val="single" w:sz="4" w:space="0" w:color="auto"/>
            </w:tcBorders>
            <w:shd w:val="clear" w:color="000000" w:fill="BFBFBF"/>
            <w:vAlign w:val="center"/>
            <w:hideMark/>
          </w:tcPr>
          <w:p w:rsidR="007122A9" w:rsidRPr="007122A9" w:rsidRDefault="007122A9" w:rsidP="007122A9">
            <w:pPr>
              <w:jc w:val="center"/>
              <w:rPr>
                <w:b/>
                <w:bCs/>
                <w:color w:val="000000"/>
                <w:sz w:val="20"/>
                <w:szCs w:val="20"/>
              </w:rPr>
            </w:pPr>
            <w:r w:rsidRPr="007122A9">
              <w:rPr>
                <w:b/>
                <w:bCs/>
                <w:color w:val="000000"/>
                <w:sz w:val="20"/>
                <w:szCs w:val="20"/>
              </w:rPr>
              <w:t>lco</w:t>
            </w:r>
          </w:p>
        </w:tc>
        <w:tc>
          <w:tcPr>
            <w:tcW w:w="1351" w:type="dxa"/>
            <w:tcBorders>
              <w:top w:val="single" w:sz="4" w:space="0" w:color="auto"/>
              <w:left w:val="nil"/>
              <w:bottom w:val="double" w:sz="6" w:space="0" w:color="auto"/>
              <w:right w:val="single" w:sz="4" w:space="0" w:color="auto"/>
            </w:tcBorders>
            <w:shd w:val="clear" w:color="000000" w:fill="BFBFBF"/>
            <w:vAlign w:val="center"/>
            <w:hideMark/>
          </w:tcPr>
          <w:p w:rsidR="007122A9" w:rsidRPr="007122A9" w:rsidRDefault="007122A9" w:rsidP="007122A9">
            <w:pPr>
              <w:jc w:val="center"/>
              <w:rPr>
                <w:b/>
                <w:bCs/>
                <w:color w:val="000000"/>
                <w:sz w:val="20"/>
                <w:szCs w:val="20"/>
              </w:rPr>
            </w:pPr>
            <w:r w:rsidRPr="007122A9">
              <w:rPr>
                <w:b/>
                <w:bCs/>
                <w:color w:val="000000"/>
                <w:sz w:val="20"/>
                <w:szCs w:val="20"/>
              </w:rPr>
              <w:t>lgdp</w:t>
            </w:r>
          </w:p>
        </w:tc>
        <w:tc>
          <w:tcPr>
            <w:tcW w:w="986" w:type="dxa"/>
            <w:tcBorders>
              <w:top w:val="single" w:sz="4" w:space="0" w:color="auto"/>
              <w:left w:val="nil"/>
              <w:bottom w:val="double" w:sz="6" w:space="0" w:color="auto"/>
              <w:right w:val="single" w:sz="4" w:space="0" w:color="auto"/>
            </w:tcBorders>
            <w:shd w:val="clear" w:color="000000" w:fill="BFBFBF"/>
          </w:tcPr>
          <w:p w:rsidR="007122A9" w:rsidRPr="007122A9" w:rsidRDefault="007122A9" w:rsidP="007122A9">
            <w:pPr>
              <w:jc w:val="center"/>
              <w:rPr>
                <w:b/>
                <w:bCs/>
                <w:color w:val="000000"/>
                <w:sz w:val="20"/>
                <w:szCs w:val="20"/>
              </w:rPr>
            </w:pPr>
            <w:r>
              <w:rPr>
                <w:b/>
                <w:bCs/>
                <w:color w:val="000000"/>
                <w:sz w:val="20"/>
                <w:szCs w:val="20"/>
              </w:rPr>
              <w:t>lec</w:t>
            </w:r>
          </w:p>
        </w:tc>
        <w:tc>
          <w:tcPr>
            <w:tcW w:w="1104" w:type="dxa"/>
            <w:tcBorders>
              <w:top w:val="single" w:sz="4" w:space="0" w:color="auto"/>
              <w:left w:val="single" w:sz="4" w:space="0" w:color="auto"/>
              <w:bottom w:val="double" w:sz="6" w:space="0" w:color="auto"/>
              <w:right w:val="single" w:sz="4" w:space="0" w:color="auto"/>
            </w:tcBorders>
            <w:shd w:val="clear" w:color="000000" w:fill="BFBFBF"/>
          </w:tcPr>
          <w:p w:rsidR="007122A9" w:rsidRPr="007122A9" w:rsidRDefault="007122A9" w:rsidP="007122A9">
            <w:pPr>
              <w:jc w:val="center"/>
              <w:rPr>
                <w:b/>
                <w:bCs/>
                <w:color w:val="000000"/>
                <w:sz w:val="20"/>
                <w:szCs w:val="20"/>
              </w:rPr>
            </w:pPr>
            <w:r w:rsidRPr="007122A9">
              <w:rPr>
                <w:b/>
                <w:bCs/>
                <w:color w:val="000000"/>
                <w:sz w:val="20"/>
                <w:szCs w:val="20"/>
              </w:rPr>
              <w:t>opex</w:t>
            </w:r>
          </w:p>
        </w:tc>
        <w:tc>
          <w:tcPr>
            <w:tcW w:w="1114" w:type="dxa"/>
            <w:tcBorders>
              <w:top w:val="single" w:sz="4" w:space="0" w:color="auto"/>
              <w:left w:val="nil"/>
              <w:bottom w:val="double" w:sz="6" w:space="0" w:color="auto"/>
              <w:right w:val="single" w:sz="4" w:space="0" w:color="auto"/>
            </w:tcBorders>
            <w:shd w:val="clear" w:color="000000" w:fill="BFBFBF"/>
          </w:tcPr>
          <w:p w:rsidR="007122A9" w:rsidRPr="007122A9" w:rsidRDefault="007122A9" w:rsidP="007122A9">
            <w:pPr>
              <w:jc w:val="center"/>
              <w:rPr>
                <w:b/>
                <w:bCs/>
                <w:color w:val="000000"/>
                <w:sz w:val="20"/>
                <w:szCs w:val="20"/>
              </w:rPr>
            </w:pPr>
            <w:r w:rsidRPr="007122A9">
              <w:rPr>
                <w:b/>
                <w:bCs/>
                <w:color w:val="000000"/>
                <w:sz w:val="20"/>
                <w:szCs w:val="20"/>
              </w:rPr>
              <w:t>opim</w:t>
            </w:r>
          </w:p>
        </w:tc>
      </w:tr>
      <w:tr w:rsidR="007122A9" w:rsidTr="007122A9">
        <w:trPr>
          <w:trHeight w:val="330"/>
        </w:trPr>
        <w:tc>
          <w:tcPr>
            <w:tcW w:w="2856" w:type="dxa"/>
            <w:tcBorders>
              <w:top w:val="nil"/>
              <w:left w:val="single" w:sz="4" w:space="0" w:color="auto"/>
              <w:bottom w:val="single" w:sz="4" w:space="0" w:color="auto"/>
              <w:right w:val="single" w:sz="4" w:space="0" w:color="auto"/>
            </w:tcBorders>
            <w:shd w:val="clear" w:color="auto" w:fill="auto"/>
            <w:vAlign w:val="center"/>
            <w:hideMark/>
          </w:tcPr>
          <w:p w:rsidR="007122A9" w:rsidRPr="007122A9" w:rsidRDefault="007122A9">
            <w:pPr>
              <w:rPr>
                <w:color w:val="000000"/>
                <w:sz w:val="20"/>
                <w:szCs w:val="20"/>
              </w:rPr>
            </w:pPr>
            <w:r w:rsidRPr="007122A9">
              <w:rPr>
                <w:color w:val="000000"/>
                <w:sz w:val="20"/>
                <w:szCs w:val="20"/>
              </w:rPr>
              <w:t>CD LM1 (Breusch, Pagan 1980)</w:t>
            </w:r>
          </w:p>
        </w:tc>
        <w:tc>
          <w:tcPr>
            <w:tcW w:w="1178" w:type="dxa"/>
            <w:tcBorders>
              <w:top w:val="nil"/>
              <w:left w:val="nil"/>
              <w:bottom w:val="single" w:sz="4" w:space="0" w:color="auto"/>
              <w:right w:val="single" w:sz="4" w:space="0" w:color="auto"/>
            </w:tcBorders>
            <w:shd w:val="clear" w:color="auto" w:fill="auto"/>
            <w:vAlign w:val="center"/>
            <w:hideMark/>
          </w:tcPr>
          <w:p w:rsidR="007122A9" w:rsidRPr="007122A9" w:rsidRDefault="007122A9" w:rsidP="007122A9">
            <w:pPr>
              <w:jc w:val="center"/>
              <w:rPr>
                <w:color w:val="000000"/>
                <w:sz w:val="20"/>
                <w:szCs w:val="20"/>
              </w:rPr>
            </w:pPr>
            <w:r w:rsidRPr="007122A9">
              <w:rPr>
                <w:color w:val="000000"/>
                <w:sz w:val="20"/>
                <w:szCs w:val="20"/>
              </w:rPr>
              <w:t>4568.453</w:t>
            </w:r>
          </w:p>
          <w:p w:rsidR="007122A9" w:rsidRPr="007122A9" w:rsidRDefault="007122A9" w:rsidP="007122A9">
            <w:pPr>
              <w:jc w:val="center"/>
              <w:rPr>
                <w:color w:val="000000"/>
                <w:sz w:val="20"/>
                <w:szCs w:val="20"/>
              </w:rPr>
            </w:pPr>
            <w:r w:rsidRPr="007122A9">
              <w:rPr>
                <w:color w:val="000000"/>
                <w:sz w:val="20"/>
                <w:szCs w:val="20"/>
              </w:rPr>
              <w:t>[0.000]</w:t>
            </w:r>
          </w:p>
        </w:tc>
        <w:tc>
          <w:tcPr>
            <w:tcW w:w="1351" w:type="dxa"/>
            <w:tcBorders>
              <w:top w:val="nil"/>
              <w:left w:val="nil"/>
              <w:bottom w:val="single" w:sz="4" w:space="0" w:color="auto"/>
              <w:right w:val="single" w:sz="4" w:space="0" w:color="auto"/>
            </w:tcBorders>
            <w:shd w:val="clear" w:color="auto" w:fill="auto"/>
            <w:vAlign w:val="center"/>
          </w:tcPr>
          <w:p w:rsidR="007122A9" w:rsidRPr="007122A9" w:rsidRDefault="007122A9" w:rsidP="007122A9">
            <w:pPr>
              <w:jc w:val="center"/>
              <w:rPr>
                <w:color w:val="000000"/>
                <w:sz w:val="20"/>
                <w:szCs w:val="20"/>
              </w:rPr>
            </w:pPr>
            <w:r w:rsidRPr="007122A9">
              <w:rPr>
                <w:color w:val="000000"/>
                <w:sz w:val="20"/>
                <w:szCs w:val="20"/>
              </w:rPr>
              <w:t>5072.212</w:t>
            </w:r>
          </w:p>
          <w:p w:rsidR="007122A9" w:rsidRPr="007122A9" w:rsidRDefault="007122A9" w:rsidP="007122A9">
            <w:pPr>
              <w:jc w:val="center"/>
              <w:rPr>
                <w:color w:val="000000"/>
                <w:sz w:val="20"/>
                <w:szCs w:val="20"/>
              </w:rPr>
            </w:pPr>
            <w:r w:rsidRPr="007122A9">
              <w:rPr>
                <w:color w:val="000000"/>
                <w:sz w:val="20"/>
                <w:szCs w:val="20"/>
              </w:rPr>
              <w:t>0.000</w:t>
            </w:r>
          </w:p>
        </w:tc>
        <w:tc>
          <w:tcPr>
            <w:tcW w:w="986" w:type="dxa"/>
            <w:tcBorders>
              <w:top w:val="nil"/>
              <w:left w:val="nil"/>
              <w:bottom w:val="single" w:sz="4" w:space="0" w:color="auto"/>
              <w:right w:val="single" w:sz="4" w:space="0" w:color="auto"/>
            </w:tcBorders>
          </w:tcPr>
          <w:p w:rsidR="007122A9" w:rsidRDefault="007122A9" w:rsidP="007122A9">
            <w:pPr>
              <w:jc w:val="center"/>
              <w:rPr>
                <w:color w:val="000000"/>
                <w:sz w:val="20"/>
                <w:szCs w:val="20"/>
              </w:rPr>
            </w:pPr>
            <w:r>
              <w:rPr>
                <w:color w:val="000000"/>
                <w:sz w:val="20"/>
                <w:szCs w:val="20"/>
              </w:rPr>
              <w:t>4860.189</w:t>
            </w:r>
          </w:p>
          <w:p w:rsidR="007122A9" w:rsidRPr="007122A9" w:rsidRDefault="007122A9" w:rsidP="007122A9">
            <w:pPr>
              <w:jc w:val="center"/>
              <w:rPr>
                <w:color w:val="000000"/>
                <w:sz w:val="20"/>
                <w:szCs w:val="20"/>
              </w:rPr>
            </w:pPr>
            <w:r>
              <w:rPr>
                <w:color w:val="000000"/>
                <w:sz w:val="20"/>
                <w:szCs w:val="20"/>
              </w:rPr>
              <w:t>0.000</w:t>
            </w:r>
          </w:p>
        </w:tc>
        <w:tc>
          <w:tcPr>
            <w:tcW w:w="1104" w:type="dxa"/>
            <w:tcBorders>
              <w:top w:val="nil"/>
              <w:left w:val="single" w:sz="4" w:space="0" w:color="auto"/>
              <w:bottom w:val="single" w:sz="4" w:space="0" w:color="auto"/>
              <w:right w:val="single" w:sz="4" w:space="0" w:color="auto"/>
            </w:tcBorders>
          </w:tcPr>
          <w:p w:rsidR="007122A9" w:rsidRDefault="007122A9" w:rsidP="007122A9">
            <w:pPr>
              <w:jc w:val="center"/>
              <w:rPr>
                <w:color w:val="000000"/>
                <w:sz w:val="20"/>
                <w:szCs w:val="20"/>
              </w:rPr>
            </w:pPr>
            <w:r>
              <w:rPr>
                <w:color w:val="000000"/>
                <w:sz w:val="20"/>
                <w:szCs w:val="20"/>
              </w:rPr>
              <w:t>4086.515</w:t>
            </w:r>
          </w:p>
          <w:p w:rsidR="007122A9" w:rsidRPr="007122A9" w:rsidRDefault="007122A9" w:rsidP="007122A9">
            <w:pPr>
              <w:jc w:val="center"/>
              <w:rPr>
                <w:color w:val="000000"/>
                <w:sz w:val="20"/>
                <w:szCs w:val="20"/>
              </w:rPr>
            </w:pPr>
            <w:r>
              <w:rPr>
                <w:color w:val="000000"/>
                <w:sz w:val="20"/>
                <w:szCs w:val="20"/>
              </w:rPr>
              <w:t>0.000</w:t>
            </w:r>
          </w:p>
        </w:tc>
        <w:tc>
          <w:tcPr>
            <w:tcW w:w="1114" w:type="dxa"/>
            <w:tcBorders>
              <w:top w:val="nil"/>
              <w:left w:val="nil"/>
              <w:bottom w:val="single" w:sz="4" w:space="0" w:color="auto"/>
              <w:right w:val="single" w:sz="4" w:space="0" w:color="auto"/>
            </w:tcBorders>
          </w:tcPr>
          <w:p w:rsidR="007122A9" w:rsidRDefault="007122A9" w:rsidP="007122A9">
            <w:pPr>
              <w:jc w:val="center"/>
              <w:rPr>
                <w:color w:val="000000"/>
                <w:sz w:val="20"/>
                <w:szCs w:val="20"/>
              </w:rPr>
            </w:pPr>
            <w:r>
              <w:rPr>
                <w:color w:val="000000"/>
                <w:sz w:val="20"/>
                <w:szCs w:val="20"/>
              </w:rPr>
              <w:t>3769.084</w:t>
            </w:r>
          </w:p>
          <w:p w:rsidR="007122A9" w:rsidRPr="007122A9" w:rsidRDefault="007122A9" w:rsidP="007122A9">
            <w:pPr>
              <w:jc w:val="center"/>
              <w:rPr>
                <w:color w:val="000000"/>
                <w:sz w:val="20"/>
                <w:szCs w:val="20"/>
              </w:rPr>
            </w:pPr>
            <w:r>
              <w:rPr>
                <w:color w:val="000000"/>
                <w:sz w:val="20"/>
                <w:szCs w:val="20"/>
              </w:rPr>
              <w:t>0.000</w:t>
            </w:r>
          </w:p>
        </w:tc>
      </w:tr>
      <w:tr w:rsidR="007122A9" w:rsidTr="007122A9">
        <w:trPr>
          <w:trHeight w:val="315"/>
        </w:trPr>
        <w:tc>
          <w:tcPr>
            <w:tcW w:w="2856" w:type="dxa"/>
            <w:tcBorders>
              <w:top w:val="nil"/>
              <w:left w:val="single" w:sz="4" w:space="0" w:color="auto"/>
              <w:bottom w:val="single" w:sz="4" w:space="0" w:color="auto"/>
              <w:right w:val="single" w:sz="4" w:space="0" w:color="auto"/>
            </w:tcBorders>
            <w:shd w:val="clear" w:color="auto" w:fill="auto"/>
            <w:vAlign w:val="center"/>
            <w:hideMark/>
          </w:tcPr>
          <w:p w:rsidR="007122A9" w:rsidRPr="007122A9" w:rsidRDefault="007122A9">
            <w:pPr>
              <w:rPr>
                <w:color w:val="000000"/>
                <w:sz w:val="20"/>
                <w:szCs w:val="20"/>
              </w:rPr>
            </w:pPr>
            <w:r w:rsidRPr="007122A9">
              <w:rPr>
                <w:color w:val="000000"/>
                <w:sz w:val="20"/>
                <w:szCs w:val="20"/>
              </w:rPr>
              <w:t>CD LM2 (Pesaran 2004 CDLM)</w:t>
            </w:r>
          </w:p>
        </w:tc>
        <w:tc>
          <w:tcPr>
            <w:tcW w:w="1178" w:type="dxa"/>
            <w:tcBorders>
              <w:top w:val="nil"/>
              <w:left w:val="nil"/>
              <w:bottom w:val="single" w:sz="4" w:space="0" w:color="auto"/>
              <w:right w:val="single" w:sz="4" w:space="0" w:color="auto"/>
            </w:tcBorders>
            <w:shd w:val="clear" w:color="auto" w:fill="auto"/>
            <w:vAlign w:val="center"/>
            <w:hideMark/>
          </w:tcPr>
          <w:p w:rsidR="007122A9" w:rsidRPr="007122A9" w:rsidRDefault="007122A9" w:rsidP="007122A9">
            <w:pPr>
              <w:jc w:val="center"/>
              <w:rPr>
                <w:color w:val="000000"/>
                <w:sz w:val="20"/>
                <w:szCs w:val="20"/>
              </w:rPr>
            </w:pPr>
            <w:r w:rsidRPr="007122A9">
              <w:rPr>
                <w:color w:val="000000"/>
                <w:sz w:val="20"/>
                <w:szCs w:val="20"/>
              </w:rPr>
              <w:t>182.699</w:t>
            </w:r>
          </w:p>
          <w:p w:rsidR="007122A9" w:rsidRPr="007122A9" w:rsidRDefault="007122A9" w:rsidP="007122A9">
            <w:pPr>
              <w:jc w:val="center"/>
              <w:rPr>
                <w:color w:val="000000"/>
                <w:sz w:val="20"/>
                <w:szCs w:val="20"/>
              </w:rPr>
            </w:pPr>
            <w:r w:rsidRPr="007122A9">
              <w:rPr>
                <w:color w:val="000000"/>
                <w:sz w:val="20"/>
                <w:szCs w:val="20"/>
              </w:rPr>
              <w:t>[0.000]</w:t>
            </w:r>
          </w:p>
        </w:tc>
        <w:tc>
          <w:tcPr>
            <w:tcW w:w="1351" w:type="dxa"/>
            <w:tcBorders>
              <w:top w:val="nil"/>
              <w:left w:val="nil"/>
              <w:bottom w:val="single" w:sz="4" w:space="0" w:color="auto"/>
              <w:right w:val="single" w:sz="4" w:space="0" w:color="auto"/>
            </w:tcBorders>
            <w:shd w:val="clear" w:color="auto" w:fill="auto"/>
            <w:vAlign w:val="center"/>
          </w:tcPr>
          <w:p w:rsidR="007122A9" w:rsidRPr="007122A9" w:rsidRDefault="007122A9" w:rsidP="007122A9">
            <w:pPr>
              <w:jc w:val="center"/>
              <w:rPr>
                <w:color w:val="000000"/>
                <w:sz w:val="20"/>
                <w:szCs w:val="20"/>
              </w:rPr>
            </w:pPr>
            <w:r w:rsidRPr="007122A9">
              <w:rPr>
                <w:color w:val="000000"/>
                <w:sz w:val="20"/>
                <w:szCs w:val="20"/>
              </w:rPr>
              <w:t>204.140</w:t>
            </w:r>
          </w:p>
          <w:p w:rsidR="007122A9" w:rsidRPr="007122A9" w:rsidRDefault="007122A9" w:rsidP="007122A9">
            <w:pPr>
              <w:jc w:val="center"/>
              <w:rPr>
                <w:color w:val="000000"/>
                <w:sz w:val="20"/>
                <w:szCs w:val="20"/>
              </w:rPr>
            </w:pPr>
            <w:r w:rsidRPr="007122A9">
              <w:rPr>
                <w:color w:val="000000"/>
                <w:sz w:val="20"/>
                <w:szCs w:val="20"/>
              </w:rPr>
              <w:t>0.000</w:t>
            </w:r>
          </w:p>
        </w:tc>
        <w:tc>
          <w:tcPr>
            <w:tcW w:w="986" w:type="dxa"/>
            <w:tcBorders>
              <w:top w:val="nil"/>
              <w:left w:val="nil"/>
              <w:bottom w:val="single" w:sz="4" w:space="0" w:color="auto"/>
              <w:right w:val="single" w:sz="4" w:space="0" w:color="auto"/>
            </w:tcBorders>
          </w:tcPr>
          <w:p w:rsidR="007122A9" w:rsidRDefault="007122A9" w:rsidP="007122A9">
            <w:pPr>
              <w:jc w:val="center"/>
              <w:rPr>
                <w:color w:val="000000"/>
                <w:sz w:val="20"/>
                <w:szCs w:val="20"/>
              </w:rPr>
            </w:pPr>
            <w:r>
              <w:rPr>
                <w:color w:val="000000"/>
                <w:sz w:val="20"/>
                <w:szCs w:val="20"/>
              </w:rPr>
              <w:t>195.116</w:t>
            </w:r>
          </w:p>
          <w:p w:rsidR="007122A9" w:rsidRPr="007122A9" w:rsidRDefault="007122A9" w:rsidP="007122A9">
            <w:pPr>
              <w:jc w:val="center"/>
              <w:rPr>
                <w:color w:val="000000"/>
                <w:sz w:val="20"/>
                <w:szCs w:val="20"/>
              </w:rPr>
            </w:pPr>
            <w:r>
              <w:rPr>
                <w:color w:val="000000"/>
                <w:sz w:val="20"/>
                <w:szCs w:val="20"/>
              </w:rPr>
              <w:t>0.000</w:t>
            </w:r>
          </w:p>
        </w:tc>
        <w:tc>
          <w:tcPr>
            <w:tcW w:w="1104" w:type="dxa"/>
            <w:tcBorders>
              <w:top w:val="nil"/>
              <w:left w:val="single" w:sz="4" w:space="0" w:color="auto"/>
              <w:bottom w:val="single" w:sz="4" w:space="0" w:color="auto"/>
              <w:right w:val="single" w:sz="4" w:space="0" w:color="auto"/>
            </w:tcBorders>
          </w:tcPr>
          <w:p w:rsidR="007122A9" w:rsidRDefault="007122A9" w:rsidP="007122A9">
            <w:pPr>
              <w:ind w:left="144"/>
              <w:jc w:val="center"/>
              <w:rPr>
                <w:color w:val="000000"/>
                <w:sz w:val="20"/>
                <w:szCs w:val="20"/>
              </w:rPr>
            </w:pPr>
            <w:r>
              <w:rPr>
                <w:color w:val="000000"/>
                <w:sz w:val="20"/>
                <w:szCs w:val="20"/>
              </w:rPr>
              <w:t>162.186</w:t>
            </w:r>
          </w:p>
          <w:p w:rsidR="007122A9" w:rsidRPr="007122A9" w:rsidRDefault="007122A9" w:rsidP="007122A9">
            <w:pPr>
              <w:ind w:left="144"/>
              <w:jc w:val="center"/>
              <w:rPr>
                <w:color w:val="000000"/>
                <w:sz w:val="20"/>
                <w:szCs w:val="20"/>
              </w:rPr>
            </w:pPr>
            <w:r>
              <w:rPr>
                <w:color w:val="000000"/>
                <w:sz w:val="20"/>
                <w:szCs w:val="20"/>
              </w:rPr>
              <w:t>0.000</w:t>
            </w:r>
          </w:p>
        </w:tc>
        <w:tc>
          <w:tcPr>
            <w:tcW w:w="1114" w:type="dxa"/>
            <w:tcBorders>
              <w:top w:val="nil"/>
              <w:left w:val="nil"/>
              <w:bottom w:val="single" w:sz="4" w:space="0" w:color="auto"/>
              <w:right w:val="single" w:sz="4" w:space="0" w:color="auto"/>
            </w:tcBorders>
          </w:tcPr>
          <w:p w:rsidR="007122A9" w:rsidRDefault="007122A9" w:rsidP="007122A9">
            <w:pPr>
              <w:jc w:val="center"/>
              <w:rPr>
                <w:color w:val="000000"/>
                <w:sz w:val="20"/>
                <w:szCs w:val="20"/>
              </w:rPr>
            </w:pPr>
            <w:r>
              <w:rPr>
                <w:color w:val="000000"/>
                <w:sz w:val="20"/>
                <w:szCs w:val="20"/>
              </w:rPr>
              <w:t>148.676</w:t>
            </w:r>
          </w:p>
          <w:p w:rsidR="007122A9" w:rsidRPr="007122A9" w:rsidRDefault="007122A9" w:rsidP="007122A9">
            <w:pPr>
              <w:jc w:val="center"/>
              <w:rPr>
                <w:color w:val="000000"/>
                <w:sz w:val="20"/>
                <w:szCs w:val="20"/>
              </w:rPr>
            </w:pPr>
            <w:r>
              <w:rPr>
                <w:color w:val="000000"/>
                <w:sz w:val="20"/>
                <w:szCs w:val="20"/>
              </w:rPr>
              <w:t>0.000</w:t>
            </w:r>
          </w:p>
        </w:tc>
      </w:tr>
      <w:tr w:rsidR="007122A9" w:rsidTr="007122A9">
        <w:trPr>
          <w:trHeight w:val="315"/>
        </w:trPr>
        <w:tc>
          <w:tcPr>
            <w:tcW w:w="2856" w:type="dxa"/>
            <w:tcBorders>
              <w:top w:val="nil"/>
              <w:left w:val="single" w:sz="4" w:space="0" w:color="auto"/>
              <w:bottom w:val="single" w:sz="4" w:space="0" w:color="auto"/>
              <w:right w:val="single" w:sz="4" w:space="0" w:color="auto"/>
            </w:tcBorders>
            <w:shd w:val="clear" w:color="auto" w:fill="auto"/>
            <w:vAlign w:val="center"/>
            <w:hideMark/>
          </w:tcPr>
          <w:p w:rsidR="007122A9" w:rsidRPr="007122A9" w:rsidRDefault="007122A9">
            <w:pPr>
              <w:rPr>
                <w:color w:val="000000"/>
                <w:sz w:val="20"/>
                <w:szCs w:val="20"/>
              </w:rPr>
            </w:pPr>
            <w:r w:rsidRPr="007122A9">
              <w:rPr>
                <w:color w:val="000000"/>
                <w:sz w:val="20"/>
                <w:szCs w:val="20"/>
              </w:rPr>
              <w:t>CD LM  (Pesaran 2004 CD)</w:t>
            </w:r>
          </w:p>
        </w:tc>
        <w:tc>
          <w:tcPr>
            <w:tcW w:w="1178" w:type="dxa"/>
            <w:tcBorders>
              <w:top w:val="nil"/>
              <w:left w:val="nil"/>
              <w:bottom w:val="single" w:sz="4" w:space="0" w:color="auto"/>
              <w:right w:val="single" w:sz="4" w:space="0" w:color="auto"/>
            </w:tcBorders>
            <w:shd w:val="clear" w:color="auto" w:fill="auto"/>
            <w:vAlign w:val="center"/>
            <w:hideMark/>
          </w:tcPr>
          <w:p w:rsidR="007122A9" w:rsidRPr="007122A9" w:rsidRDefault="007122A9" w:rsidP="007122A9">
            <w:pPr>
              <w:jc w:val="center"/>
              <w:rPr>
                <w:color w:val="000000"/>
                <w:sz w:val="20"/>
                <w:szCs w:val="20"/>
              </w:rPr>
            </w:pPr>
            <w:r w:rsidRPr="007122A9">
              <w:rPr>
                <w:color w:val="000000"/>
                <w:sz w:val="20"/>
                <w:szCs w:val="20"/>
              </w:rPr>
              <w:t>-2.457</w:t>
            </w:r>
          </w:p>
          <w:p w:rsidR="007122A9" w:rsidRPr="007122A9" w:rsidRDefault="007122A9" w:rsidP="007122A9">
            <w:pPr>
              <w:jc w:val="center"/>
              <w:rPr>
                <w:color w:val="000000"/>
                <w:sz w:val="20"/>
                <w:szCs w:val="20"/>
              </w:rPr>
            </w:pPr>
            <w:r w:rsidRPr="007122A9">
              <w:rPr>
                <w:color w:val="000000"/>
                <w:sz w:val="20"/>
                <w:szCs w:val="20"/>
              </w:rPr>
              <w:t>[0.007]</w:t>
            </w:r>
          </w:p>
        </w:tc>
        <w:tc>
          <w:tcPr>
            <w:tcW w:w="1351" w:type="dxa"/>
            <w:tcBorders>
              <w:top w:val="nil"/>
              <w:left w:val="nil"/>
              <w:bottom w:val="single" w:sz="4" w:space="0" w:color="auto"/>
              <w:right w:val="single" w:sz="4" w:space="0" w:color="auto"/>
            </w:tcBorders>
            <w:shd w:val="clear" w:color="auto" w:fill="auto"/>
            <w:vAlign w:val="center"/>
          </w:tcPr>
          <w:p w:rsidR="007122A9" w:rsidRPr="007122A9" w:rsidRDefault="007122A9" w:rsidP="007122A9">
            <w:pPr>
              <w:jc w:val="center"/>
              <w:rPr>
                <w:color w:val="000000"/>
                <w:sz w:val="20"/>
                <w:szCs w:val="20"/>
              </w:rPr>
            </w:pPr>
            <w:r w:rsidRPr="007122A9">
              <w:rPr>
                <w:color w:val="000000"/>
                <w:sz w:val="20"/>
                <w:szCs w:val="20"/>
              </w:rPr>
              <w:t>-2.881</w:t>
            </w:r>
          </w:p>
          <w:p w:rsidR="007122A9" w:rsidRPr="007122A9" w:rsidRDefault="007122A9" w:rsidP="007122A9">
            <w:pPr>
              <w:jc w:val="center"/>
              <w:rPr>
                <w:color w:val="000000"/>
                <w:sz w:val="20"/>
                <w:szCs w:val="20"/>
              </w:rPr>
            </w:pPr>
            <w:r w:rsidRPr="007122A9">
              <w:rPr>
                <w:color w:val="000000"/>
                <w:sz w:val="20"/>
                <w:szCs w:val="20"/>
              </w:rPr>
              <w:t>0.002</w:t>
            </w:r>
          </w:p>
        </w:tc>
        <w:tc>
          <w:tcPr>
            <w:tcW w:w="986" w:type="dxa"/>
            <w:tcBorders>
              <w:top w:val="nil"/>
              <w:left w:val="nil"/>
              <w:bottom w:val="single" w:sz="4" w:space="0" w:color="auto"/>
              <w:right w:val="single" w:sz="4" w:space="0" w:color="auto"/>
            </w:tcBorders>
          </w:tcPr>
          <w:p w:rsidR="007122A9" w:rsidRDefault="007122A9" w:rsidP="007122A9">
            <w:pPr>
              <w:jc w:val="center"/>
              <w:rPr>
                <w:color w:val="000000"/>
                <w:sz w:val="20"/>
                <w:szCs w:val="20"/>
              </w:rPr>
            </w:pPr>
            <w:r>
              <w:rPr>
                <w:color w:val="000000"/>
                <w:sz w:val="20"/>
                <w:szCs w:val="20"/>
              </w:rPr>
              <w:t>-2.586</w:t>
            </w:r>
          </w:p>
          <w:p w:rsidR="007122A9" w:rsidRPr="007122A9" w:rsidRDefault="007122A9" w:rsidP="007122A9">
            <w:pPr>
              <w:jc w:val="center"/>
              <w:rPr>
                <w:color w:val="000000"/>
                <w:sz w:val="20"/>
                <w:szCs w:val="20"/>
              </w:rPr>
            </w:pPr>
            <w:r>
              <w:rPr>
                <w:color w:val="000000"/>
                <w:sz w:val="20"/>
                <w:szCs w:val="20"/>
              </w:rPr>
              <w:t>0.005</w:t>
            </w:r>
          </w:p>
        </w:tc>
        <w:tc>
          <w:tcPr>
            <w:tcW w:w="1104" w:type="dxa"/>
            <w:tcBorders>
              <w:top w:val="nil"/>
              <w:left w:val="single" w:sz="4" w:space="0" w:color="auto"/>
              <w:bottom w:val="single" w:sz="4" w:space="0" w:color="auto"/>
              <w:right w:val="single" w:sz="4" w:space="0" w:color="auto"/>
            </w:tcBorders>
          </w:tcPr>
          <w:p w:rsidR="007122A9" w:rsidRDefault="007122A9" w:rsidP="007122A9">
            <w:pPr>
              <w:jc w:val="center"/>
              <w:rPr>
                <w:color w:val="000000"/>
                <w:sz w:val="20"/>
                <w:szCs w:val="20"/>
              </w:rPr>
            </w:pPr>
            <w:r>
              <w:rPr>
                <w:color w:val="000000"/>
                <w:sz w:val="20"/>
                <w:szCs w:val="20"/>
              </w:rPr>
              <w:t>-2.986</w:t>
            </w:r>
          </w:p>
          <w:p w:rsidR="007122A9" w:rsidRPr="007122A9" w:rsidRDefault="007122A9" w:rsidP="007122A9">
            <w:pPr>
              <w:jc w:val="center"/>
              <w:rPr>
                <w:color w:val="000000"/>
                <w:sz w:val="20"/>
                <w:szCs w:val="20"/>
              </w:rPr>
            </w:pPr>
            <w:r>
              <w:rPr>
                <w:color w:val="000000"/>
                <w:sz w:val="20"/>
                <w:szCs w:val="20"/>
              </w:rPr>
              <w:t>0.001</w:t>
            </w:r>
          </w:p>
        </w:tc>
        <w:tc>
          <w:tcPr>
            <w:tcW w:w="1114" w:type="dxa"/>
            <w:tcBorders>
              <w:top w:val="nil"/>
              <w:left w:val="nil"/>
              <w:bottom w:val="single" w:sz="4" w:space="0" w:color="auto"/>
              <w:right w:val="single" w:sz="4" w:space="0" w:color="auto"/>
            </w:tcBorders>
          </w:tcPr>
          <w:p w:rsidR="007122A9" w:rsidRDefault="007122A9" w:rsidP="007122A9">
            <w:pPr>
              <w:jc w:val="center"/>
              <w:rPr>
                <w:color w:val="000000"/>
                <w:sz w:val="20"/>
                <w:szCs w:val="20"/>
              </w:rPr>
            </w:pPr>
            <w:r>
              <w:rPr>
                <w:color w:val="000000"/>
                <w:sz w:val="20"/>
                <w:szCs w:val="20"/>
              </w:rPr>
              <w:t>-2.944</w:t>
            </w:r>
          </w:p>
          <w:p w:rsidR="007122A9" w:rsidRPr="007122A9" w:rsidRDefault="007122A9" w:rsidP="007122A9">
            <w:pPr>
              <w:jc w:val="center"/>
              <w:rPr>
                <w:color w:val="000000"/>
                <w:sz w:val="20"/>
                <w:szCs w:val="20"/>
              </w:rPr>
            </w:pPr>
            <w:r>
              <w:rPr>
                <w:color w:val="000000"/>
                <w:sz w:val="20"/>
                <w:szCs w:val="20"/>
              </w:rPr>
              <w:t>0.002</w:t>
            </w:r>
          </w:p>
        </w:tc>
      </w:tr>
      <w:tr w:rsidR="007122A9" w:rsidTr="007122A9">
        <w:trPr>
          <w:trHeight w:val="315"/>
        </w:trPr>
        <w:tc>
          <w:tcPr>
            <w:tcW w:w="2856" w:type="dxa"/>
            <w:tcBorders>
              <w:top w:val="nil"/>
              <w:left w:val="single" w:sz="4" w:space="0" w:color="auto"/>
              <w:bottom w:val="single" w:sz="4" w:space="0" w:color="auto"/>
              <w:right w:val="single" w:sz="4" w:space="0" w:color="auto"/>
            </w:tcBorders>
            <w:shd w:val="clear" w:color="auto" w:fill="auto"/>
            <w:vAlign w:val="center"/>
            <w:hideMark/>
          </w:tcPr>
          <w:p w:rsidR="007122A9" w:rsidRPr="007122A9" w:rsidRDefault="007122A9">
            <w:pPr>
              <w:rPr>
                <w:color w:val="000000"/>
                <w:sz w:val="20"/>
                <w:szCs w:val="20"/>
              </w:rPr>
            </w:pPr>
            <w:r w:rsidRPr="007122A9">
              <w:rPr>
                <w:color w:val="000000"/>
                <w:sz w:val="20"/>
                <w:szCs w:val="20"/>
              </w:rPr>
              <w:t>Bias-adjusted CD test (Pesaran vd. 2008)</w:t>
            </w:r>
          </w:p>
        </w:tc>
        <w:tc>
          <w:tcPr>
            <w:tcW w:w="1178" w:type="dxa"/>
            <w:tcBorders>
              <w:top w:val="nil"/>
              <w:left w:val="nil"/>
              <w:bottom w:val="single" w:sz="4" w:space="0" w:color="auto"/>
              <w:right w:val="single" w:sz="4" w:space="0" w:color="auto"/>
            </w:tcBorders>
            <w:shd w:val="clear" w:color="auto" w:fill="auto"/>
            <w:vAlign w:val="center"/>
            <w:hideMark/>
          </w:tcPr>
          <w:p w:rsidR="007122A9" w:rsidRPr="007122A9" w:rsidRDefault="007122A9" w:rsidP="007122A9">
            <w:pPr>
              <w:jc w:val="center"/>
              <w:rPr>
                <w:color w:val="000000"/>
                <w:sz w:val="20"/>
                <w:szCs w:val="20"/>
              </w:rPr>
            </w:pPr>
            <w:r w:rsidRPr="007122A9">
              <w:rPr>
                <w:color w:val="000000"/>
                <w:sz w:val="20"/>
                <w:szCs w:val="20"/>
              </w:rPr>
              <w:t>41.725</w:t>
            </w:r>
          </w:p>
          <w:p w:rsidR="007122A9" w:rsidRPr="007122A9" w:rsidRDefault="007122A9" w:rsidP="007122A9">
            <w:pPr>
              <w:jc w:val="center"/>
              <w:rPr>
                <w:color w:val="000000"/>
                <w:sz w:val="20"/>
                <w:szCs w:val="20"/>
              </w:rPr>
            </w:pPr>
            <w:r w:rsidRPr="007122A9">
              <w:rPr>
                <w:color w:val="000000"/>
                <w:sz w:val="20"/>
                <w:szCs w:val="20"/>
              </w:rPr>
              <w:t>[0.000]</w:t>
            </w:r>
          </w:p>
        </w:tc>
        <w:tc>
          <w:tcPr>
            <w:tcW w:w="1351" w:type="dxa"/>
            <w:tcBorders>
              <w:top w:val="nil"/>
              <w:left w:val="nil"/>
              <w:bottom w:val="single" w:sz="4" w:space="0" w:color="auto"/>
              <w:right w:val="single" w:sz="4" w:space="0" w:color="auto"/>
            </w:tcBorders>
            <w:shd w:val="clear" w:color="auto" w:fill="auto"/>
            <w:vAlign w:val="center"/>
          </w:tcPr>
          <w:p w:rsidR="007122A9" w:rsidRPr="007122A9" w:rsidRDefault="007122A9" w:rsidP="007122A9">
            <w:pPr>
              <w:jc w:val="center"/>
              <w:rPr>
                <w:color w:val="000000"/>
                <w:sz w:val="20"/>
                <w:szCs w:val="20"/>
              </w:rPr>
            </w:pPr>
            <w:r w:rsidRPr="007122A9">
              <w:rPr>
                <w:color w:val="000000"/>
                <w:sz w:val="20"/>
                <w:szCs w:val="20"/>
              </w:rPr>
              <w:t>64.282</w:t>
            </w:r>
          </w:p>
          <w:p w:rsidR="007122A9" w:rsidRPr="007122A9" w:rsidRDefault="007122A9" w:rsidP="007122A9">
            <w:pPr>
              <w:jc w:val="center"/>
              <w:rPr>
                <w:color w:val="000000"/>
                <w:sz w:val="20"/>
                <w:szCs w:val="20"/>
              </w:rPr>
            </w:pPr>
            <w:r w:rsidRPr="007122A9">
              <w:rPr>
                <w:color w:val="000000"/>
                <w:sz w:val="20"/>
                <w:szCs w:val="20"/>
              </w:rPr>
              <w:t>0.000</w:t>
            </w:r>
          </w:p>
        </w:tc>
        <w:tc>
          <w:tcPr>
            <w:tcW w:w="986" w:type="dxa"/>
            <w:tcBorders>
              <w:top w:val="nil"/>
              <w:left w:val="nil"/>
              <w:bottom w:val="single" w:sz="4" w:space="0" w:color="auto"/>
              <w:right w:val="single" w:sz="4" w:space="0" w:color="auto"/>
            </w:tcBorders>
          </w:tcPr>
          <w:p w:rsidR="007122A9" w:rsidRDefault="007122A9" w:rsidP="007122A9">
            <w:pPr>
              <w:jc w:val="center"/>
              <w:rPr>
                <w:color w:val="000000"/>
                <w:sz w:val="20"/>
                <w:szCs w:val="20"/>
              </w:rPr>
            </w:pPr>
            <w:r>
              <w:rPr>
                <w:color w:val="000000"/>
                <w:sz w:val="20"/>
                <w:szCs w:val="20"/>
              </w:rPr>
              <w:t>43.615</w:t>
            </w:r>
          </w:p>
          <w:p w:rsidR="007122A9" w:rsidRPr="007122A9" w:rsidRDefault="007122A9" w:rsidP="007122A9">
            <w:pPr>
              <w:jc w:val="center"/>
              <w:rPr>
                <w:color w:val="000000"/>
                <w:sz w:val="20"/>
                <w:szCs w:val="20"/>
              </w:rPr>
            </w:pPr>
            <w:r>
              <w:rPr>
                <w:color w:val="000000"/>
                <w:sz w:val="20"/>
                <w:szCs w:val="20"/>
              </w:rPr>
              <w:t>0.000</w:t>
            </w:r>
          </w:p>
        </w:tc>
        <w:tc>
          <w:tcPr>
            <w:tcW w:w="1104" w:type="dxa"/>
            <w:tcBorders>
              <w:top w:val="nil"/>
              <w:left w:val="single" w:sz="4" w:space="0" w:color="auto"/>
              <w:bottom w:val="single" w:sz="4" w:space="0" w:color="auto"/>
              <w:right w:val="single" w:sz="4" w:space="0" w:color="auto"/>
            </w:tcBorders>
          </w:tcPr>
          <w:p w:rsidR="007122A9" w:rsidRDefault="007122A9" w:rsidP="007122A9">
            <w:pPr>
              <w:jc w:val="center"/>
              <w:rPr>
                <w:color w:val="000000"/>
                <w:sz w:val="20"/>
                <w:szCs w:val="20"/>
              </w:rPr>
            </w:pPr>
            <w:r>
              <w:rPr>
                <w:color w:val="000000"/>
                <w:sz w:val="20"/>
                <w:szCs w:val="20"/>
              </w:rPr>
              <w:t>33.968</w:t>
            </w:r>
          </w:p>
          <w:p w:rsidR="007122A9" w:rsidRPr="007122A9" w:rsidRDefault="007122A9" w:rsidP="007122A9">
            <w:pPr>
              <w:jc w:val="center"/>
              <w:rPr>
                <w:color w:val="000000"/>
                <w:sz w:val="20"/>
                <w:szCs w:val="20"/>
              </w:rPr>
            </w:pPr>
            <w:r>
              <w:rPr>
                <w:color w:val="000000"/>
                <w:sz w:val="20"/>
                <w:szCs w:val="20"/>
              </w:rPr>
              <w:t>0.000</w:t>
            </w:r>
          </w:p>
        </w:tc>
        <w:tc>
          <w:tcPr>
            <w:tcW w:w="1114" w:type="dxa"/>
            <w:tcBorders>
              <w:top w:val="nil"/>
              <w:left w:val="nil"/>
              <w:bottom w:val="single" w:sz="4" w:space="0" w:color="auto"/>
              <w:right w:val="single" w:sz="4" w:space="0" w:color="auto"/>
            </w:tcBorders>
          </w:tcPr>
          <w:p w:rsidR="007122A9" w:rsidRDefault="007122A9" w:rsidP="007122A9">
            <w:pPr>
              <w:jc w:val="center"/>
              <w:rPr>
                <w:color w:val="000000"/>
                <w:sz w:val="20"/>
                <w:szCs w:val="20"/>
              </w:rPr>
            </w:pPr>
            <w:r>
              <w:rPr>
                <w:color w:val="000000"/>
                <w:sz w:val="20"/>
                <w:szCs w:val="20"/>
              </w:rPr>
              <w:t>33.874</w:t>
            </w:r>
          </w:p>
          <w:p w:rsidR="007122A9" w:rsidRPr="007122A9" w:rsidRDefault="007122A9" w:rsidP="007122A9">
            <w:pPr>
              <w:jc w:val="center"/>
              <w:rPr>
                <w:color w:val="000000"/>
                <w:sz w:val="20"/>
                <w:szCs w:val="20"/>
              </w:rPr>
            </w:pPr>
            <w:r>
              <w:rPr>
                <w:color w:val="000000"/>
                <w:sz w:val="20"/>
                <w:szCs w:val="20"/>
              </w:rPr>
              <w:t>0.000</w:t>
            </w:r>
          </w:p>
        </w:tc>
      </w:tr>
    </w:tbl>
    <w:p w:rsidR="009B0A03" w:rsidRPr="00B255A8" w:rsidRDefault="00B255A8" w:rsidP="00061D8C">
      <w:pPr>
        <w:rPr>
          <w:sz w:val="20"/>
          <w:szCs w:val="20"/>
        </w:rPr>
      </w:pPr>
      <w:r w:rsidRPr="00B255A8">
        <w:rPr>
          <w:b/>
          <w:sz w:val="20"/>
          <w:szCs w:val="20"/>
        </w:rPr>
        <w:t>Not:</w:t>
      </w:r>
      <w:r w:rsidRPr="00B255A8">
        <w:rPr>
          <w:sz w:val="20"/>
          <w:szCs w:val="20"/>
        </w:rPr>
        <w:t xml:space="preserve"> Çizelgede t istatistik değerleri üstte, olasılık değerleri [] içinde verilmiştir.</w:t>
      </w:r>
    </w:p>
    <w:p w:rsidR="00753C49" w:rsidRDefault="00F00165" w:rsidP="007122A9">
      <w:pPr>
        <w:spacing w:before="240" w:after="240" w:line="360" w:lineRule="auto"/>
        <w:ind w:firstLine="706"/>
        <w:jc w:val="both"/>
      </w:pPr>
      <w:r>
        <w:t xml:space="preserve">Çizelge </w:t>
      </w:r>
      <w:proofErr w:type="gramStart"/>
      <w:r>
        <w:t>4.1</w:t>
      </w:r>
      <w:r w:rsidR="00753C49">
        <w:t>’den</w:t>
      </w:r>
      <w:proofErr w:type="gramEnd"/>
      <w:r w:rsidR="00753C49">
        <w:t xml:space="preserve"> izlenebileceği gibi; </w:t>
      </w:r>
      <w:r w:rsidR="007122A9">
        <w:t xml:space="preserve">CD LM1 ve CDLM2 </w:t>
      </w:r>
      <w:r w:rsidR="00F30238" w:rsidRPr="00F30238">
        <w:t>için</w:t>
      </w:r>
      <w:r w:rsidR="00753C49">
        <w:t xml:space="preserve"> olasılık değerleri 0.05’ten küçük olduğu için, </w:t>
      </w:r>
      <w:r w:rsidR="00753C49" w:rsidRPr="00CB4543">
        <w:t>H</w:t>
      </w:r>
      <w:r w:rsidR="00753C49" w:rsidRPr="0048645F">
        <w:rPr>
          <w:vertAlign w:val="subscript"/>
        </w:rPr>
        <w:t>0</w:t>
      </w:r>
      <w:r w:rsidR="00753C49" w:rsidRPr="00CB4543">
        <w:t xml:space="preserve"> hipotezleri</w:t>
      </w:r>
      <w:r w:rsidR="00753C49">
        <w:t>, güçlü biçimde</w:t>
      </w:r>
      <w:r w:rsidR="00753C49" w:rsidRPr="00CB4543">
        <w:t xml:space="preserve"> </w:t>
      </w:r>
      <w:r w:rsidR="00753C49">
        <w:t xml:space="preserve">reddedilmiş ve serilerde yatay kesit bağımlılığının olduğuna karar verilmiştir. Bu durumda paneli oluşturan ülkeler arasında, yatay kesit bağımlılığı vardır. Ülkelerden birine gelen </w:t>
      </w:r>
      <w:r w:rsidR="00DC41B6">
        <w:t>şoklar</w:t>
      </w:r>
      <w:r w:rsidR="00753C49">
        <w:t xml:space="preserve">, diğer ülkeleri de etkilemektedir. </w:t>
      </w:r>
      <w:r w:rsidR="00753C49" w:rsidRPr="00CB4543">
        <w:t>Bu nedenle, bu ülkeler</w:t>
      </w:r>
      <w:r w:rsidR="00753C49">
        <w:t>deki karar vericiler ekonomi politikalarını belirlerken</w:t>
      </w:r>
      <w:r w:rsidR="00753C49" w:rsidRPr="00CB4543">
        <w:t xml:space="preserve">, diğer ülkelerin uyguladıkları politikaları ve bu ülkelerin </w:t>
      </w:r>
      <w:r w:rsidR="0064574C" w:rsidRPr="0064574C">
        <w:rPr>
          <w:i/>
        </w:rPr>
        <w:t>CO,</w:t>
      </w:r>
      <w:r w:rsidR="0064574C">
        <w:t xml:space="preserve"> </w:t>
      </w:r>
      <w:r w:rsidR="00753C49" w:rsidRPr="00955AE2">
        <w:rPr>
          <w:i/>
        </w:rPr>
        <w:t>GDP, EC</w:t>
      </w:r>
      <w:r w:rsidR="00DC41B6">
        <w:rPr>
          <w:i/>
        </w:rPr>
        <w:t>,</w:t>
      </w:r>
      <w:r w:rsidR="00753C49" w:rsidRPr="00955AE2">
        <w:rPr>
          <w:i/>
        </w:rPr>
        <w:t xml:space="preserve"> </w:t>
      </w:r>
      <w:r w:rsidR="00DC41B6">
        <w:rPr>
          <w:i/>
        </w:rPr>
        <w:t xml:space="preserve">OPEX </w:t>
      </w:r>
      <w:r w:rsidR="00753C49">
        <w:t xml:space="preserve">veya </w:t>
      </w:r>
      <w:r w:rsidR="0064574C">
        <w:rPr>
          <w:i/>
        </w:rPr>
        <w:t>OP</w:t>
      </w:r>
      <w:r w:rsidR="00DC41B6">
        <w:rPr>
          <w:i/>
        </w:rPr>
        <w:t>IM</w:t>
      </w:r>
      <w:r w:rsidR="00753C49">
        <w:t xml:space="preserve"> değişkenlerini </w:t>
      </w:r>
      <w:r w:rsidR="00753C49" w:rsidRPr="00CB4543">
        <w:t>etkileyen şokları da</w:t>
      </w:r>
      <w:r w:rsidR="00753C49">
        <w:t xml:space="preserve"> göz önünde bulundurmalıdırlar. Seriler arasında eşbütünleşme ilişkisinin varlığı ve eşbütünleşme denklemi tahmin edilirken yatay kesit bağımlılığını dikkate alan test yöntemlerinin kullanılması </w:t>
      </w:r>
      <w:r w:rsidR="00753C49">
        <w:lastRenderedPageBreak/>
        <w:t>gerekmektedir. Bu yüzden çalışmanın bundan sonraki aşamalarında, yatay kesit bağımlılığını dikkate alan panel birim kök testleri v</w:t>
      </w:r>
      <w:r w:rsidR="007122A9">
        <w:t>e panel eş</w:t>
      </w:r>
      <w:r w:rsidR="00753C49">
        <w:t>bütünleşme analizi yöntemleri kullanılmıştır.</w:t>
      </w:r>
    </w:p>
    <w:p w:rsidR="00890264" w:rsidRPr="00757CE9" w:rsidRDefault="00890264" w:rsidP="007A489D">
      <w:pPr>
        <w:spacing w:before="240" w:after="240" w:line="360" w:lineRule="auto"/>
        <w:ind w:firstLine="706"/>
        <w:jc w:val="both"/>
      </w:pPr>
      <w:r w:rsidRPr="00757CE9">
        <w:t xml:space="preserve">Paneli oluşturan serilerin yatay kesit bağımlılığı altında durağanlığının tespit edilmesi için T&gt;N için kullanılan CADF ikinci </w:t>
      </w:r>
      <w:r w:rsidR="00DF15E7">
        <w:t>kuşak birimkök testinden</w:t>
      </w:r>
      <w:r w:rsidRPr="00757CE9">
        <w:t xml:space="preserve"> yararlanılmıştır.</w:t>
      </w:r>
    </w:p>
    <w:p w:rsidR="00F801E7" w:rsidRPr="00F801E7" w:rsidRDefault="00F801E7" w:rsidP="0031716B">
      <w:pPr>
        <w:pStyle w:val="Balk4"/>
      </w:pPr>
      <w:r w:rsidRPr="00F801E7">
        <w:t xml:space="preserve"> </w:t>
      </w:r>
      <w:bookmarkStart w:id="184" w:name="_Toc384824036"/>
      <w:r w:rsidR="0031716B">
        <w:t xml:space="preserve">4.4.1.2. </w:t>
      </w:r>
      <w:r w:rsidR="00743234">
        <w:t xml:space="preserve">CADF </w:t>
      </w:r>
      <w:r w:rsidR="004602A6">
        <w:t xml:space="preserve">ve CIPS </w:t>
      </w:r>
      <w:r w:rsidR="00FE35A1">
        <w:t>Birim Kök Test</w:t>
      </w:r>
      <w:r w:rsidR="004602A6">
        <w:t>leri</w:t>
      </w:r>
      <w:bookmarkEnd w:id="184"/>
    </w:p>
    <w:p w:rsidR="00890264" w:rsidRPr="00BB3ADF" w:rsidRDefault="00890264" w:rsidP="007A489D">
      <w:pPr>
        <w:spacing w:before="240" w:after="240" w:line="360" w:lineRule="auto"/>
        <w:ind w:firstLine="708"/>
        <w:jc w:val="both"/>
      </w:pPr>
      <w:r w:rsidRPr="00BB3ADF">
        <w:t>Çalışmanın bu bölümünde paneli oluşturan ülkeler arasında yatay kesit bağımlılığı olduğu görülmüş ve bu durumu dikkate alan ikinci kuşak birim kök testlerinden Pesaran (2006</w:t>
      </w:r>
      <w:r w:rsidR="001164D4">
        <w:t>a</w:t>
      </w:r>
      <w:r w:rsidRPr="00BB3ADF">
        <w:t>) tarafından geliştirilen ve Pesaran (2007) çalışmasında yenilenen, kesit açısından genişletilmiş ADF (Cross Sectionally Augmented Dickey Fuller-CADF)</w:t>
      </w:r>
      <w:proofErr w:type="gramStart"/>
      <w:r w:rsidRPr="00BB3ADF">
        <w:t>)</w:t>
      </w:r>
      <w:proofErr w:type="gramEnd"/>
      <w:r w:rsidRPr="00BB3ADF">
        <w:t xml:space="preserve"> panel birim kök testi kullanılmıştır. Im, Pesaran ve Shin </w:t>
      </w:r>
      <w:r w:rsidR="0019672F">
        <w:t xml:space="preserve">(2003) </w:t>
      </w:r>
      <w:r w:rsidRPr="00BB3ADF">
        <w:t>yaklaşımından hareket ederek hata teriminin paneli oluşturan tüm seriler için ortak ve her seriye özgü olmak üzere iki varsayım oluşturulmuştur. Bu varsayım altında temel denklemdeki</w:t>
      </w:r>
      <w:r>
        <w:t xml:space="preserve"> (Güloğlu ve İspir, 2009</w:t>
      </w:r>
      <w:r w:rsidRPr="00BB3ADF">
        <w:t>:</w:t>
      </w:r>
      <w:r>
        <w:t xml:space="preserve"> 10):</w:t>
      </w:r>
    </w:p>
    <w:p w:rsidR="00890264" w:rsidRPr="00BB3ADF" w:rsidRDefault="00890264" w:rsidP="00C34398">
      <w:pPr>
        <w:spacing w:before="240" w:after="120" w:line="360" w:lineRule="auto"/>
        <w:jc w:val="both"/>
      </w:pPr>
      <w:r w:rsidRPr="00BB3ADF">
        <w:rPr>
          <w:i/>
          <w:lang w:val="en-GB"/>
        </w:rPr>
        <w:sym w:font="Symbol" w:char="F044"/>
      </w:r>
      <w:r w:rsidRPr="00BB3ADF">
        <w:rPr>
          <w:i/>
        </w:rPr>
        <w:t>y</w:t>
      </w:r>
      <w:r w:rsidRPr="00BB3ADF">
        <w:rPr>
          <w:i/>
          <w:vertAlign w:val="subscript"/>
        </w:rPr>
        <w:t>i,t</w:t>
      </w:r>
      <w:r w:rsidRPr="00BB3ADF">
        <w:rPr>
          <w:i/>
        </w:rPr>
        <w:t xml:space="preserve">= </w:t>
      </w:r>
      <w:r w:rsidRPr="00BB3ADF">
        <w:rPr>
          <w:i/>
          <w:lang w:val="en-GB"/>
        </w:rPr>
        <w:sym w:font="Symbol" w:char="F061"/>
      </w:r>
      <w:r w:rsidRPr="00BB3ADF">
        <w:rPr>
          <w:i/>
          <w:vertAlign w:val="subscript"/>
        </w:rPr>
        <w:t>i</w:t>
      </w:r>
      <w:r w:rsidRPr="00BB3ADF">
        <w:rPr>
          <w:i/>
        </w:rPr>
        <w:t xml:space="preserve"> + </w:t>
      </w:r>
      <w:r w:rsidRPr="00BB3ADF">
        <w:rPr>
          <w:i/>
          <w:lang w:val="en-GB"/>
        </w:rPr>
        <w:t>b</w:t>
      </w:r>
      <w:r w:rsidRPr="00BB3ADF">
        <w:rPr>
          <w:i/>
          <w:vertAlign w:val="subscript"/>
        </w:rPr>
        <w:t xml:space="preserve">i </w:t>
      </w:r>
      <w:r w:rsidRPr="00BB3ADF">
        <w:rPr>
          <w:i/>
        </w:rPr>
        <w:t>y</w:t>
      </w:r>
      <w:r w:rsidRPr="00BB3ADF">
        <w:rPr>
          <w:i/>
          <w:vertAlign w:val="subscript"/>
        </w:rPr>
        <w:t xml:space="preserve">i,t-1 </w:t>
      </w:r>
      <w:r w:rsidRPr="00BB3ADF">
        <w:rPr>
          <w:i/>
        </w:rPr>
        <w:t>+ d</w:t>
      </w:r>
      <w:r w:rsidRPr="00BB3ADF">
        <w:rPr>
          <w:i/>
          <w:vertAlign w:val="subscript"/>
        </w:rPr>
        <w:t>i</w:t>
      </w:r>
      <w:r w:rsidRPr="00BB3ADF">
        <w:rPr>
          <w:i/>
        </w:rPr>
        <w:t xml:space="preserve"> t + </w:t>
      </w:r>
      <m:oMath>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P</m:t>
                </m:r>
              </m:e>
              <m:sub>
                <m:r>
                  <w:rPr>
                    <w:rFonts w:ascii="Cambria Math" w:hAnsi="Cambria Math"/>
                  </w:rPr>
                  <m:t>j</m:t>
                </m:r>
              </m:sub>
            </m:sSub>
          </m:sup>
          <m:e>
            <m:sSub>
              <m:sSubPr>
                <m:ctrlPr>
                  <w:rPr>
                    <w:rFonts w:ascii="Cambria Math" w:hAnsi="Cambria Math"/>
                    <w:i/>
                  </w:rPr>
                </m:ctrlPr>
              </m:sSubPr>
              <m:e>
                <m:r>
                  <w:rPr>
                    <w:rFonts w:ascii="Cambria Math" w:hAnsi="Cambria Math"/>
                  </w:rPr>
                  <m:t>Φ</m:t>
                </m:r>
              </m:e>
              <m:sub>
                <m:r>
                  <w:rPr>
                    <w:rFonts w:ascii="Cambria Math" w:hAnsi="Cambria Math"/>
                  </w:rPr>
                  <m:t>ij</m:t>
                </m:r>
              </m:sub>
            </m:sSub>
            <m:sSub>
              <m:sSubPr>
                <m:ctrlPr>
                  <w:rPr>
                    <w:rFonts w:ascii="Cambria Math" w:hAnsi="Cambria Math"/>
                    <w:i/>
                  </w:rPr>
                </m:ctrlPr>
              </m:sSubPr>
              <m:e>
                <m:r>
                  <w:rPr>
                    <w:rFonts w:ascii="Cambria Math" w:hAnsi="Cambria Math"/>
                  </w:rPr>
                  <m:t>∆y</m:t>
                </m:r>
              </m:e>
              <m:sub>
                <m:r>
                  <w:rPr>
                    <w:rFonts w:ascii="Cambria Math" w:hAnsi="Cambria Math"/>
                  </w:rPr>
                  <m:t>i,t-j</m:t>
                </m:r>
              </m:sub>
            </m:sSub>
          </m:e>
        </m:nary>
      </m:oMath>
      <w:r w:rsidRPr="00BB3ADF">
        <w:rPr>
          <w:i/>
        </w:rPr>
        <w:t>+</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i,t</m:t>
            </m:r>
          </m:sub>
        </m:sSub>
      </m:oMath>
      <w:r w:rsidRPr="00BB3ADF">
        <w:rPr>
          <w:rFonts w:eastAsiaTheme="minorEastAsia"/>
          <w:i/>
        </w:rPr>
        <w:t xml:space="preserve">  ;  </w:t>
      </w:r>
      <w:r w:rsidRPr="00BB3ADF">
        <w:rPr>
          <w:rFonts w:eastAsiaTheme="minorEastAsia"/>
          <w:i/>
          <w:lang w:val="en-GB"/>
        </w:rPr>
        <w:t xml:space="preserve"> </w:t>
      </w:r>
      <w:r w:rsidRPr="00BB3ADF">
        <w:rPr>
          <w:i/>
        </w:rPr>
        <w:t xml:space="preserve">t=1 ,2, </w:t>
      </w:r>
      <w:proofErr w:type="gramStart"/>
      <w:r w:rsidRPr="00BB3ADF">
        <w:rPr>
          <w:i/>
        </w:rPr>
        <w:t>…,</w:t>
      </w:r>
      <w:proofErr w:type="gramEnd"/>
      <w:r w:rsidRPr="00BB3ADF">
        <w:rPr>
          <w:i/>
        </w:rPr>
        <w:t>T</w:t>
      </w:r>
      <w:r w:rsidRPr="00BB3ADF">
        <w:t xml:space="preserve"> ; i=1, 2, ....,N   </w:t>
      </w:r>
      <w:r w:rsidR="00C34398">
        <w:t xml:space="preserve">   </w:t>
      </w:r>
      <w:r w:rsidRPr="00BB3ADF">
        <w:t xml:space="preserve"> </w:t>
      </w:r>
      <w:r w:rsidR="00A25079">
        <w:t>(4.22</w:t>
      </w:r>
      <w:r w:rsidR="00C34398">
        <w:t>)</w:t>
      </w:r>
      <w:r w:rsidRPr="00BB3ADF">
        <w:t xml:space="preserve"> </w:t>
      </w:r>
    </w:p>
    <w:p w:rsidR="00890264" w:rsidRPr="00BB3ADF" w:rsidRDefault="00890264" w:rsidP="00890264">
      <w:pPr>
        <w:spacing w:before="240" w:after="120" w:line="360" w:lineRule="auto"/>
        <w:jc w:val="both"/>
      </w:pPr>
      <w:r w:rsidRPr="00BB3ADF">
        <w:t>hata terimi</w:t>
      </w:r>
      <w:r w:rsidRPr="00BB3ADF">
        <w:rPr>
          <w:i/>
        </w:rPr>
        <w:t xml:space="preserve">   </w:t>
      </w:r>
      <m:oMath>
        <m:r>
          <w:rPr>
            <w:rFonts w:ascii="Cambria Math" w:eastAsiaTheme="minorEastAsia" w:hAnsi="Cambria Math"/>
          </w:rPr>
          <m:t>u</m:t>
        </m:r>
      </m:oMath>
      <w:r w:rsidRPr="00BB3ADF">
        <w:rPr>
          <w:i/>
          <w:vertAlign w:val="subscript"/>
        </w:rPr>
        <w:t>i,t</w:t>
      </w:r>
      <w:r w:rsidRPr="00BB3ADF">
        <w:rPr>
          <w:i/>
        </w:rPr>
        <w:t xml:space="preserve"> =</w:t>
      </w:r>
      <w:r w:rsidRPr="00BB3ADF">
        <w:rPr>
          <w:i/>
        </w:rPr>
        <w:sym w:font="Symbol" w:char="F06C"/>
      </w:r>
      <w:r w:rsidRPr="00BB3ADF">
        <w:rPr>
          <w:i/>
          <w:vertAlign w:val="subscript"/>
        </w:rPr>
        <w:t xml:space="preserve">i </w:t>
      </w:r>
      <w:r w:rsidRPr="00BB3ADF">
        <w:rPr>
          <w:i/>
        </w:rPr>
        <w:t>f</w:t>
      </w:r>
      <w:r w:rsidRPr="00BB3ADF">
        <w:rPr>
          <w:i/>
          <w:vertAlign w:val="subscript"/>
        </w:rPr>
        <w:t xml:space="preserve">t </w:t>
      </w:r>
      <w:r w:rsidRPr="00BB3ADF">
        <w:rPr>
          <w:i/>
        </w:rPr>
        <w:t xml:space="preserve">+ </w:t>
      </w:r>
      <w:r w:rsidRPr="00BB3ADF">
        <w:rPr>
          <w:i/>
        </w:rPr>
        <w:sym w:font="Symbol" w:char="F065"/>
      </w:r>
      <w:r w:rsidRPr="00BB3ADF">
        <w:rPr>
          <w:i/>
          <w:vertAlign w:val="subscript"/>
        </w:rPr>
        <w:t>i,t</w:t>
      </w:r>
      <w:r w:rsidRPr="00BB3ADF">
        <w:t xml:space="preserve"> şeklide yazılır. Burada </w:t>
      </w:r>
      <w:r w:rsidRPr="00BB3ADF">
        <w:rPr>
          <w:i/>
        </w:rPr>
        <w:t>f</w:t>
      </w:r>
      <w:r w:rsidRPr="00BB3ADF">
        <w:rPr>
          <w:i/>
          <w:vertAlign w:val="subscript"/>
        </w:rPr>
        <w:t>t</w:t>
      </w:r>
      <w:r w:rsidRPr="00BB3ADF">
        <w:rPr>
          <w:i/>
        </w:rPr>
        <w:t xml:space="preserve"> </w:t>
      </w:r>
      <w:r w:rsidRPr="00BB3ADF">
        <w:t xml:space="preserve">gözlenemeyen ortak öğeyi göstermekte olup daima durağan olduğu varsayılmaktadır. </w:t>
      </w:r>
      <w:r w:rsidRPr="00BB3ADF">
        <w:rPr>
          <w:i/>
        </w:rPr>
        <w:sym w:font="Symbol" w:char="F065"/>
      </w:r>
      <w:r w:rsidRPr="00BB3ADF">
        <w:rPr>
          <w:i/>
          <w:vertAlign w:val="subscript"/>
        </w:rPr>
        <w:t>i,</w:t>
      </w:r>
      <w:proofErr w:type="gramStart"/>
      <w:r w:rsidRPr="00BB3ADF">
        <w:rPr>
          <w:i/>
          <w:vertAlign w:val="subscript"/>
        </w:rPr>
        <w:t xml:space="preserve">t  </w:t>
      </w:r>
      <w:r w:rsidRPr="00BB3ADF">
        <w:t>ise</w:t>
      </w:r>
      <w:proofErr w:type="gramEnd"/>
      <w:r w:rsidRPr="00BB3ADF">
        <w:t xml:space="preserve"> seriye has öğe olup bağımsız ve özdeş bir şekilde dağılımı göstermektedir. Bu modelde yatay kesit bağımlılığı, gözlenemeyen ortak öğenin varlığından kaynaklanmakta ve temel denklem aşağıdaki şekilde ifade edilir.</w:t>
      </w:r>
    </w:p>
    <w:p w:rsidR="00890264" w:rsidRPr="00BB3ADF" w:rsidRDefault="00890264" w:rsidP="00C34398">
      <w:pPr>
        <w:spacing w:before="240" w:after="120" w:line="360" w:lineRule="auto"/>
        <w:jc w:val="both"/>
      </w:pPr>
      <w:r w:rsidRPr="00BB3ADF">
        <w:rPr>
          <w:i/>
          <w:lang w:val="en-GB"/>
        </w:rPr>
        <w:sym w:font="Symbol" w:char="F044"/>
      </w:r>
      <w:r w:rsidRPr="00BB3ADF">
        <w:rPr>
          <w:i/>
        </w:rPr>
        <w:t>y</w:t>
      </w:r>
      <w:r w:rsidRPr="00BB3ADF">
        <w:rPr>
          <w:i/>
          <w:vertAlign w:val="subscript"/>
        </w:rPr>
        <w:t>i,t</w:t>
      </w:r>
      <w:r w:rsidRPr="00BB3ADF">
        <w:rPr>
          <w:i/>
        </w:rPr>
        <w:t xml:space="preserve">= </w:t>
      </w:r>
      <w:r w:rsidRPr="00BB3ADF">
        <w:rPr>
          <w:i/>
          <w:lang w:val="en-GB"/>
        </w:rPr>
        <w:sym w:font="Symbol" w:char="F061"/>
      </w:r>
      <w:r w:rsidRPr="00BB3ADF">
        <w:rPr>
          <w:i/>
          <w:vertAlign w:val="subscript"/>
        </w:rPr>
        <w:t>i</w:t>
      </w:r>
      <w:r w:rsidRPr="00BB3ADF">
        <w:rPr>
          <w:i/>
        </w:rPr>
        <w:t xml:space="preserve"> + </w:t>
      </w:r>
      <w:r w:rsidRPr="00BB3ADF">
        <w:rPr>
          <w:i/>
          <w:lang w:val="en-GB"/>
        </w:rPr>
        <w:t>b</w:t>
      </w:r>
      <w:r w:rsidRPr="00BB3ADF">
        <w:rPr>
          <w:i/>
          <w:vertAlign w:val="subscript"/>
        </w:rPr>
        <w:t xml:space="preserve">i </w:t>
      </w:r>
      <w:r w:rsidRPr="00BB3ADF">
        <w:rPr>
          <w:i/>
        </w:rPr>
        <w:t>y</w:t>
      </w:r>
      <w:r w:rsidRPr="00BB3ADF">
        <w:rPr>
          <w:i/>
          <w:vertAlign w:val="subscript"/>
        </w:rPr>
        <w:t xml:space="preserve">i,t-1 </w:t>
      </w:r>
      <w:r w:rsidRPr="00BB3ADF">
        <w:rPr>
          <w:i/>
        </w:rPr>
        <w:t xml:space="preserve">+ </w:t>
      </w:r>
      <m:oMath>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P</m:t>
                </m:r>
              </m:e>
              <m:sub>
                <m:r>
                  <w:rPr>
                    <w:rFonts w:ascii="Cambria Math" w:hAnsi="Cambria Math"/>
                  </w:rPr>
                  <m:t>j</m:t>
                </m:r>
              </m:sub>
            </m:sSub>
          </m:sup>
          <m:e>
            <m:sSub>
              <m:sSubPr>
                <m:ctrlPr>
                  <w:rPr>
                    <w:rFonts w:ascii="Cambria Math" w:hAnsi="Cambria Math"/>
                    <w:i/>
                  </w:rPr>
                </m:ctrlPr>
              </m:sSubPr>
              <m:e>
                <m:r>
                  <w:rPr>
                    <w:rFonts w:ascii="Cambria Math" w:hAnsi="Cambria Math"/>
                  </w:rPr>
                  <m:t>c</m:t>
                </m:r>
              </m:e>
              <m:sub>
                <m:r>
                  <w:rPr>
                    <w:rFonts w:ascii="Cambria Math" w:hAnsi="Cambria Math"/>
                  </w:rPr>
                  <m:t>ij</m:t>
                </m:r>
              </m:sub>
            </m:sSub>
            <m:sSub>
              <m:sSubPr>
                <m:ctrlPr>
                  <w:rPr>
                    <w:rFonts w:ascii="Cambria Math" w:hAnsi="Cambria Math"/>
                    <w:i/>
                  </w:rPr>
                </m:ctrlPr>
              </m:sSubPr>
              <m:e>
                <m:r>
                  <w:rPr>
                    <w:rFonts w:ascii="Cambria Math" w:hAnsi="Cambria Math"/>
                  </w:rPr>
                  <m:t>∆</m:t>
                </m:r>
              </m:e>
              <m:sub>
                <m:r>
                  <w:rPr>
                    <w:rFonts w:ascii="Cambria Math" w:hAnsi="Cambria Math"/>
                  </w:rPr>
                  <m:t>i,t-j</m:t>
                </m:r>
              </m:sub>
            </m:sSub>
          </m:e>
        </m:nary>
      </m:oMath>
      <w:r w:rsidRPr="00BB3ADF">
        <w:rPr>
          <w:i/>
        </w:rPr>
        <w:t>+d</w:t>
      </w:r>
      <w:r w:rsidRPr="00BB3ADF">
        <w:rPr>
          <w:i/>
          <w:vertAlign w:val="subscript"/>
        </w:rPr>
        <w:t>i</w:t>
      </w:r>
      <w:r w:rsidRPr="00BB3ADF">
        <w:rPr>
          <w:i/>
        </w:rPr>
        <w:t xml:space="preserve"> t +</w:t>
      </w:r>
      <w:r w:rsidRPr="00BB3ADF">
        <w:rPr>
          <w:i/>
          <w:lang w:val="en-GB"/>
        </w:rPr>
        <w:t xml:space="preserve"> h</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y</m:t>
                </m:r>
              </m:e>
            </m:acc>
          </m:e>
          <m:sub>
            <m:r>
              <w:rPr>
                <w:rFonts w:ascii="Cambria Math" w:hAnsi="Cambria Math"/>
                <w:lang w:val="en-GB"/>
              </w:rPr>
              <m:t>t-1</m:t>
            </m:r>
          </m:sub>
        </m:sSub>
      </m:oMath>
      <w:r w:rsidRPr="00BB3ADF">
        <w:rPr>
          <w:rFonts w:eastAsiaTheme="minorEastAsia"/>
          <w:i/>
          <w:lang w:val="en-GB"/>
        </w:rPr>
        <w:t>+</w:t>
      </w:r>
      <m:oMath>
        <m:nary>
          <m:naryPr>
            <m:chr m:val="∑"/>
            <m:limLoc m:val="undOvr"/>
            <m:ctrlPr>
              <w:rPr>
                <w:rFonts w:ascii="Cambria Math" w:hAnsi="Cambria Math"/>
                <w:i/>
              </w:rPr>
            </m:ctrlPr>
          </m:naryPr>
          <m:sub>
            <m:r>
              <w:rPr>
                <w:rFonts w:ascii="Cambria Math" w:hAnsi="Cambria Math"/>
              </w:rPr>
              <m:t>j=0</m:t>
            </m:r>
          </m:sub>
          <m:sup>
            <m:sSub>
              <m:sSubPr>
                <m:ctrlPr>
                  <w:rPr>
                    <w:rFonts w:ascii="Cambria Math" w:hAnsi="Cambria Math"/>
                    <w:i/>
                  </w:rPr>
                </m:ctrlPr>
              </m:sSubPr>
              <m:e>
                <m:r>
                  <w:rPr>
                    <w:rFonts w:ascii="Cambria Math" w:hAnsi="Cambria Math"/>
                  </w:rPr>
                  <m:t>P</m:t>
                </m:r>
              </m:e>
              <m:sub>
                <m:r>
                  <w:rPr>
                    <w:rFonts w:ascii="Cambria Math" w:hAnsi="Cambria Math"/>
                  </w:rPr>
                  <m:t>j</m:t>
                </m:r>
              </m:sub>
            </m:sSub>
          </m:sup>
          <m:e>
            <m:sSub>
              <m:sSubPr>
                <m:ctrlPr>
                  <w:rPr>
                    <w:rFonts w:ascii="Cambria Math" w:hAnsi="Cambria Math"/>
                    <w:i/>
                  </w:rPr>
                </m:ctrlPr>
              </m:sSubPr>
              <m:e>
                <m:r>
                  <w:rPr>
                    <w:rFonts w:ascii="Cambria Math" w:hAnsi="Cambria Math"/>
                  </w:rPr>
                  <m:t>η</m:t>
                </m:r>
              </m:e>
              <m:sub>
                <m:r>
                  <w:rPr>
                    <w:rFonts w:ascii="Cambria Math" w:hAnsi="Cambria Math"/>
                  </w:rPr>
                  <m:t>ü</m:t>
                </m:r>
              </m:sub>
            </m:sSub>
            <m:sSub>
              <m:sSubPr>
                <m:ctrlPr>
                  <w:rPr>
                    <w:rFonts w:ascii="Cambria Math" w:hAnsi="Cambria Math"/>
                    <w:i/>
                  </w:rPr>
                </m:ctrlPr>
              </m:sSubPr>
              <m:e>
                <m:r>
                  <w:rPr>
                    <w:rFonts w:ascii="Cambria Math" w:hAnsi="Cambria Math"/>
                  </w:rPr>
                  <m:t>∆</m:t>
                </m:r>
                <m:acc>
                  <m:accPr>
                    <m:chr m:val="̅"/>
                    <m:ctrlPr>
                      <w:rPr>
                        <w:rFonts w:ascii="Cambria Math" w:hAnsi="Cambria Math"/>
                        <w:i/>
                      </w:rPr>
                    </m:ctrlPr>
                  </m:accPr>
                  <m:e>
                    <m:r>
                      <w:rPr>
                        <w:rFonts w:ascii="Cambria Math" w:hAnsi="Cambria Math"/>
                      </w:rPr>
                      <m:t>y</m:t>
                    </m:r>
                  </m:e>
                </m:acc>
              </m:e>
              <m:sub>
                <m:r>
                  <w:rPr>
                    <w:rFonts w:ascii="Cambria Math" w:hAnsi="Cambria Math"/>
                  </w:rPr>
                  <m:t>i,t-j</m:t>
                </m:r>
              </m:sub>
            </m:sSub>
          </m:e>
        </m:nary>
      </m:oMath>
      <w:r w:rsidRPr="00BB3ADF">
        <w:rPr>
          <w:rFonts w:eastAsiaTheme="minorEastAsia"/>
          <w:i/>
        </w:rPr>
        <w:t>+</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i,t</m:t>
            </m:r>
          </m:sub>
        </m:sSub>
      </m:oMath>
      <w:r w:rsidRPr="00BB3ADF">
        <w:rPr>
          <w:rFonts w:eastAsiaTheme="minorEastAsia"/>
          <w:i/>
        </w:rPr>
        <w:t xml:space="preserve">  ;  </w:t>
      </w:r>
      <w:r w:rsidRPr="00BB3ADF">
        <w:rPr>
          <w:rFonts w:eastAsiaTheme="minorEastAsia"/>
          <w:i/>
          <w:lang w:val="en-GB"/>
        </w:rPr>
        <w:t xml:space="preserve"> </w:t>
      </w:r>
      <w:r w:rsidRPr="00BB3ADF">
        <w:rPr>
          <w:i/>
        </w:rPr>
        <w:t xml:space="preserve">t=1 ,2, </w:t>
      </w:r>
      <w:proofErr w:type="gramStart"/>
      <w:r w:rsidRPr="00BB3ADF">
        <w:rPr>
          <w:i/>
        </w:rPr>
        <w:t>…,</w:t>
      </w:r>
      <w:proofErr w:type="gramEnd"/>
      <w:r w:rsidRPr="00BB3ADF">
        <w:rPr>
          <w:i/>
        </w:rPr>
        <w:t>T</w:t>
      </w:r>
      <w:r w:rsidRPr="00BB3ADF">
        <w:t xml:space="preserve"> ; i=1, 2, ....,N  </w:t>
      </w:r>
      <w:r w:rsidR="00C34398">
        <w:t xml:space="preserve">                                                                                                             (4.2</w:t>
      </w:r>
      <w:r w:rsidR="00A25079">
        <w:t>3</w:t>
      </w:r>
      <w:r w:rsidR="00C34398">
        <w:t>)</w:t>
      </w:r>
      <w:r w:rsidRPr="00BB3ADF">
        <w:t xml:space="preserve">                     </w:t>
      </w:r>
    </w:p>
    <w:p w:rsidR="00890264" w:rsidRPr="00BB3ADF" w:rsidRDefault="00890264" w:rsidP="00890264">
      <w:pPr>
        <w:spacing w:before="240" w:after="120" w:line="360" w:lineRule="auto"/>
        <w:ind w:firstLine="709"/>
        <w:jc w:val="both"/>
      </w:pPr>
      <w:r w:rsidRPr="00BB3ADF">
        <w:t xml:space="preserve">Pesaran (2007) çalışmasında </w:t>
      </w:r>
      <w:r w:rsidRPr="00BB3ADF">
        <w:rPr>
          <w:i/>
        </w:rPr>
        <w:sym w:font="Symbol" w:char="F06C"/>
      </w:r>
      <w:r w:rsidRPr="00BB3ADF">
        <w:rPr>
          <w:i/>
          <w:vertAlign w:val="subscript"/>
        </w:rPr>
        <w:t>i</w:t>
      </w:r>
      <w:r w:rsidRPr="00BB3ADF">
        <w:t xml:space="preserve"> ≠ 0 ve N</w:t>
      </w:r>
      <w:r w:rsidRPr="00BB3ADF">
        <w:sym w:font="Symbol" w:char="F0AE"/>
      </w:r>
      <w:r w:rsidRPr="00BB3ADF">
        <w:sym w:font="Symbol" w:char="F0A5"/>
      </w:r>
      <w:r w:rsidRPr="00BB3ADF">
        <w:t xml:space="preserve"> durumunda, ortak öğenin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 xml:space="preserve">t </m:t>
            </m:r>
          </m:sub>
        </m:sSub>
      </m:oMath>
      <w:r w:rsidRPr="00BB3ADF">
        <w:t xml:space="preserve">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 xml:space="preserve">t </m:t>
            </m:r>
          </m:sub>
        </m:sSub>
        <m:r>
          <w:rPr>
            <w:rFonts w:ascii="Cambria Math" w:hAnsi="Cambria Math"/>
          </w:rPr>
          <m:t>'</m:t>
        </m:r>
      </m:oMath>
      <w:r w:rsidRPr="00BB3ADF">
        <w:t>nin gecikmeli değerleriyle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 xml:space="preserve">t-1 </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 xml:space="preserve">t-2 </m:t>
            </m:r>
          </m:sub>
        </m:sSub>
        <m:r>
          <w:rPr>
            <w:rFonts w:ascii="Cambria Math" w:hAnsi="Cambria Math"/>
          </w:rPr>
          <m:t>, …</m:t>
        </m:r>
      </m:oMath>
      <w:r w:rsidRPr="00BB3ADF">
        <w:t xml:space="preserve">) yaklaştırılabileceğini göstermiştir. Her bir yatay kesit için </w:t>
      </w:r>
      <w:r w:rsidRPr="00BB3ADF">
        <w:rPr>
          <w:i/>
        </w:rPr>
        <w:t>u</w:t>
      </w:r>
      <w:r w:rsidRPr="00BB3ADF">
        <w:rPr>
          <w:i/>
          <w:vertAlign w:val="subscript"/>
        </w:rPr>
        <w:t>i,t</w:t>
      </w:r>
      <w:r w:rsidRPr="00BB3ADF">
        <w:t xml:space="preserve">’deki potansiyel otokorelasyonu dikkate almak için ortak öğe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 xml:space="preserve">t </m:t>
            </m:r>
          </m:sub>
        </m:sSub>
      </m:oMath>
      <w:r w:rsidRPr="00BB3ADF">
        <w:t>ve</w:t>
      </w:r>
      <m:oMath>
        <m:sSub>
          <m:sSubPr>
            <m:ctrlPr>
              <w:rPr>
                <w:rFonts w:ascii="Cambria Math" w:hAnsi="Cambria Math"/>
                <w:i/>
              </w:rPr>
            </m:ctrlPr>
          </m:sSubPr>
          <m:e>
            <m:r>
              <w:rPr>
                <w:rFonts w:ascii="Cambria Math" w:hAnsi="Cambria Math"/>
              </w:rPr>
              <m:t xml:space="preserve"> ∆</m:t>
            </m:r>
            <m:acc>
              <m:accPr>
                <m:chr m:val="̅"/>
                <m:ctrlPr>
                  <w:rPr>
                    <w:rFonts w:ascii="Cambria Math" w:hAnsi="Cambria Math"/>
                    <w:i/>
                  </w:rPr>
                </m:ctrlPr>
              </m:accPr>
              <m:e>
                <m:r>
                  <w:rPr>
                    <w:rFonts w:ascii="Cambria Math" w:hAnsi="Cambria Math"/>
                  </w:rPr>
                  <m:t>y</m:t>
                </m:r>
              </m:e>
            </m:acc>
          </m:e>
          <m:sub>
            <m:r>
              <w:rPr>
                <w:rFonts w:ascii="Cambria Math" w:hAnsi="Cambria Math"/>
              </w:rPr>
              <m:t xml:space="preserve">t </m:t>
            </m:r>
          </m:sub>
        </m:sSub>
      </m:oMath>
      <w:r w:rsidRPr="00BB3ADF">
        <w:t>’nin gecikmeli değereleriyle (</w:t>
      </w:r>
      <m:oMath>
        <m:sSub>
          <m:sSubPr>
            <m:ctrlPr>
              <w:rPr>
                <w:rFonts w:ascii="Cambria Math" w:hAnsi="Cambria Math"/>
                <w:i/>
              </w:rPr>
            </m:ctrlPr>
          </m:sSubPr>
          <m:e>
            <m:r>
              <w:rPr>
                <w:rFonts w:ascii="Cambria Math" w:hAnsi="Cambria Math"/>
              </w:rPr>
              <m:t>∆</m:t>
            </m:r>
            <m:acc>
              <m:accPr>
                <m:chr m:val="̅"/>
                <m:ctrlPr>
                  <w:rPr>
                    <w:rFonts w:ascii="Cambria Math" w:hAnsi="Cambria Math"/>
                    <w:i/>
                  </w:rPr>
                </m:ctrlPr>
              </m:accPr>
              <m:e>
                <m:r>
                  <w:rPr>
                    <w:rFonts w:ascii="Cambria Math" w:hAnsi="Cambria Math"/>
                  </w:rPr>
                  <m:t>y</m:t>
                </m:r>
              </m:e>
            </m:acc>
          </m:e>
          <m:sub>
            <m:r>
              <w:rPr>
                <w:rFonts w:ascii="Cambria Math" w:hAnsi="Cambria Math"/>
              </w:rPr>
              <m:t xml:space="preserve">t-1 </m:t>
            </m:r>
          </m:sub>
        </m:sSub>
      </m:oMath>
      <w:r w:rsidRPr="00BB3ADF">
        <w:t xml:space="preserve">, </w:t>
      </w:r>
      <m:oMath>
        <m:sSub>
          <m:sSubPr>
            <m:ctrlPr>
              <w:rPr>
                <w:rFonts w:ascii="Cambria Math" w:hAnsi="Cambria Math"/>
                <w:i/>
              </w:rPr>
            </m:ctrlPr>
          </m:sSubPr>
          <m:e>
            <m:r>
              <w:rPr>
                <w:rFonts w:ascii="Cambria Math" w:hAnsi="Cambria Math"/>
              </w:rPr>
              <m:t>∆</m:t>
            </m:r>
            <m:acc>
              <m:accPr>
                <m:chr m:val="̅"/>
                <m:ctrlPr>
                  <w:rPr>
                    <w:rFonts w:ascii="Cambria Math" w:hAnsi="Cambria Math"/>
                    <w:i/>
                  </w:rPr>
                </m:ctrlPr>
              </m:accPr>
              <m:e>
                <m:r>
                  <w:rPr>
                    <w:rFonts w:ascii="Cambria Math" w:hAnsi="Cambria Math"/>
                  </w:rPr>
                  <m:t>y</m:t>
                </m:r>
              </m:e>
            </m:acc>
          </m:e>
          <m:sub>
            <m:r>
              <w:rPr>
                <w:rFonts w:ascii="Cambria Math" w:hAnsi="Cambria Math"/>
              </w:rPr>
              <m:t xml:space="preserve">t-2 </m:t>
            </m:r>
          </m:sub>
        </m:sSub>
        <m:r>
          <w:rPr>
            <w:rFonts w:ascii="Cambria Math" w:hAnsi="Cambria Math"/>
          </w:rPr>
          <m:t>,</m:t>
        </m:r>
      </m:oMath>
      <w:r w:rsidRPr="00BB3ADF">
        <w:t xml:space="preserve"> </w:t>
      </w:r>
      <w:proofErr w:type="gramStart"/>
      <w:r w:rsidRPr="00BB3ADF">
        <w:t>….</w:t>
      </w:r>
      <w:proofErr w:type="gramEnd"/>
      <w:r w:rsidRPr="00BB3ADF">
        <w:t xml:space="preserve">). yaklaştırılabilir (Pesaran, 2007: 276). </w:t>
      </w:r>
    </w:p>
    <w:p w:rsidR="00890264" w:rsidRPr="00BB3ADF" w:rsidRDefault="00890264" w:rsidP="00890264">
      <w:pPr>
        <w:spacing w:before="240" w:after="120" w:line="360" w:lineRule="auto"/>
        <w:ind w:firstLine="709"/>
        <w:jc w:val="both"/>
      </w:pPr>
      <w:r w:rsidRPr="00BB3ADF">
        <w:lastRenderedPageBreak/>
        <w:t>CADF testinin sıfır ve alternatif hipotezleri aşağıdaki şekilde ifade edilebilir:</w:t>
      </w:r>
    </w:p>
    <w:p w:rsidR="00890264" w:rsidRPr="00BB3ADF" w:rsidRDefault="00890264" w:rsidP="00890264">
      <w:pPr>
        <w:spacing w:before="240" w:after="120" w:line="360" w:lineRule="auto"/>
        <w:ind w:firstLine="709"/>
        <w:jc w:val="both"/>
      </w:pPr>
      <w:r w:rsidRPr="00BB3ADF">
        <w:rPr>
          <w:i/>
        </w:rPr>
        <w:t>H</w:t>
      </w:r>
      <w:r w:rsidRPr="00BB3ADF">
        <w:rPr>
          <w:i/>
          <w:vertAlign w:val="subscript"/>
        </w:rPr>
        <w:t>0</w:t>
      </w:r>
      <w:r w:rsidRPr="00BB3ADF">
        <w:rPr>
          <w:i/>
        </w:rPr>
        <w:t xml:space="preserve"> : b</w:t>
      </w:r>
      <w:r w:rsidRPr="00BB3ADF">
        <w:rPr>
          <w:i/>
          <w:vertAlign w:val="subscript"/>
        </w:rPr>
        <w:t>i</w:t>
      </w:r>
      <w:r w:rsidRPr="00BB3ADF">
        <w:rPr>
          <w:i/>
        </w:rPr>
        <w:t>= 0        H</w:t>
      </w:r>
      <w:r w:rsidRPr="00BB3ADF">
        <w:rPr>
          <w:i/>
          <w:vertAlign w:val="subscript"/>
        </w:rPr>
        <w:t xml:space="preserve">A </w:t>
      </w:r>
      <w:r w:rsidRPr="00BB3ADF">
        <w:rPr>
          <w:i/>
        </w:rPr>
        <w:t>: b</w:t>
      </w:r>
      <w:r w:rsidRPr="00BB3ADF">
        <w:rPr>
          <w:i/>
          <w:vertAlign w:val="subscript"/>
        </w:rPr>
        <w:t>i</w:t>
      </w:r>
      <w:r w:rsidRPr="00BB3ADF">
        <w:rPr>
          <w:i/>
        </w:rPr>
        <w:t xml:space="preserve"> &lt;0,</w:t>
      </w:r>
      <w:r w:rsidRPr="00BB3ADF">
        <w:t xml:space="preserve">  i= (1, 2, </w:t>
      </w:r>
      <w:proofErr w:type="gramStart"/>
      <w:r w:rsidRPr="00BB3ADF">
        <w:t>….</w:t>
      </w:r>
      <w:proofErr w:type="gramEnd"/>
      <w:r w:rsidRPr="00BB3ADF">
        <w:t xml:space="preserve">N) için   </w:t>
      </w:r>
    </w:p>
    <w:p w:rsidR="00890264" w:rsidRPr="00BB3ADF" w:rsidRDefault="00890264" w:rsidP="00890264">
      <w:pPr>
        <w:spacing w:before="240" w:after="120" w:line="360" w:lineRule="auto"/>
        <w:ind w:firstLine="709"/>
        <w:jc w:val="both"/>
      </w:pPr>
      <w:r w:rsidRPr="00BB3ADF">
        <w:t xml:space="preserve">CADF sınamasında da </w:t>
      </w:r>
      <w:r w:rsidRPr="00BB3ADF">
        <w:rPr>
          <w:i/>
        </w:rPr>
        <w:t>b</w:t>
      </w:r>
      <w:r w:rsidRPr="00BB3ADF">
        <w:rPr>
          <w:i/>
          <w:vertAlign w:val="subscript"/>
        </w:rPr>
        <w:t xml:space="preserve">i </w:t>
      </w:r>
      <w:r w:rsidRPr="00BB3ADF">
        <w:t xml:space="preserve">katsayılarına ilişkin t değerleri bulunur. SURADF sınamasından farklı olarak kritik değerler Pesaran (2007) tarafından tablo halinde verilmiştir. Pesaran yaptığı Monte Carlo simülasyonlarında CADF sınamasının hem N&gt;T hemde T&gt;N durumunda geçerli olduğunu ifade etmiştir (Pesaran, 2007: 269). </w:t>
      </w:r>
    </w:p>
    <w:p w:rsidR="00890264" w:rsidRPr="00BB3ADF" w:rsidRDefault="00890264" w:rsidP="00890264">
      <w:pPr>
        <w:spacing w:before="240" w:after="120" w:line="360" w:lineRule="auto"/>
        <w:ind w:firstLine="709"/>
        <w:jc w:val="both"/>
      </w:pPr>
      <w:r w:rsidRPr="00BB3ADF">
        <w:t>CADF testinin t istatistik değerleri aşağıdaki formül yardımıyla hesaplanmaktadır (Pesaran, 2007: 269):</w:t>
      </w:r>
    </w:p>
    <w:p w:rsidR="00890264" w:rsidRPr="00BB3ADF" w:rsidRDefault="00890264" w:rsidP="00890264">
      <w:pPr>
        <w:spacing w:before="240" w:after="120" w:line="360" w:lineRule="auto"/>
        <w:ind w:firstLine="709"/>
        <w:jc w:val="both"/>
      </w:pPr>
      <w:r w:rsidRPr="00BB3ADF">
        <w:t>Pesaran (2007: 278), her bir serinin basit aritmetik ortalamasını alarak CIPS istatistiğini şu şekilde elde etmektedir.</w:t>
      </w:r>
    </w:p>
    <w:p w:rsidR="00890264" w:rsidRPr="00BB3ADF" w:rsidRDefault="00890264" w:rsidP="00890264">
      <w:pPr>
        <w:spacing w:before="240" w:after="120" w:line="360" w:lineRule="auto"/>
        <w:ind w:firstLine="709"/>
        <w:jc w:val="both"/>
        <w:rPr>
          <w:rFonts w:eastAsiaTheme="minorEastAsia"/>
        </w:rPr>
      </w:pPr>
      <w:r w:rsidRPr="00BB3ADF">
        <w:rPr>
          <w:i/>
        </w:rPr>
        <w:t>CIPS*(N,T)=</w:t>
      </w:r>
      <w:r w:rsidRPr="00BB3ADF">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CADF</m:t>
                </m:r>
              </m:e>
            </m:acc>
          </m:e>
          <m:sup>
            <m:r>
              <w:rPr>
                <w:rFonts w:ascii="Cambria Math" w:hAnsi="Cambria Math"/>
              </w:rPr>
              <m:t>*</m:t>
            </m:r>
          </m:sup>
        </m:sSup>
        <m:r>
          <w:rPr>
            <w:rFonts w:ascii="Cambria Math" w:eastAsiaTheme="minorEastAsia" w:hAnsi="Cambria Math"/>
          </w:rPr>
          <m:t>=</m:t>
        </m:r>
      </m:oMath>
      <w:r w:rsidRPr="00BB3ADF">
        <w:t xml:space="preserve">   </w:t>
      </w:r>
      <m:oMath>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CADF</m:t>
                    </m:r>
                  </m:e>
                  <m:sub>
                    <m:r>
                      <w:rPr>
                        <w:rFonts w:ascii="Cambria Math" w:hAnsi="Cambria Math"/>
                      </w:rPr>
                      <m:t>if</m:t>
                    </m:r>
                  </m:sub>
                  <m:sup>
                    <m:r>
                      <w:rPr>
                        <w:rFonts w:ascii="Cambria Math" w:hAnsi="Cambria Math"/>
                      </w:rPr>
                      <m:t>*</m:t>
                    </m:r>
                  </m:sup>
                </m:sSubSup>
              </m:e>
            </m:nary>
          </m:num>
          <m:den>
            <m:r>
              <w:rPr>
                <w:rFonts w:ascii="Cambria Math" w:hAnsi="Cambria Math"/>
              </w:rPr>
              <m:t>N</m:t>
            </m:r>
          </m:den>
        </m:f>
      </m:oMath>
      <w:r w:rsidR="00C34398">
        <w:t xml:space="preserve">                                 </w:t>
      </w:r>
      <w:r w:rsidR="00A25079">
        <w:t xml:space="preserve">                           (4.24</w:t>
      </w:r>
      <w:r w:rsidR="00C34398">
        <w:t>)</w:t>
      </w:r>
    </w:p>
    <w:p w:rsidR="00890264" w:rsidRPr="00BB3ADF" w:rsidRDefault="00890264" w:rsidP="00890264">
      <w:pPr>
        <w:spacing w:before="240" w:after="120" w:line="360" w:lineRule="auto"/>
        <w:ind w:firstLine="709"/>
        <w:jc w:val="both"/>
      </w:pPr>
      <w:r w:rsidRPr="00BB3ADF">
        <w:t>CIPS istatistiği standard normal dağılım göstermediğinden kritik değerler Pesaran (2006</w:t>
      </w:r>
      <w:r w:rsidR="001164D4">
        <w:t>a</w:t>
      </w:r>
      <w:r w:rsidRPr="00BB3ADF">
        <w:t>) tar</w:t>
      </w:r>
      <w:r w:rsidR="00D85C54">
        <w:t xml:space="preserve">afından Monte Carlo simülasyonu </w:t>
      </w:r>
      <w:r w:rsidRPr="00BB3ADF">
        <w:t xml:space="preserve">yoluyla elde edilmiş ve tablolaştırılmıştır. CIPS değeri panelin tamamı için durağanlığı test etmektedir. </w:t>
      </w:r>
    </w:p>
    <w:p w:rsidR="00890264" w:rsidRDefault="00D50EBE" w:rsidP="00FD4815">
      <w:pPr>
        <w:spacing w:before="240" w:after="240" w:line="360" w:lineRule="auto"/>
        <w:jc w:val="both"/>
      </w:pPr>
      <w:r>
        <w:tab/>
      </w:r>
      <w:r w:rsidR="00952045">
        <w:t>CADF test istatistiği sonuçları ve p</w:t>
      </w:r>
      <w:r>
        <w:t xml:space="preserve">anelin geneli için kullanılan CIPS sonuçları </w:t>
      </w:r>
      <w:r w:rsidR="00952045">
        <w:t>sabit terimli, sabit terimli ve trendli olarak</w:t>
      </w:r>
      <w:r w:rsidR="009C7F93">
        <w:t xml:space="preserve"> 3 gecikme değeri için</w:t>
      </w:r>
      <w:r w:rsidR="00952045">
        <w:t xml:space="preserve"> </w:t>
      </w:r>
      <w:r w:rsidR="00FD4815">
        <w:t xml:space="preserve">Gauss </w:t>
      </w:r>
      <w:proofErr w:type="gramStart"/>
      <w:r w:rsidR="00FD4815">
        <w:t>10</w:t>
      </w:r>
      <w:r w:rsidR="00D85C54">
        <w:t>.0</w:t>
      </w:r>
      <w:proofErr w:type="gramEnd"/>
      <w:r w:rsidR="00FD4815">
        <w:t xml:space="preserve"> paket programı </w:t>
      </w:r>
      <w:r w:rsidR="00952045">
        <w:t xml:space="preserve">yardımıyla hesaplanan sonuçlar Çizelge 4.2 ve Çizelge 4.3’de </w:t>
      </w:r>
      <w:r>
        <w:t>verilmiştir.</w:t>
      </w:r>
    </w:p>
    <w:p w:rsidR="0028008B" w:rsidRDefault="0028008B" w:rsidP="00FD4815">
      <w:pPr>
        <w:spacing w:before="240" w:after="240" w:line="360" w:lineRule="auto"/>
        <w:jc w:val="both"/>
      </w:pPr>
    </w:p>
    <w:p w:rsidR="00B0658E" w:rsidRDefault="00B0658E" w:rsidP="00FD4815">
      <w:pPr>
        <w:spacing w:before="240" w:after="240" w:line="360" w:lineRule="auto"/>
        <w:jc w:val="both"/>
      </w:pPr>
    </w:p>
    <w:p w:rsidR="0028008B" w:rsidRDefault="0028008B" w:rsidP="00FD4815">
      <w:pPr>
        <w:spacing w:before="240" w:after="240" w:line="360" w:lineRule="auto"/>
        <w:jc w:val="both"/>
      </w:pPr>
    </w:p>
    <w:p w:rsidR="0028008B" w:rsidRDefault="0028008B" w:rsidP="00FD4815">
      <w:pPr>
        <w:spacing w:before="240" w:after="240" w:line="360" w:lineRule="auto"/>
        <w:jc w:val="both"/>
      </w:pPr>
    </w:p>
    <w:p w:rsidR="0028008B" w:rsidRDefault="0028008B" w:rsidP="00FD4815">
      <w:pPr>
        <w:spacing w:before="240" w:after="240" w:line="360" w:lineRule="auto"/>
        <w:jc w:val="both"/>
      </w:pPr>
    </w:p>
    <w:p w:rsidR="0028008B" w:rsidRDefault="0028008B" w:rsidP="00FD4815">
      <w:pPr>
        <w:spacing w:before="240" w:after="240" w:line="360" w:lineRule="auto"/>
        <w:jc w:val="both"/>
      </w:pPr>
    </w:p>
    <w:p w:rsidR="0028008B" w:rsidRDefault="0028008B" w:rsidP="00FD4815">
      <w:pPr>
        <w:spacing w:before="240" w:after="240" w:line="360" w:lineRule="auto"/>
        <w:jc w:val="both"/>
      </w:pPr>
    </w:p>
    <w:p w:rsidR="0028008B" w:rsidRDefault="0028008B" w:rsidP="00FD4815">
      <w:pPr>
        <w:spacing w:before="240" w:after="240" w:line="360" w:lineRule="auto"/>
        <w:jc w:val="both"/>
      </w:pPr>
    </w:p>
    <w:p w:rsidR="00851B2D" w:rsidRDefault="00F00165" w:rsidP="000D38D2">
      <w:pPr>
        <w:pStyle w:val="it6"/>
      </w:pPr>
      <w:bookmarkStart w:id="185" w:name="_Toc384716100"/>
      <w:r>
        <w:t xml:space="preserve">Çizelge </w:t>
      </w:r>
      <w:proofErr w:type="gramStart"/>
      <w:r>
        <w:t>4.2</w:t>
      </w:r>
      <w:proofErr w:type="gramEnd"/>
      <w:r w:rsidR="002B1DF7" w:rsidRPr="002B1DF7">
        <w:t xml:space="preserve">: </w:t>
      </w:r>
      <w:r w:rsidR="007D2ACC" w:rsidRPr="002B1DF7">
        <w:t>CADF</w:t>
      </w:r>
      <w:r w:rsidR="00952045">
        <w:t xml:space="preserve"> ve CIPS</w:t>
      </w:r>
      <w:r w:rsidR="007D2ACC" w:rsidRPr="002B1DF7">
        <w:t xml:space="preserve"> Test Sonuçları</w:t>
      </w:r>
      <w:r w:rsidR="00952045">
        <w:t xml:space="preserve"> (Sabit Terimli)</w:t>
      </w:r>
      <w:bookmarkEnd w:id="185"/>
    </w:p>
    <w:tbl>
      <w:tblPr>
        <w:tblW w:w="7820" w:type="dxa"/>
        <w:tblInd w:w="55" w:type="dxa"/>
        <w:tblCellMar>
          <w:left w:w="70" w:type="dxa"/>
          <w:right w:w="70" w:type="dxa"/>
        </w:tblCellMar>
        <w:tblLook w:val="04A0" w:firstRow="1" w:lastRow="0" w:firstColumn="1" w:lastColumn="0" w:noHBand="0" w:noVBand="1"/>
      </w:tblPr>
      <w:tblGrid>
        <w:gridCol w:w="1120"/>
        <w:gridCol w:w="660"/>
        <w:gridCol w:w="660"/>
        <w:gridCol w:w="660"/>
        <w:gridCol w:w="660"/>
        <w:gridCol w:w="660"/>
        <w:gridCol w:w="660"/>
        <w:gridCol w:w="660"/>
        <w:gridCol w:w="700"/>
        <w:gridCol w:w="660"/>
        <w:gridCol w:w="720"/>
      </w:tblGrid>
      <w:tr w:rsidR="00952045" w:rsidRPr="00724473" w:rsidTr="009C7F93">
        <w:trPr>
          <w:trHeight w:val="585"/>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Ülkeler</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lco</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∆lco</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lgdp</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∆gdp</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lec</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∆lec</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opex</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∆opex</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opim</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∆opim</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Avustralya</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-2.651*</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-4.656</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-2.200</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-4.778</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-3.586</w:t>
            </w:r>
            <w:r w:rsidR="00A22ABC">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-5.449</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-1.496</w:t>
            </w:r>
            <w:r>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-3.680</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-0.816</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-3.046</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Avusturya</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-1.774*</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-4.720</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-3.249</w:t>
            </w:r>
            <w:r w:rsidR="00A22ABC">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-5.009</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-0.467</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-5.039</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-2.985</w:t>
            </w:r>
            <w:r w:rsidR="00A22ABC">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-2.152</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-3.457</w:t>
            </w:r>
            <w:r w:rsidR="00A22ABC">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-4.764</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Belçika</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-2.617*</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-3.533</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-3.118</w:t>
            </w:r>
            <w:r w:rsidR="00A22ABC">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-4.283</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-2.463</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-3.480</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-1.982</w:t>
            </w:r>
            <w:r>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-3.354</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-2.407</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-4.187</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Kanada</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-1.376*</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-6.143</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-2.552</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-3.897</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-1.856</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-5.734</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-0.483</w:t>
            </w:r>
            <w:r>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-2.000</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-0.444</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-3.038</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Şili</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-1.963*</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-3.561</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-3.396</w:t>
            </w:r>
            <w:r w:rsidR="00A22ABC">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-3.983</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-2.263</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-2.753</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-3.369</w:t>
            </w:r>
            <w:r w:rsidR="00A22ABC">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-4.440</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-2.814</w:t>
            </w:r>
            <w:r w:rsidR="00A22ABC">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-3.433</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Danimarka</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-1.708*</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-5.664</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-2.138</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-4.135</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-3.839</w:t>
            </w:r>
            <w:r w:rsidR="00A22ABC">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-5.528</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-3.452</w:t>
            </w:r>
            <w:r w:rsidR="00A22ABC">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-3.443</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-2.451</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-5.510</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Finlandiya</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-3.442</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-6.755</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-2.380</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-3.805</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-2.740</w:t>
            </w:r>
            <w:r w:rsidR="00A22ABC">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-5.693</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-2.010</w:t>
            </w:r>
            <w:r>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-3.391</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-3.205</w:t>
            </w:r>
            <w:r w:rsidR="00A22ABC">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-4.448</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Fransa</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0.447*</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-3.995</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-2.985</w:t>
            </w:r>
            <w:r w:rsidR="00A22ABC">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-4.119</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-2.415</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-4.083</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-1.714</w:t>
            </w:r>
            <w:r>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-3.886</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-1.676</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-4.249</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Almanya</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-1.787*</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-2.734</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-2.630</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-3.122</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-2.737</w:t>
            </w:r>
            <w:r w:rsidR="00A22ABC">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-2.910</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-2.122</w:t>
            </w:r>
            <w:r>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-3.522</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-3.469</w:t>
            </w:r>
            <w:r w:rsidR="00A22ABC">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-5.110</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Yunanistan</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-1.425*</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-3.756</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-1.426</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-3.891</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-3.018</w:t>
            </w:r>
            <w:r w:rsidR="00A22ABC">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-4.452</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-3.571</w:t>
            </w:r>
            <w:r w:rsidR="00A22ABC">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-5.470</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-2.014</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-5.561</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Macaristan</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-1.714*</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sz w:val="16"/>
                <w:szCs w:val="16"/>
                <w:lang w:eastAsia="tr-TR"/>
              </w:rPr>
              <w:t>-1.971</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-2.003</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-2.568</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-3.211</w:t>
            </w:r>
            <w:r w:rsidR="00A22ABC">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-2.041</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-1.663</w:t>
            </w:r>
            <w:r>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-4.039</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-1.898</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-4.422</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İsrail</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0.118*</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-3.027</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-2.628</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-3.807</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-2.133</w:t>
            </w:r>
            <w:r w:rsidR="00A22ABC">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-4.420</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-2.568</w:t>
            </w:r>
            <w:r>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-4.049</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-1.428</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-4.762</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İtalya</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-1.184*</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-3.777</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-0.449</w:t>
            </w:r>
            <w:r w:rsidR="00A22ABC">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-3.012</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-1.142</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-4.178</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-3.031</w:t>
            </w:r>
            <w:r w:rsidR="00A22ABC">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-4.031</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-1.746</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-6.068</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Japonya</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-2.252*</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-3.994</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-0.544</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-2.516</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-1.650</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-3.944</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-1.547</w:t>
            </w:r>
            <w:r>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-4.902</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-1.605</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-4.077</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Kore</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0.039*</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-3.831</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-0.864</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-3.758</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0.401</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-3.699</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-3.223</w:t>
            </w:r>
            <w:r w:rsidR="00A22ABC">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-5.710</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-1.458</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-4.876</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Meksika</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-3.632</w:t>
            </w:r>
            <w:r w:rsidR="00A22ABC">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-2.910</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-2.666</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-3.598</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-2.307</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-2.660</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-3.423</w:t>
            </w:r>
            <w:r w:rsidR="00A22ABC">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-6.168</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-0.958</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-4.107</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Hollanda</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-1.945*</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-4.081</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-1.661</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-2.796</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-1.359</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-3.643</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-2.483</w:t>
            </w:r>
            <w:r>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-4.353</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-2.600</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-4.696</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Norveç</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-3.742</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-4.523</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-1.223</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-2.931</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-3.475</w:t>
            </w:r>
            <w:r w:rsidR="00A22ABC">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-4.412</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-3.787</w:t>
            </w:r>
            <w:r w:rsidR="00A22ABC">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-4.802</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-2.372</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-5.656</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Portekiz</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-1.297*</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-4.276</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-2.574</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-5.062</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-2.567</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-4.655</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-2.654</w:t>
            </w:r>
            <w:r>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-4.477</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-2.389</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-4.313</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İspanya</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-3.919</w:t>
            </w:r>
            <w:r w:rsidR="00A22ABC">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-3.496</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-2.888</w:t>
            </w:r>
            <w:r w:rsidR="00A22ABC">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-3.000</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-3.204</w:t>
            </w:r>
            <w:r w:rsidR="00A22ABC">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-4.266</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-2.313</w:t>
            </w:r>
            <w:r>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-2.618</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-1.206</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-3.555</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İsveç</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-2.006*</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-3.198</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-1.434</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-4.139</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-2.505</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-5.076</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-3.060</w:t>
            </w:r>
            <w:r w:rsidR="00A22ABC">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-4.728</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-4.219</w:t>
            </w:r>
            <w:r w:rsidR="00A22ABC">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-6.021</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Türkiye</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0.063*</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-4.889</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-1.794</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-4.222</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-0.438</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-4.577</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-1.642</w:t>
            </w:r>
            <w:r>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-5.079</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-2.038</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-4.594</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İngiltere</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0.325*</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-3.858</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-2.326</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-3.154</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-0.678</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-4.963</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-3.000</w:t>
            </w:r>
            <w:r w:rsidR="00A22ABC">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-4.240</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-3.841</w:t>
            </w:r>
            <w:r w:rsidR="00A22ABC">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-5.090</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52045" w:rsidP="009C7F93">
            <w:pPr>
              <w:rPr>
                <w:color w:val="000000"/>
                <w:sz w:val="16"/>
                <w:szCs w:val="16"/>
                <w:lang w:eastAsia="tr-TR"/>
              </w:rPr>
            </w:pPr>
            <w:r w:rsidRPr="00724473">
              <w:rPr>
                <w:color w:val="000000"/>
                <w:sz w:val="16"/>
                <w:szCs w:val="16"/>
                <w:lang w:eastAsia="tr-TR"/>
              </w:rPr>
              <w:t>ABD</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-2.415*</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-6.773</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-3.575</w:t>
            </w:r>
            <w:r w:rsidR="00A22ABC">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-4.004</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-2.262</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-5.501</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-3.444</w:t>
            </w:r>
            <w:r w:rsidR="00A22ABC">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-3.350</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-1.784</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-3.601</w:t>
            </w:r>
          </w:p>
        </w:tc>
      </w:tr>
      <w:tr w:rsidR="00952045" w:rsidRPr="00724473" w:rsidTr="009C7F93">
        <w:trPr>
          <w:trHeight w:val="2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52045" w:rsidRPr="00724473" w:rsidRDefault="009C7F93" w:rsidP="009C7F93">
            <w:pPr>
              <w:rPr>
                <w:color w:val="000000"/>
                <w:sz w:val="16"/>
                <w:szCs w:val="16"/>
                <w:lang w:eastAsia="tr-TR"/>
              </w:rPr>
            </w:pPr>
            <w:r>
              <w:rPr>
                <w:color w:val="000000"/>
                <w:sz w:val="16"/>
                <w:szCs w:val="16"/>
                <w:lang w:eastAsia="tr-TR"/>
              </w:rPr>
              <w:t>CIPS</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-1.744*</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-4.172</w:t>
            </w:r>
            <w:r w:rsidR="00C057FD">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-2.196</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-3.733</w:t>
            </w:r>
            <w:r w:rsidR="00C057FD">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-2.163</w:t>
            </w:r>
            <w:r>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-4.298</w:t>
            </w:r>
            <w:r w:rsidR="00C057FD">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-2.543</w:t>
            </w:r>
            <w:r>
              <w:rPr>
                <w:color w:val="000000"/>
                <w:sz w:val="16"/>
                <w:szCs w:val="16"/>
                <w:lang w:eastAsia="tr-TR"/>
              </w:rPr>
              <w:t>*</w:t>
            </w:r>
          </w:p>
        </w:tc>
        <w:tc>
          <w:tcPr>
            <w:tcW w:w="70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-4.079</w:t>
            </w:r>
            <w:r w:rsidR="00C057FD">
              <w:rPr>
                <w:color w:val="000000"/>
                <w:sz w:val="16"/>
                <w:szCs w:val="16"/>
                <w:lang w:eastAsia="tr-TR"/>
              </w:rPr>
              <w:t>*</w:t>
            </w:r>
          </w:p>
        </w:tc>
        <w:tc>
          <w:tcPr>
            <w:tcW w:w="66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-2.179</w:t>
            </w:r>
            <w:r>
              <w:rPr>
                <w:color w:val="000000"/>
                <w:sz w:val="16"/>
                <w:szCs w:val="16"/>
                <w:lang w:eastAsia="tr-TR"/>
              </w:rPr>
              <w:t>*</w:t>
            </w:r>
          </w:p>
        </w:tc>
        <w:tc>
          <w:tcPr>
            <w:tcW w:w="720" w:type="dxa"/>
            <w:tcBorders>
              <w:top w:val="nil"/>
              <w:left w:val="nil"/>
              <w:bottom w:val="single" w:sz="4" w:space="0" w:color="auto"/>
              <w:right w:val="single" w:sz="4" w:space="0" w:color="auto"/>
            </w:tcBorders>
            <w:shd w:val="clear" w:color="auto" w:fill="auto"/>
            <w:noWrap/>
            <w:vAlign w:val="center"/>
            <w:hideMark/>
          </w:tcPr>
          <w:p w:rsidR="00952045" w:rsidRPr="00724473" w:rsidRDefault="00952045" w:rsidP="009C7F93">
            <w:pPr>
              <w:jc w:val="center"/>
              <w:rPr>
                <w:color w:val="000000"/>
                <w:sz w:val="16"/>
                <w:szCs w:val="16"/>
                <w:lang w:eastAsia="tr-TR"/>
              </w:rPr>
            </w:pPr>
            <w:r w:rsidRPr="00724473">
              <w:rPr>
                <w:color w:val="000000"/>
                <w:sz w:val="16"/>
                <w:szCs w:val="16"/>
                <w:lang w:eastAsia="tr-TR"/>
              </w:rPr>
              <w:t>-4.549</w:t>
            </w:r>
            <w:r w:rsidR="00C057FD">
              <w:rPr>
                <w:color w:val="000000"/>
                <w:sz w:val="16"/>
                <w:szCs w:val="16"/>
                <w:lang w:eastAsia="tr-TR"/>
              </w:rPr>
              <w:t>*</w:t>
            </w:r>
          </w:p>
        </w:tc>
      </w:tr>
    </w:tbl>
    <w:p w:rsidR="00952045" w:rsidRPr="009C7F93" w:rsidRDefault="009C7F93" w:rsidP="00D534C3">
      <w:pPr>
        <w:jc w:val="both"/>
        <w:rPr>
          <w:sz w:val="20"/>
          <w:szCs w:val="20"/>
        </w:rPr>
      </w:pPr>
      <w:r w:rsidRPr="009C7F93">
        <w:rPr>
          <w:b/>
          <w:sz w:val="20"/>
          <w:szCs w:val="20"/>
        </w:rPr>
        <w:t>Not:</w:t>
      </w:r>
      <w:r w:rsidRPr="009C7F93">
        <w:rPr>
          <w:sz w:val="20"/>
          <w:szCs w:val="20"/>
        </w:rPr>
        <w:t xml:space="preserve"> </w:t>
      </w:r>
      <w:r w:rsidR="00952045" w:rsidRPr="009C7F93">
        <w:rPr>
          <w:sz w:val="20"/>
          <w:szCs w:val="20"/>
        </w:rPr>
        <w:t>*:%1 , **:%5, ***:%10 anlamlılık düzeyini ifade etmektedir.</w:t>
      </w:r>
      <w:r>
        <w:rPr>
          <w:sz w:val="20"/>
          <w:szCs w:val="20"/>
        </w:rPr>
        <w:t xml:space="preserve"> C</w:t>
      </w:r>
      <w:r w:rsidR="00221AA4">
        <w:rPr>
          <w:sz w:val="20"/>
          <w:szCs w:val="20"/>
        </w:rPr>
        <w:t>IPS</w:t>
      </w:r>
      <w:r>
        <w:rPr>
          <w:sz w:val="20"/>
          <w:szCs w:val="20"/>
        </w:rPr>
        <w:t xml:space="preserve"> test istatistiği kritik değerleri  %1, %5 ve %10 değerleri sırasıyla -2.72, -2.49 ve -2.37’dir. Bu kritik değerler Pesaran</w:t>
      </w:r>
      <w:r w:rsidR="00A22ABC">
        <w:rPr>
          <w:sz w:val="20"/>
          <w:szCs w:val="20"/>
        </w:rPr>
        <w:t xml:space="preserve"> (2009: 5) çalışmasından Tablo S1(b)’den alınmıştır. </w:t>
      </w:r>
      <w:r w:rsidR="00221AA4">
        <w:rPr>
          <w:sz w:val="20"/>
          <w:szCs w:val="20"/>
        </w:rPr>
        <w:t>CADF test istatistiği kritik değerleri  %1, %5 ve %10 değerleri sırasıyla -4.74, -3.83 ve -3.41’dir. Bu kritik değerler Pesaran (2009: 11) çalışmasından Tablo S2(b)’den alınmıştır.</w:t>
      </w:r>
    </w:p>
    <w:p w:rsidR="00952045" w:rsidRDefault="00C973BB" w:rsidP="00D534C3">
      <w:pPr>
        <w:spacing w:before="240" w:after="240" w:line="360" w:lineRule="auto"/>
        <w:ind w:firstLine="708"/>
        <w:jc w:val="both"/>
      </w:pPr>
      <w:r>
        <w:t>Paneli oluşturan ülke gruplarının sabit terimli olarak hesaplanan CADF test istatistiği sonuçlarının bütün değişkenler için düzey değerlerinde birim kök</w:t>
      </w:r>
      <w:r w:rsidR="00D534C3">
        <w:t xml:space="preserve"> içerdiği</w:t>
      </w:r>
      <w:r>
        <w:t xml:space="preserve"> tespit edilmiştir. Ayrıca panelin tamamının da düzey değerlerinde birim kökün olduğu görülmüştür. </w:t>
      </w:r>
    </w:p>
    <w:p w:rsidR="0028008B" w:rsidRDefault="0028008B" w:rsidP="00D534C3">
      <w:pPr>
        <w:spacing w:before="240" w:after="240" w:line="360" w:lineRule="auto"/>
        <w:ind w:firstLine="708"/>
        <w:jc w:val="both"/>
      </w:pPr>
    </w:p>
    <w:p w:rsidR="0028008B" w:rsidRDefault="0028008B" w:rsidP="00D534C3">
      <w:pPr>
        <w:spacing w:before="240" w:after="240" w:line="360" w:lineRule="auto"/>
        <w:ind w:firstLine="708"/>
        <w:jc w:val="both"/>
      </w:pPr>
    </w:p>
    <w:p w:rsidR="0028008B" w:rsidRDefault="0028008B" w:rsidP="00D534C3">
      <w:pPr>
        <w:spacing w:before="240" w:after="240" w:line="360" w:lineRule="auto"/>
        <w:ind w:firstLine="708"/>
        <w:jc w:val="both"/>
      </w:pPr>
    </w:p>
    <w:p w:rsidR="0028008B" w:rsidRDefault="0028008B" w:rsidP="00D534C3">
      <w:pPr>
        <w:spacing w:before="240" w:after="240" w:line="360" w:lineRule="auto"/>
        <w:ind w:firstLine="708"/>
        <w:jc w:val="both"/>
      </w:pPr>
    </w:p>
    <w:p w:rsidR="0028008B" w:rsidRDefault="0028008B" w:rsidP="00D534C3">
      <w:pPr>
        <w:spacing w:before="240" w:after="240" w:line="360" w:lineRule="auto"/>
        <w:ind w:firstLine="708"/>
        <w:jc w:val="both"/>
      </w:pPr>
    </w:p>
    <w:p w:rsidR="00FA2D38" w:rsidRDefault="00FA2D38" w:rsidP="00D534C3">
      <w:pPr>
        <w:spacing w:before="240" w:after="240" w:line="360" w:lineRule="auto"/>
        <w:ind w:firstLine="708"/>
        <w:jc w:val="both"/>
      </w:pPr>
    </w:p>
    <w:p w:rsidR="00952045" w:rsidRDefault="00952045" w:rsidP="000D38D2">
      <w:pPr>
        <w:pStyle w:val="it6"/>
      </w:pPr>
      <w:bookmarkStart w:id="186" w:name="_Toc384716101"/>
      <w:r>
        <w:t xml:space="preserve">Çizelge </w:t>
      </w:r>
      <w:proofErr w:type="gramStart"/>
      <w:r>
        <w:t>4.3</w:t>
      </w:r>
      <w:proofErr w:type="gramEnd"/>
      <w:r w:rsidRPr="002B1DF7">
        <w:t>:</w:t>
      </w:r>
      <w:r>
        <w:t xml:space="preserve"> </w:t>
      </w:r>
      <w:r w:rsidRPr="002B1DF7">
        <w:t>CADF</w:t>
      </w:r>
      <w:r w:rsidR="009C7F93">
        <w:t xml:space="preserve"> ve CIPS</w:t>
      </w:r>
      <w:r w:rsidRPr="002B1DF7">
        <w:t xml:space="preserve"> Test Sonuçları</w:t>
      </w:r>
      <w:r>
        <w:t xml:space="preserve"> (Sabit Terimli ve Trendli)</w:t>
      </w:r>
      <w:bookmarkEnd w:id="186"/>
    </w:p>
    <w:tbl>
      <w:tblPr>
        <w:tblW w:w="79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714"/>
        <w:gridCol w:w="689"/>
        <w:gridCol w:w="709"/>
        <w:gridCol w:w="709"/>
        <w:gridCol w:w="709"/>
        <w:gridCol w:w="708"/>
        <w:gridCol w:w="709"/>
        <w:gridCol w:w="709"/>
        <w:gridCol w:w="694"/>
        <w:gridCol w:w="709"/>
      </w:tblGrid>
      <w:tr w:rsidR="00952045" w:rsidRPr="00F132E4" w:rsidTr="00952045">
        <w:trPr>
          <w:trHeight w:val="225"/>
        </w:trPr>
        <w:tc>
          <w:tcPr>
            <w:tcW w:w="880"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Ülkeler</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lco</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∆lco</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lgdp</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∆gdp</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lec</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∆lec</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opex</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∆opex</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opim</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∆opim</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Avustralya</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-3.279</w:t>
            </w:r>
            <w:r w:rsidR="00A22ABC">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-4.692</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-2.471</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-5.440</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-3.429</w:t>
            </w:r>
            <w:r w:rsidR="00A22ABC">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-5.379</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-2.992</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-3.632</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-1.765</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-3.572</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Avusturya</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-1.766</w:t>
            </w:r>
            <w:r>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-4.945</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-3.223</w:t>
            </w:r>
            <w:r w:rsidR="00A22ABC">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-5.148</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-0.957</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-5.641</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-2.948</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-1.918</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-4.470</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-4.591</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Belçika</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-1.040</w:t>
            </w:r>
            <w:r>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-4.488</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-4.478</w:t>
            </w:r>
            <w:r w:rsidR="00A22ABC">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-4.061</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-1.755</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-4.001</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-1.327</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-3.319</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-1.811</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-4.121</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Kanada</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-1.588</w:t>
            </w:r>
            <w:r>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-6.264</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-2.341</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-3.828</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-2.281</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-5.652</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-0.720</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-2.272</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-1.717</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-3.213</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Şili</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-3.189</w:t>
            </w:r>
            <w:r w:rsidR="00A22ABC">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-3.969</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-3.543</w:t>
            </w:r>
            <w:r w:rsidR="00A22ABC">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-3.957</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-2.293</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-3.274</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-3.226</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-4.452</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-3.002</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-3.601</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Danimarka</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-2.823</w:t>
            </w:r>
            <w:r>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-5.583</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-2.287</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-4.224</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-4.362</w:t>
            </w:r>
            <w:r w:rsidR="00A22ABC">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-5.333</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-3.426</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-3.374</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-3.200</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-5.628</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Finlandiya</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-3.271</w:t>
            </w:r>
            <w:r w:rsidR="00A22ABC">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-6.738</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-2.328</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-3.810</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-2.868</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-5.623</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-1.634</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-3.398</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-2.870</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-4.398</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Fransa</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-0.670</w:t>
            </w:r>
            <w:r>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-5.052</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-3.188</w:t>
            </w:r>
            <w:r w:rsidR="00A22ABC">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-4.253</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-3.121</w:t>
            </w:r>
            <w:r w:rsidR="00A22ABC">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-4.037</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-1.687</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-4.471</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-1.514</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-4.342</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Almanya</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-2.113</w:t>
            </w:r>
            <w:r>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-2.696</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-2.570</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-2.991</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-2.301</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-2.914</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-2.055</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-3.929</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-3.325</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-5.335</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Yunanistan</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-0.933</w:t>
            </w:r>
            <w:r>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-4.748</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-0.735</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-4.093</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-2.782</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-4.757</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-4.164</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-5.510</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-1.886</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-5.701</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Macaristan</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-2.638</w:t>
            </w:r>
            <w:r>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-1.834</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-2.012</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-2.532</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-3.113</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-2.163</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-1.123</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-4.756</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-1.384</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-4.503</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İsrail</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-0.498</w:t>
            </w:r>
            <w:r>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-3.124</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-3.122</w:t>
            </w:r>
            <w:r w:rsidR="00A22ABC">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-3.819</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-2.098</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-4.668</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-3.601</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-4.080</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-3.667</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-4.691</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İtalya</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-1.539</w:t>
            </w:r>
            <w:r>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-3.755</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-0.713</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-5.599</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-1.772</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-4.122</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-2.663</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-4.058</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-3.028</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-5.995</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Japonya</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-1.896</w:t>
            </w:r>
            <w:r>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-4.089</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-0.770</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-2.742</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-2.082</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-3.874</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-3.208</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-4.749</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-2.606</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-4.075</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Kore</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-1.527</w:t>
            </w:r>
            <w:r>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-4.135</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-0.853</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-4.090</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-0.107</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-4.163</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-3.779</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-5.728</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-2.338</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-5.235</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Meksika</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-3.101</w:t>
            </w:r>
            <w:r w:rsidR="00A22ABC">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-2.204</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-2.654</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-3.397</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-2.271</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-1.851</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-4.362</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-6.071</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-3.309</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-4.065</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Hollanda</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-2.404</w:t>
            </w:r>
            <w:r>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-4.239</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-1.674</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-3.119</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-1.109</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-4.049</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-3.019</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-4.363</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-2.652</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-4.672</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Norveç</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-3.742</w:t>
            </w:r>
            <w:r w:rsidR="00A22ABC">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-4.387</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-1.214</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-4.048</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-2.563</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-4.550</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-4.059</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-4.768</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-4.290</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-5.570</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Portekiz</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-0.468</w:t>
            </w:r>
            <w:r>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-4.530</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-2.793</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-4.981</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-2.436</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-4.771</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-2.633</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-4.411</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-2.403</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-4.388</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İspanya</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-3.643</w:t>
            </w:r>
            <w:r w:rsidR="00A22ABC">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-3.444</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-2.814</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-3.074</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-3.178</w:t>
            </w:r>
            <w:r w:rsidR="00AB5712">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-4.095</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-3.063</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-2.566</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-2.362</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-3.540</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İsveç</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-1.473</w:t>
            </w:r>
            <w:r>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-4.182</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-1.565</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-4.488</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-2.037</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-5.302</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-2.807</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-4.640</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-4.344</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-5.908</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Türkiye</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-3.538</w:t>
            </w:r>
            <w:r w:rsidR="00A22ABC">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-4.827</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-2.518</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-4.181</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-2.991</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-4.510</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-2.415</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-5.018</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-3.984</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-4.518</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İngiltere</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-1.759</w:t>
            </w:r>
            <w:r>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-3.782</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-2.305</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-2.949</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-3.197</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-4.700</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-3.198</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-4.168</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-3.881</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-4.996</w:t>
            </w:r>
          </w:p>
        </w:tc>
      </w:tr>
      <w:tr w:rsidR="00952045" w:rsidRPr="00F132E4" w:rsidTr="00952045">
        <w:trPr>
          <w:trHeight w:val="225"/>
        </w:trPr>
        <w:tc>
          <w:tcPr>
            <w:tcW w:w="880" w:type="dxa"/>
            <w:shd w:val="clear" w:color="auto" w:fill="auto"/>
            <w:noWrap/>
            <w:vAlign w:val="center"/>
            <w:hideMark/>
          </w:tcPr>
          <w:p w:rsidR="00952045" w:rsidRPr="00F132E4" w:rsidRDefault="00952045" w:rsidP="009C7F93">
            <w:pPr>
              <w:rPr>
                <w:color w:val="000000"/>
                <w:sz w:val="16"/>
                <w:szCs w:val="16"/>
                <w:lang w:eastAsia="tr-TR"/>
              </w:rPr>
            </w:pPr>
            <w:r w:rsidRPr="00F132E4">
              <w:rPr>
                <w:color w:val="000000"/>
                <w:sz w:val="16"/>
                <w:szCs w:val="16"/>
                <w:lang w:eastAsia="tr-TR"/>
              </w:rPr>
              <w:t>ABD</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-3.356</w:t>
            </w:r>
            <w:r w:rsidR="00A22ABC">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-6.971</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-3.419</w:t>
            </w:r>
            <w:r w:rsidR="00A22ABC">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-3.832</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-2.481</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-5.567</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-3.963</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-3.266</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-3.281</w:t>
            </w:r>
            <w:r w:rsidR="00AB5712">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-3.716</w:t>
            </w:r>
          </w:p>
        </w:tc>
      </w:tr>
      <w:tr w:rsidR="00952045" w:rsidRPr="00F132E4" w:rsidTr="00952045">
        <w:trPr>
          <w:trHeight w:val="225"/>
        </w:trPr>
        <w:tc>
          <w:tcPr>
            <w:tcW w:w="880" w:type="dxa"/>
            <w:shd w:val="clear" w:color="auto" w:fill="auto"/>
            <w:noWrap/>
            <w:vAlign w:val="center"/>
            <w:hideMark/>
          </w:tcPr>
          <w:p w:rsidR="00952045" w:rsidRPr="00F132E4" w:rsidRDefault="009C7F93" w:rsidP="009C7F93">
            <w:pPr>
              <w:rPr>
                <w:color w:val="000000"/>
                <w:sz w:val="16"/>
                <w:szCs w:val="16"/>
                <w:lang w:eastAsia="tr-TR"/>
              </w:rPr>
            </w:pPr>
            <w:r>
              <w:rPr>
                <w:color w:val="000000"/>
                <w:sz w:val="16"/>
                <w:szCs w:val="16"/>
                <w:lang w:eastAsia="tr-TR"/>
              </w:rPr>
              <w:t>CIPS</w:t>
            </w:r>
          </w:p>
        </w:tc>
        <w:tc>
          <w:tcPr>
            <w:tcW w:w="71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-2.177</w:t>
            </w:r>
            <w:r>
              <w:rPr>
                <w:color w:val="000000"/>
                <w:sz w:val="16"/>
                <w:szCs w:val="16"/>
                <w:lang w:eastAsia="tr-TR"/>
              </w:rPr>
              <w:t>*</w:t>
            </w:r>
          </w:p>
        </w:tc>
        <w:tc>
          <w:tcPr>
            <w:tcW w:w="68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-4.362</w:t>
            </w:r>
            <w:r w:rsidR="00C057FD">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-2.316</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-3.944</w:t>
            </w:r>
            <w:r w:rsidR="00C057FD">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-2.399</w:t>
            </w:r>
            <w:r>
              <w:rPr>
                <w:color w:val="000000"/>
                <w:sz w:val="16"/>
                <w:szCs w:val="16"/>
                <w:lang w:eastAsia="tr-TR"/>
              </w:rPr>
              <w:t>*</w:t>
            </w:r>
          </w:p>
        </w:tc>
        <w:tc>
          <w:tcPr>
            <w:tcW w:w="708"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-4.375</w:t>
            </w:r>
            <w:r w:rsidR="00C057FD">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-2.836</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-4.122</w:t>
            </w:r>
            <w:r w:rsidR="00C057FD">
              <w:rPr>
                <w:color w:val="000000"/>
                <w:sz w:val="16"/>
                <w:szCs w:val="16"/>
                <w:lang w:eastAsia="tr-TR"/>
              </w:rPr>
              <w:t>*</w:t>
            </w:r>
          </w:p>
        </w:tc>
        <w:tc>
          <w:tcPr>
            <w:tcW w:w="694"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-2.879</w:t>
            </w:r>
            <w:r>
              <w:rPr>
                <w:color w:val="000000"/>
                <w:sz w:val="16"/>
                <w:szCs w:val="16"/>
                <w:lang w:eastAsia="tr-TR"/>
              </w:rPr>
              <w:t>*</w:t>
            </w:r>
          </w:p>
        </w:tc>
        <w:tc>
          <w:tcPr>
            <w:tcW w:w="709" w:type="dxa"/>
            <w:shd w:val="clear" w:color="auto" w:fill="auto"/>
            <w:noWrap/>
            <w:vAlign w:val="center"/>
            <w:hideMark/>
          </w:tcPr>
          <w:p w:rsidR="00952045" w:rsidRPr="00F132E4" w:rsidRDefault="00952045" w:rsidP="009C7F93">
            <w:pPr>
              <w:jc w:val="center"/>
              <w:rPr>
                <w:color w:val="000000"/>
                <w:sz w:val="16"/>
                <w:szCs w:val="16"/>
                <w:lang w:eastAsia="tr-TR"/>
              </w:rPr>
            </w:pPr>
            <w:r w:rsidRPr="00F132E4">
              <w:rPr>
                <w:color w:val="000000"/>
                <w:sz w:val="16"/>
                <w:szCs w:val="16"/>
                <w:lang w:eastAsia="tr-TR"/>
              </w:rPr>
              <w:t>-4.599</w:t>
            </w:r>
            <w:r w:rsidR="00C057FD">
              <w:rPr>
                <w:color w:val="000000"/>
                <w:sz w:val="16"/>
                <w:szCs w:val="16"/>
                <w:lang w:eastAsia="tr-TR"/>
              </w:rPr>
              <w:t>*</w:t>
            </w:r>
          </w:p>
        </w:tc>
      </w:tr>
    </w:tbl>
    <w:p w:rsidR="00A22ABC" w:rsidRPr="009C7F93" w:rsidRDefault="00A22ABC" w:rsidP="00D534C3">
      <w:pPr>
        <w:jc w:val="both"/>
        <w:rPr>
          <w:sz w:val="20"/>
          <w:szCs w:val="20"/>
        </w:rPr>
      </w:pPr>
      <w:r w:rsidRPr="009C7F93">
        <w:rPr>
          <w:b/>
          <w:sz w:val="20"/>
          <w:szCs w:val="20"/>
        </w:rPr>
        <w:t>Not:</w:t>
      </w:r>
      <w:r w:rsidRPr="009C7F93">
        <w:rPr>
          <w:sz w:val="20"/>
          <w:szCs w:val="20"/>
        </w:rPr>
        <w:t xml:space="preserve"> *:%1 , **:%5, ***:%10 anlamlılık düzeyini ifade </w:t>
      </w:r>
      <w:proofErr w:type="gramStart"/>
      <w:r w:rsidRPr="009C7F93">
        <w:rPr>
          <w:sz w:val="20"/>
          <w:szCs w:val="20"/>
        </w:rPr>
        <w:t>etmektedir.</w:t>
      </w:r>
      <w:r w:rsidR="00221AA4">
        <w:rPr>
          <w:sz w:val="20"/>
          <w:szCs w:val="20"/>
        </w:rPr>
        <w:t>CIPS</w:t>
      </w:r>
      <w:proofErr w:type="gramEnd"/>
      <w:r>
        <w:rPr>
          <w:sz w:val="20"/>
          <w:szCs w:val="20"/>
        </w:rPr>
        <w:t xml:space="preserve"> test istatistiği kritik değerleri  %1, %5 ve %10 değerleri sırasıyla -3.04, -2.81 ve -2.69’dur. Bu kritik değerler Pesaran (2009: 7) çalışmasından Tablo S1(c)’den alınmıştır. </w:t>
      </w:r>
      <w:r w:rsidR="00221AA4">
        <w:rPr>
          <w:sz w:val="20"/>
          <w:szCs w:val="20"/>
        </w:rPr>
        <w:t>CADF test istatistiği kritik değerleri  %1, %5 ve %10 değerleri sırasıyla -5.05, -4.18 ve -3.71’dir. Bu kritik değerler Pesaran (2009: 13) çalışmasından Tablo S2(c)’den alınmıştır.</w:t>
      </w:r>
    </w:p>
    <w:p w:rsidR="00D534C3" w:rsidRDefault="00D534C3" w:rsidP="00D534C3">
      <w:pPr>
        <w:spacing w:before="240" w:after="240" w:line="360" w:lineRule="auto"/>
        <w:ind w:firstLine="708"/>
        <w:jc w:val="both"/>
      </w:pPr>
      <w:r>
        <w:t xml:space="preserve">Paneli oluşturan ülke gruplarının sabit terimli ve trendli olarak hesaplanan CADF test istatistiği sonuçlarının bütün değişkenler için düzey değerlerinde birim kök içerdiği tespit edilmiştir. Ayrıca panelin tamamının da düzey değerlerinde birim kökün olduğu görülmüştür. </w:t>
      </w:r>
    </w:p>
    <w:p w:rsidR="006431F5" w:rsidRDefault="00C057FD" w:rsidP="00D534C3">
      <w:pPr>
        <w:spacing w:before="240" w:after="240" w:line="360" w:lineRule="auto"/>
        <w:ind w:firstLine="708"/>
        <w:jc w:val="both"/>
      </w:pPr>
      <w:r>
        <w:t xml:space="preserve">Modele dahil edilen </w:t>
      </w:r>
      <w:r w:rsidR="00974745">
        <w:t>değişkenlerin panelin</w:t>
      </w:r>
      <w:r>
        <w:t xml:space="preserve"> tamamı için düzey değerlerinde birim kök içerdiği ancak 1. Farkları alındığında birim kök içermediği görülmüştür. Dolayısıyla değişkenler I(1) olduğu iç</w:t>
      </w:r>
      <w:r w:rsidR="0028008B">
        <w:t>in Westerlund Durbin Hausman eş</w:t>
      </w:r>
      <w:r>
        <w:t>bütünleşme testine geçilmiştir.</w:t>
      </w:r>
    </w:p>
    <w:p w:rsidR="00B0658E" w:rsidRDefault="00B0658E" w:rsidP="00D534C3">
      <w:pPr>
        <w:spacing w:before="240" w:after="240" w:line="360" w:lineRule="auto"/>
        <w:ind w:firstLine="708"/>
        <w:jc w:val="both"/>
      </w:pPr>
    </w:p>
    <w:p w:rsidR="00B0658E" w:rsidRDefault="00B0658E" w:rsidP="00D534C3">
      <w:pPr>
        <w:spacing w:before="240" w:after="240" w:line="360" w:lineRule="auto"/>
        <w:ind w:firstLine="708"/>
        <w:jc w:val="both"/>
      </w:pPr>
    </w:p>
    <w:p w:rsidR="000D7B57" w:rsidRPr="0031716B" w:rsidRDefault="000624A1" w:rsidP="0031716B">
      <w:pPr>
        <w:pStyle w:val="Balk3"/>
        <w:numPr>
          <w:ilvl w:val="2"/>
          <w:numId w:val="30"/>
        </w:numPr>
      </w:pPr>
      <w:bookmarkStart w:id="187" w:name="_Toc384824037"/>
      <w:r>
        <w:lastRenderedPageBreak/>
        <w:t xml:space="preserve"> </w:t>
      </w:r>
      <w:r w:rsidR="00252C43">
        <w:t>Eş</w:t>
      </w:r>
      <w:r w:rsidR="00A20891" w:rsidRPr="0031716B">
        <w:rPr>
          <w:rStyle w:val="Balk3Char"/>
          <w:b/>
        </w:rPr>
        <w:t>bütünleşme Katsayıların</w:t>
      </w:r>
      <w:r w:rsidR="00A20891" w:rsidRPr="0031716B">
        <w:t xml:space="preserve"> Homojenliğinin Test Edilmesi (Slope Homogeneity Tests)</w:t>
      </w:r>
      <w:bookmarkEnd w:id="187"/>
      <w:r w:rsidR="00A20891" w:rsidRPr="0031716B">
        <w:t xml:space="preserve"> </w:t>
      </w:r>
    </w:p>
    <w:p w:rsidR="008C645F" w:rsidRDefault="00C057FD" w:rsidP="008C645F">
      <w:pPr>
        <w:tabs>
          <w:tab w:val="left" w:pos="709"/>
          <w:tab w:val="left" w:pos="1134"/>
          <w:tab w:val="left" w:pos="7938"/>
        </w:tabs>
        <w:spacing w:before="240" w:after="240" w:line="360" w:lineRule="auto"/>
        <w:jc w:val="both"/>
      </w:pPr>
      <w:r>
        <w:tab/>
      </w:r>
      <w:r w:rsidR="005766F7">
        <w:t>Eş</w:t>
      </w:r>
      <w:r w:rsidR="008C645F">
        <w:t>bütünleşme denkleminde eğim katsayısının homojen olup olmadığını belirlemeye yarayan bir testtir. Bu konudaki ilk çalışmalar, Swamy (1970) ile başlamıştır. Pesaran ve Yamagata (2008), Swamy testini geliştirmiştir. Bu testte;</w:t>
      </w:r>
    </w:p>
    <w:p w:rsidR="008C645F" w:rsidRDefault="00E56A11" w:rsidP="00A25079">
      <w:pPr>
        <w:tabs>
          <w:tab w:val="left" w:pos="709"/>
          <w:tab w:val="left" w:pos="1134"/>
          <w:tab w:val="left" w:pos="7938"/>
        </w:tabs>
        <w:spacing w:before="240" w:after="240" w:line="360" w:lineRule="auto"/>
        <w:ind w:left="720"/>
      </w:pP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it</m:t>
            </m:r>
          </m:sub>
        </m:sSub>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it</m:t>
            </m:r>
          </m:sub>
        </m:sSub>
      </m:oMath>
      <w:r w:rsidR="008C645F">
        <w:rPr>
          <w:rFonts w:eastAsiaTheme="minorEastAsia"/>
        </w:rPr>
        <w:t xml:space="preserve">                                                     </w:t>
      </w:r>
      <w:r w:rsidR="00A25079">
        <w:rPr>
          <w:rFonts w:eastAsiaTheme="minorEastAsia"/>
        </w:rPr>
        <w:t xml:space="preserve">                          (4.25</w:t>
      </w:r>
      <w:r w:rsidR="008C645F">
        <w:rPr>
          <w:rFonts w:eastAsiaTheme="minorEastAsia"/>
        </w:rPr>
        <w:t>)</w:t>
      </w:r>
    </w:p>
    <w:p w:rsidR="008C645F" w:rsidRDefault="008C645F" w:rsidP="00C057FD">
      <w:pPr>
        <w:spacing w:before="240" w:after="240" w:line="360" w:lineRule="auto"/>
        <w:ind w:firstLine="708"/>
        <w:jc w:val="both"/>
      </w:pPr>
      <w:r>
        <w:t xml:space="preserve">Şeklindeki genel bir eşbütünleşme denkleminde, </w:t>
      </w:r>
      <m:oMath>
        <m:sSub>
          <m:sSubPr>
            <m:ctrlPr>
              <w:rPr>
                <w:rFonts w:ascii="Cambria Math" w:hAnsi="Cambria Math"/>
                <w:i/>
              </w:rPr>
            </m:ctrlPr>
          </m:sSubPr>
          <m:e>
            <m:r>
              <w:rPr>
                <w:rFonts w:ascii="Cambria Math" w:hAnsi="Cambria Math"/>
              </w:rPr>
              <m:t>β</m:t>
            </m:r>
          </m:e>
          <m:sub>
            <m:r>
              <w:rPr>
                <w:rFonts w:ascii="Cambria Math" w:hAnsi="Cambria Math"/>
              </w:rPr>
              <m:t>i</m:t>
            </m:r>
          </m:sub>
        </m:sSub>
      </m:oMath>
      <w:r>
        <w:t xml:space="preserve"> eğim katsayılarının, yatay kesitler arasında farklı olup olmadığını test edilmektedir. Testin hipotezleri:</w:t>
      </w:r>
    </w:p>
    <w:p w:rsidR="008C645F" w:rsidRPr="002B1E84" w:rsidRDefault="008C645F" w:rsidP="008C645F">
      <w:pPr>
        <w:spacing w:line="360" w:lineRule="auto"/>
        <w:jc w:val="both"/>
      </w:pPr>
      <w:r>
        <w:tab/>
        <w:t xml:space="preserve"> </w:t>
      </w:r>
      <w:r w:rsidRPr="002B1E84">
        <w:rPr>
          <w:i/>
        </w:rPr>
        <w:t>H</w:t>
      </w:r>
      <w:r w:rsidRPr="002B1E84">
        <w:rPr>
          <w:i/>
          <w:vertAlign w:val="subscript"/>
        </w:rPr>
        <w:t>0</w:t>
      </w:r>
      <w:r w:rsidRPr="002B1E84">
        <w:t xml:space="preserve">: </w:t>
      </w:r>
      <w:r>
        <w:t xml:space="preserve"> </w:t>
      </w:r>
      <m:oMath>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=β</m:t>
        </m:r>
      </m:oMath>
      <w:r>
        <w:t xml:space="preserve">  Eğim katsayıları homojendir. </w:t>
      </w:r>
    </w:p>
    <w:p w:rsidR="008C645F" w:rsidRDefault="008C645F" w:rsidP="008C645F">
      <w:pPr>
        <w:spacing w:line="360" w:lineRule="auto"/>
      </w:pPr>
      <w:r>
        <w:rPr>
          <w:i/>
        </w:rPr>
        <w:tab/>
      </w:r>
      <w:r w:rsidRPr="002B1E84">
        <w:rPr>
          <w:i/>
        </w:rPr>
        <w:t>H</w:t>
      </w:r>
      <w:r w:rsidRPr="002B1E84">
        <w:rPr>
          <w:i/>
          <w:vertAlign w:val="subscript"/>
        </w:rPr>
        <w:t>1</w:t>
      </w:r>
      <w:r w:rsidRPr="002B1E84">
        <w:t xml:space="preserve">: </w:t>
      </w:r>
      <w:r>
        <w:t xml:space="preserve"> </w:t>
      </w:r>
      <m:oMath>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≠β</m:t>
        </m:r>
      </m:oMath>
      <w:r>
        <w:t xml:space="preserve">    Eğim katsayıları homojen değildir.</w:t>
      </w:r>
    </w:p>
    <w:p w:rsidR="008C645F" w:rsidRDefault="008C645F" w:rsidP="008C645F">
      <w:pPr>
        <w:spacing w:before="240" w:after="240" w:line="360" w:lineRule="auto"/>
        <w:jc w:val="both"/>
      </w:pPr>
      <w:r>
        <w:t xml:space="preserve">(4.24) nolu regresyon modelini önce panel OLS (Ordinary Least Squares) ile sonra da Ağırlıklandırılmış Sabit Etkiler  (Weighted Fixed Effect ) modeli ile tahmin ederek, gerekli test istatistiğini oluşturmaktadır. </w:t>
      </w:r>
      <w:r w:rsidRPr="00CB4543">
        <w:t>Pesaran and Yamagata (2008)</w:t>
      </w:r>
      <w:r>
        <w:t>, hipotezleri test edebilmek için iki farklı test istatistiği geliştirmiştir:</w:t>
      </w:r>
    </w:p>
    <w:p w:rsidR="008C645F" w:rsidRDefault="008C645F" w:rsidP="008C645F">
      <w:pPr>
        <w:spacing w:before="240" w:after="240" w:line="360" w:lineRule="auto"/>
      </w:pPr>
      <w:r>
        <w:t xml:space="preserve">Büyük Örneklemler İçin:    </w:t>
      </w:r>
      <m:oMath>
        <m:acc>
          <m:accPr>
            <m:ctrlPr>
              <w:rPr>
                <w:rFonts w:ascii="Cambria Math" w:hAnsi="Cambria Math"/>
                <w:i/>
              </w:rPr>
            </m:ctrlPr>
          </m:accPr>
          <m:e>
            <m:r>
              <w:rPr>
                <w:rFonts w:ascii="Cambria Math" w:hAnsi="Cambria Math"/>
              </w:rPr>
              <m:t>∆</m:t>
            </m:r>
          </m:e>
        </m:acc>
        <m:r>
          <w:rPr>
            <w:rFonts w:ascii="Cambria Math" w:hAnsi="Cambria Math"/>
          </w:rPr>
          <m:t>=</m:t>
        </m:r>
        <m:rad>
          <m:radPr>
            <m:degHide m:val="1"/>
            <m:ctrlPr>
              <w:rPr>
                <w:rFonts w:ascii="Cambria Math" w:hAnsi="Cambria Math"/>
                <w:i/>
              </w:rPr>
            </m:ctrlPr>
          </m:radPr>
          <m:deg/>
          <m:e>
            <m:r>
              <w:rPr>
                <w:rFonts w:ascii="Cambria Math" w:hAnsi="Cambria Math"/>
              </w:rPr>
              <m:t>N</m:t>
            </m:r>
          </m:e>
        </m:rad>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-1</m:t>
                    </m:r>
                  </m:sup>
                </m:sSup>
                <m:acc>
                  <m:accPr>
                    <m:chr m:val="̃"/>
                    <m:ctrlPr>
                      <w:rPr>
                        <w:rFonts w:ascii="Cambria Math" w:hAnsi="Cambria Math"/>
                        <w:i/>
                      </w:rPr>
                    </m:ctrlPr>
                  </m:accPr>
                  <m:e>
                    <m:r>
                      <w:rPr>
                        <w:rFonts w:ascii="Cambria Math" w:hAnsi="Cambria Math"/>
                      </w:rPr>
                      <m:t>S</m:t>
                    </m:r>
                  </m:e>
                </m:acc>
                <m:r>
                  <w:rPr>
                    <w:rFonts w:ascii="Cambria Math" w:hAnsi="Cambria Math"/>
                  </w:rPr>
                  <m:t>-k</m:t>
                </m:r>
              </m:num>
              <m:den>
                <m:r>
                  <w:rPr>
                    <w:rFonts w:ascii="Cambria Math" w:hAnsi="Cambria Math"/>
                  </w:rPr>
                  <m:t>2k</m:t>
                </m:r>
              </m:den>
            </m:f>
          </m:e>
        </m:d>
        <m:r>
          <w:rPr>
            <w:rFonts w:ascii="Cambria Math" w:hAnsi="Cambria Math"/>
          </w:rPr>
          <m:t>~</m:t>
        </m:r>
        <m:sSubSup>
          <m:sSubSupPr>
            <m:ctrlPr>
              <w:rPr>
                <w:rFonts w:ascii="Cambria Math" w:hAnsi="Cambria Math"/>
                <w:i/>
              </w:rPr>
            </m:ctrlPr>
          </m:sSubSupPr>
          <m:e>
            <m:r>
              <w:rPr>
                <w:rFonts w:ascii="Cambria Math" w:hAnsi="Cambria Math"/>
              </w:rPr>
              <m:t>χ</m:t>
            </m:r>
          </m:e>
          <m:sub>
            <m:r>
              <w:rPr>
                <w:rFonts w:ascii="Cambria Math" w:hAnsi="Cambria Math"/>
              </w:rPr>
              <m:t>k</m:t>
            </m:r>
          </m:sub>
          <m:sup>
            <m:r>
              <w:rPr>
                <w:rFonts w:ascii="Cambria Math" w:hAnsi="Cambria Math"/>
              </w:rPr>
              <m:t>2</m:t>
            </m:r>
          </m:sup>
        </m:sSubSup>
      </m:oMath>
      <w:r>
        <w:t xml:space="preserve">       </w:t>
      </w:r>
    </w:p>
    <w:p w:rsidR="008C645F" w:rsidRDefault="008C645F" w:rsidP="008C645F">
      <w:pPr>
        <w:spacing w:before="240" w:after="240" w:line="360" w:lineRule="auto"/>
      </w:pPr>
      <w:r>
        <w:t xml:space="preserve">Küçük Örneklemler İçin: </w:t>
      </w:r>
      <m:oMath>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m:t>
                </m:r>
              </m:e>
            </m:acc>
          </m:e>
          <m:sub>
            <m:r>
              <w:rPr>
                <w:rFonts w:ascii="Cambria Math" w:hAnsi="Cambria Math"/>
              </w:rPr>
              <m:t>adj</m:t>
            </m:r>
          </m:sub>
        </m:sSub>
        <m:r>
          <w:rPr>
            <w:rFonts w:ascii="Cambria Math" w:hAnsi="Cambria Math"/>
          </w:rPr>
          <m:t>=</m:t>
        </m:r>
        <m:rad>
          <m:radPr>
            <m:degHide m:val="1"/>
            <m:ctrlPr>
              <w:rPr>
                <w:rFonts w:ascii="Cambria Math" w:hAnsi="Cambria Math"/>
                <w:i/>
              </w:rPr>
            </m:ctrlPr>
          </m:radPr>
          <m:deg/>
          <m:e>
            <m:r>
              <w:rPr>
                <w:rFonts w:ascii="Cambria Math" w:hAnsi="Cambria Math"/>
              </w:rPr>
              <m:t>N</m:t>
            </m:r>
          </m:e>
        </m:rad>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-1</m:t>
                    </m:r>
                  </m:sup>
                </m:sSup>
                <m:acc>
                  <m:accPr>
                    <m:chr m:val="̃"/>
                    <m:ctrlPr>
                      <w:rPr>
                        <w:rFonts w:ascii="Cambria Math" w:hAnsi="Cambria Math"/>
                        <w:i/>
                      </w:rPr>
                    </m:ctrlPr>
                  </m:accPr>
                  <m:e>
                    <m:r>
                      <w:rPr>
                        <w:rFonts w:ascii="Cambria Math" w:hAnsi="Cambria Math"/>
                      </w:rPr>
                      <m:t>S</m:t>
                    </m:r>
                  </m:e>
                </m:acc>
                <m:r>
                  <w:rPr>
                    <w:rFonts w:ascii="Cambria Math" w:hAnsi="Cambria Math"/>
                  </w:rPr>
                  <m:t>-k</m:t>
                </m:r>
              </m:num>
              <m:den>
                <m:r>
                  <w:rPr>
                    <w:rFonts w:ascii="Cambria Math" w:hAnsi="Cambria Math"/>
                  </w:rPr>
                  <m:t>v(T,k)</m:t>
                </m:r>
              </m:den>
            </m:f>
          </m:e>
        </m:d>
        <m:r>
          <w:rPr>
            <w:rFonts w:ascii="Cambria Math" w:hAnsi="Cambria Math"/>
          </w:rPr>
          <m:t>~N(0,1)</m:t>
        </m:r>
      </m:oMath>
    </w:p>
    <w:p w:rsidR="008C645F" w:rsidRDefault="008C645F" w:rsidP="00964A44">
      <w:pPr>
        <w:spacing w:before="240" w:after="240" w:line="360" w:lineRule="auto"/>
        <w:ind w:firstLine="706"/>
        <w:jc w:val="both"/>
      </w:pPr>
      <w:r>
        <w:t xml:space="preserve">Burada N; yatay kesit sayısını, S; Swamy test istatistiğini, k; açıklayıcı değişken sayısını ve </w:t>
      </w:r>
      <m:oMath>
        <m:r>
          <w:rPr>
            <w:rFonts w:ascii="Cambria Math" w:hAnsi="Cambria Math"/>
          </w:rPr>
          <m:t>v(T,k)</m:t>
        </m:r>
      </m:oMath>
      <w:r>
        <w:t xml:space="preserve"> standart hatayı ifade etmektedir. Homojenlik testi sonuçları, Çizelge </w:t>
      </w:r>
      <w:proofErr w:type="gramStart"/>
      <w:r>
        <w:t>4.4'te</w:t>
      </w:r>
      <w:proofErr w:type="gramEnd"/>
      <w:r>
        <w:t xml:space="preserve"> verilmiştir.</w:t>
      </w:r>
    </w:p>
    <w:p w:rsidR="008C645F" w:rsidRDefault="008C645F" w:rsidP="000D38D2">
      <w:pPr>
        <w:pStyle w:val="it6"/>
      </w:pPr>
      <w:bookmarkStart w:id="188" w:name="_Toc384716102"/>
      <w:r>
        <w:t>Çizelge</w:t>
      </w:r>
      <w:r w:rsidRPr="00C84935">
        <w:t xml:space="preserve"> </w:t>
      </w:r>
      <w:proofErr w:type="gramStart"/>
      <w:r>
        <w:t>4.4</w:t>
      </w:r>
      <w:proofErr w:type="gramEnd"/>
      <w:r w:rsidRPr="00C84935">
        <w:t>:</w:t>
      </w:r>
      <w:r w:rsidRPr="00CB4543">
        <w:t xml:space="preserve"> </w:t>
      </w:r>
      <w:r w:rsidRPr="003D756D">
        <w:t>Homojenlik Testi Sonuçları</w:t>
      </w:r>
      <w:bookmarkEnd w:id="188"/>
    </w:p>
    <w:tbl>
      <w:tblPr>
        <w:tblStyle w:val="TabloKlavuzu"/>
        <w:tblW w:w="0" w:type="auto"/>
        <w:tblLook w:val="04A0" w:firstRow="1" w:lastRow="0" w:firstColumn="1" w:lastColumn="0" w:noHBand="0" w:noVBand="1"/>
      </w:tblPr>
      <w:tblGrid>
        <w:gridCol w:w="2448"/>
        <w:gridCol w:w="2160"/>
        <w:gridCol w:w="1917"/>
      </w:tblGrid>
      <w:tr w:rsidR="008C645F" w:rsidRPr="008522AA" w:rsidTr="002E2DB6">
        <w:trPr>
          <w:trHeight w:val="213"/>
        </w:trPr>
        <w:tc>
          <w:tcPr>
            <w:tcW w:w="2448" w:type="dxa"/>
            <w:shd w:val="clear" w:color="auto" w:fill="A6A6A6" w:themeFill="background1" w:themeFillShade="A6"/>
            <w:vAlign w:val="center"/>
          </w:tcPr>
          <w:p w:rsidR="008C645F" w:rsidRPr="00632D7F" w:rsidRDefault="008C645F" w:rsidP="002E2DB6">
            <w:pPr>
              <w:tabs>
                <w:tab w:val="left" w:pos="990"/>
              </w:tabs>
              <w:ind w:left="-138"/>
              <w:rPr>
                <w:rFonts w:eastAsiaTheme="minorEastAsia"/>
                <w:b/>
              </w:rPr>
            </w:pPr>
          </w:p>
        </w:tc>
        <w:tc>
          <w:tcPr>
            <w:tcW w:w="2160" w:type="dxa"/>
            <w:shd w:val="clear" w:color="auto" w:fill="A6A6A6" w:themeFill="background1" w:themeFillShade="A6"/>
            <w:vAlign w:val="center"/>
          </w:tcPr>
          <w:p w:rsidR="008C645F" w:rsidRPr="008522AA" w:rsidRDefault="008C645F" w:rsidP="002E2DB6">
            <w:pPr>
              <w:tabs>
                <w:tab w:val="left" w:pos="990"/>
              </w:tabs>
              <w:ind w:left="-106" w:firstLine="16"/>
              <w:jc w:val="center"/>
              <w:rPr>
                <w:rFonts w:eastAsiaTheme="minorEastAsia"/>
                <w:b/>
              </w:rPr>
            </w:pPr>
            <w:r w:rsidRPr="008522AA">
              <w:rPr>
                <w:rFonts w:eastAsiaTheme="minorEastAsia"/>
                <w:b/>
              </w:rPr>
              <w:t>Test İstatistiği</w:t>
            </w:r>
          </w:p>
        </w:tc>
        <w:tc>
          <w:tcPr>
            <w:tcW w:w="1917" w:type="dxa"/>
            <w:shd w:val="clear" w:color="auto" w:fill="A6A6A6" w:themeFill="background1" w:themeFillShade="A6"/>
            <w:vAlign w:val="center"/>
          </w:tcPr>
          <w:p w:rsidR="008C645F" w:rsidRPr="008522AA" w:rsidRDefault="008C645F" w:rsidP="002E2DB6">
            <w:pPr>
              <w:tabs>
                <w:tab w:val="left" w:pos="990"/>
              </w:tabs>
              <w:ind w:left="-106" w:firstLine="16"/>
              <w:jc w:val="center"/>
              <w:rPr>
                <w:rFonts w:eastAsiaTheme="minorEastAsia"/>
                <w:b/>
              </w:rPr>
            </w:pPr>
            <w:r w:rsidRPr="008522AA">
              <w:rPr>
                <w:rFonts w:eastAsiaTheme="minorEastAsia"/>
                <w:b/>
              </w:rPr>
              <w:t>Olasılık Değeri</w:t>
            </w:r>
          </w:p>
        </w:tc>
      </w:tr>
      <w:tr w:rsidR="008C645F" w:rsidRPr="008522AA" w:rsidTr="002E2DB6">
        <w:trPr>
          <w:trHeight w:val="231"/>
        </w:trPr>
        <w:tc>
          <w:tcPr>
            <w:tcW w:w="2448" w:type="dxa"/>
            <w:vAlign w:val="center"/>
          </w:tcPr>
          <w:p w:rsidR="008C645F" w:rsidRPr="00EE1E35" w:rsidRDefault="00E56A11" w:rsidP="002E2DB6">
            <w:pPr>
              <w:tabs>
                <w:tab w:val="left" w:pos="990"/>
              </w:tabs>
              <w:ind w:left="-106" w:firstLine="16"/>
              <w:jc w:val="center"/>
              <w:rPr>
                <w:rFonts w:eastAsiaTheme="minorEastAsia"/>
              </w:rPr>
            </w:pPr>
            <m:oMathPara>
              <m:oMathParaPr>
                <m:jc m:val="center"/>
              </m:oMathParaPr>
              <m:oMath>
                <m:acc>
                  <m:accPr>
                    <m:ctrlPr>
                      <w:rPr>
                        <w:rFonts w:ascii="Cambria Math" w:hAnsi="Cambria Math"/>
                        <w:i/>
                      </w:rPr>
                    </m:ctrlPr>
                  </m:accPr>
                  <m:e>
                    <m:r>
                      <w:rPr>
                        <w:rFonts w:ascii="Cambria Math" w:hAnsi="Cambria Math"/>
                      </w:rPr>
                      <m:t>∆</m:t>
                    </m:r>
                  </m:e>
                </m:acc>
              </m:oMath>
            </m:oMathPara>
          </w:p>
        </w:tc>
        <w:tc>
          <w:tcPr>
            <w:tcW w:w="2160" w:type="dxa"/>
            <w:vAlign w:val="center"/>
          </w:tcPr>
          <w:p w:rsidR="008C645F" w:rsidRPr="008522AA" w:rsidRDefault="00144311" w:rsidP="002E2DB6">
            <w:pPr>
              <w:tabs>
                <w:tab w:val="left" w:pos="990"/>
              </w:tabs>
              <w:ind w:left="-106" w:firstLine="16"/>
              <w:jc w:val="center"/>
              <w:rPr>
                <w:rFonts w:eastAsiaTheme="minorEastAsia"/>
              </w:rPr>
            </w:pPr>
            <w:r>
              <w:rPr>
                <w:rFonts w:eastAsiaTheme="minorEastAsia"/>
              </w:rPr>
              <w:t>44.540</w:t>
            </w:r>
          </w:p>
        </w:tc>
        <w:tc>
          <w:tcPr>
            <w:tcW w:w="1917" w:type="dxa"/>
            <w:vAlign w:val="center"/>
          </w:tcPr>
          <w:p w:rsidR="008C645F" w:rsidRPr="008522AA" w:rsidRDefault="008C645F" w:rsidP="002E2DB6">
            <w:pPr>
              <w:tabs>
                <w:tab w:val="left" w:pos="990"/>
              </w:tabs>
              <w:ind w:left="-106" w:firstLine="16"/>
              <w:jc w:val="center"/>
              <w:rPr>
                <w:rFonts w:eastAsiaTheme="minorEastAsia"/>
              </w:rPr>
            </w:pPr>
            <w:r w:rsidRPr="008522AA">
              <w:rPr>
                <w:rFonts w:eastAsiaTheme="minorEastAsia"/>
              </w:rPr>
              <w:t>0.</w:t>
            </w:r>
            <w:r>
              <w:rPr>
                <w:rFonts w:eastAsiaTheme="minorEastAsia"/>
              </w:rPr>
              <w:t>000</w:t>
            </w:r>
          </w:p>
        </w:tc>
      </w:tr>
      <w:tr w:rsidR="008C645F" w:rsidRPr="008522AA" w:rsidTr="002E2DB6">
        <w:trPr>
          <w:trHeight w:val="251"/>
        </w:trPr>
        <w:tc>
          <w:tcPr>
            <w:tcW w:w="2448" w:type="dxa"/>
            <w:vAlign w:val="center"/>
          </w:tcPr>
          <w:p w:rsidR="008C645F" w:rsidRPr="00EE1E35" w:rsidRDefault="00E56A11" w:rsidP="002E2DB6">
            <w:pPr>
              <w:tabs>
                <w:tab w:val="left" w:pos="990"/>
              </w:tabs>
              <w:ind w:left="-106" w:firstLine="16"/>
              <w:jc w:val="center"/>
              <w:rPr>
                <w:rFonts w:eastAsiaTheme="minorEastAsia"/>
              </w:rPr>
            </w:pPr>
            <m:oMathPara>
              <m:oMathParaPr>
                <m:jc m:val="center"/>
              </m:oMathParaPr>
              <m:oMath>
                <m:sSub>
                  <m:sSubPr>
                    <m:ctrlPr>
                      <w:rPr>
                        <w:rFonts w:ascii="Cambria Math" w:hAnsi="Cambria Math"/>
                        <w:i/>
                      </w:rPr>
                    </m:ctrlPr>
                  </m:sSubPr>
                  <m:e>
                    <m:acc>
                      <m:accPr>
                        <m:ctrlPr>
                          <w:rPr>
                            <w:rFonts w:ascii="Cambria Math" w:hAnsi="Cambria Math"/>
                            <w:i/>
                          </w:rPr>
                        </m:ctrlPr>
                      </m:accPr>
                      <m:e>
                        <m:r>
                          <w:rPr>
                            <w:rFonts w:ascii="Cambria Math" w:hAnsi="Cambria Math"/>
                          </w:rPr>
                          <m:t>∆</m:t>
                        </m:r>
                      </m:e>
                    </m:acc>
                  </m:e>
                  <m:sub>
                    <m:r>
                      <w:rPr>
                        <w:rFonts w:ascii="Cambria Math" w:hAnsi="Cambria Math"/>
                      </w:rPr>
                      <m:t>adj</m:t>
                    </m:r>
                  </m:sub>
                </m:sSub>
              </m:oMath>
            </m:oMathPara>
          </w:p>
        </w:tc>
        <w:tc>
          <w:tcPr>
            <w:tcW w:w="2160" w:type="dxa"/>
            <w:vAlign w:val="center"/>
          </w:tcPr>
          <w:p w:rsidR="008C645F" w:rsidRPr="008522AA" w:rsidRDefault="00144311" w:rsidP="002E2DB6">
            <w:pPr>
              <w:tabs>
                <w:tab w:val="left" w:pos="990"/>
              </w:tabs>
              <w:ind w:left="-106" w:firstLine="16"/>
              <w:jc w:val="center"/>
              <w:rPr>
                <w:rFonts w:eastAsiaTheme="minorEastAsia"/>
              </w:rPr>
            </w:pPr>
            <w:r>
              <w:rPr>
                <w:rFonts w:eastAsiaTheme="minorEastAsia"/>
              </w:rPr>
              <w:t>8</w:t>
            </w:r>
            <w:r w:rsidR="008C645F">
              <w:rPr>
                <w:rFonts w:eastAsiaTheme="minorEastAsia"/>
              </w:rPr>
              <w:t>8</w:t>
            </w:r>
            <w:r w:rsidR="008C645F" w:rsidRPr="008522AA">
              <w:rPr>
                <w:rFonts w:eastAsiaTheme="minorEastAsia"/>
              </w:rPr>
              <w:t>.</w:t>
            </w:r>
            <w:r>
              <w:rPr>
                <w:rFonts w:eastAsiaTheme="minorEastAsia"/>
              </w:rPr>
              <w:t>109</w:t>
            </w:r>
          </w:p>
        </w:tc>
        <w:tc>
          <w:tcPr>
            <w:tcW w:w="1917" w:type="dxa"/>
            <w:vAlign w:val="center"/>
          </w:tcPr>
          <w:p w:rsidR="008C645F" w:rsidRPr="008522AA" w:rsidRDefault="008C645F" w:rsidP="002E2DB6">
            <w:pPr>
              <w:tabs>
                <w:tab w:val="left" w:pos="990"/>
              </w:tabs>
              <w:ind w:left="-106" w:firstLine="16"/>
              <w:jc w:val="center"/>
              <w:rPr>
                <w:rFonts w:eastAsiaTheme="minorEastAsia"/>
              </w:rPr>
            </w:pPr>
            <w:r w:rsidRPr="008522AA">
              <w:rPr>
                <w:rFonts w:eastAsiaTheme="minorEastAsia"/>
              </w:rPr>
              <w:t>0.</w:t>
            </w:r>
            <w:r>
              <w:rPr>
                <w:rFonts w:eastAsiaTheme="minorEastAsia"/>
              </w:rPr>
              <w:t>000</w:t>
            </w:r>
          </w:p>
        </w:tc>
      </w:tr>
    </w:tbl>
    <w:p w:rsidR="008C645F" w:rsidRPr="0036799D" w:rsidRDefault="008C645F" w:rsidP="008C645F">
      <w:pPr>
        <w:tabs>
          <w:tab w:val="left" w:pos="709"/>
        </w:tabs>
        <w:spacing w:before="240" w:after="240" w:line="360" w:lineRule="auto"/>
        <w:jc w:val="both"/>
        <w:rPr>
          <w:b/>
        </w:rPr>
      </w:pPr>
      <w:r>
        <w:rPr>
          <w:rFonts w:eastAsiaTheme="minorEastAsia"/>
        </w:rPr>
        <w:tab/>
        <w:t xml:space="preserve">Çizelge </w:t>
      </w:r>
      <w:proofErr w:type="gramStart"/>
      <w:r>
        <w:rPr>
          <w:rFonts w:eastAsiaTheme="minorEastAsia"/>
        </w:rPr>
        <w:t>4.4'te</w:t>
      </w:r>
      <w:proofErr w:type="gramEnd"/>
      <w:r>
        <w:rPr>
          <w:rFonts w:eastAsiaTheme="minorEastAsia"/>
        </w:rPr>
        <w:t xml:space="preserve"> hesaplanan testlerin o</w:t>
      </w:r>
      <w:r w:rsidRPr="00CB4543">
        <w:rPr>
          <w:rFonts w:eastAsiaTheme="minorEastAsia"/>
        </w:rPr>
        <w:t xml:space="preserve">lasılık değerleri 0.05’ten </w:t>
      </w:r>
      <w:r>
        <w:rPr>
          <w:rFonts w:eastAsiaTheme="minorEastAsia"/>
        </w:rPr>
        <w:t>küçük</w:t>
      </w:r>
      <w:r w:rsidRPr="00CB4543">
        <w:rPr>
          <w:rFonts w:eastAsiaTheme="minorEastAsia"/>
        </w:rPr>
        <w:t xml:space="preserve"> olduğu için, H</w:t>
      </w:r>
      <w:r w:rsidRPr="00045026">
        <w:rPr>
          <w:rFonts w:eastAsiaTheme="minorEastAsia"/>
          <w:vertAlign w:val="subscript"/>
        </w:rPr>
        <w:t>0</w:t>
      </w:r>
      <w:r w:rsidRPr="00CB4543">
        <w:rPr>
          <w:rFonts w:eastAsiaTheme="minorEastAsia"/>
        </w:rPr>
        <w:t xml:space="preserve"> </w:t>
      </w:r>
      <w:r>
        <w:rPr>
          <w:rFonts w:eastAsiaTheme="minorEastAsia"/>
        </w:rPr>
        <w:t>hipotezi red edilmiş ve</w:t>
      </w:r>
      <w:r w:rsidRPr="00B137BE">
        <w:rPr>
          <w:rFonts w:eastAsiaTheme="minorEastAsia"/>
        </w:rPr>
        <w:t xml:space="preserve"> </w:t>
      </w:r>
      <w:r w:rsidRPr="00CB4543">
        <w:rPr>
          <w:rFonts w:eastAsiaTheme="minorEastAsia"/>
        </w:rPr>
        <w:t>H</w:t>
      </w:r>
      <w:r>
        <w:rPr>
          <w:rFonts w:eastAsiaTheme="minorEastAsia"/>
          <w:vertAlign w:val="subscript"/>
        </w:rPr>
        <w:t>1</w:t>
      </w:r>
      <w:r>
        <w:rPr>
          <w:rFonts w:eastAsiaTheme="minorEastAsia"/>
        </w:rPr>
        <w:t xml:space="preserve"> hipotezi kabul edilmiştir. </w:t>
      </w:r>
      <w:r w:rsidRPr="00CB4543">
        <w:rPr>
          <w:rFonts w:eastAsiaTheme="minorEastAsia"/>
        </w:rPr>
        <w:t xml:space="preserve"> Eş bütünleşme denkleminde, </w:t>
      </w:r>
      <w:r>
        <w:rPr>
          <w:rFonts w:eastAsiaTheme="minorEastAsia"/>
        </w:rPr>
        <w:t xml:space="preserve">sabit terim ve </w:t>
      </w:r>
      <w:r w:rsidRPr="00CB4543">
        <w:rPr>
          <w:rFonts w:eastAsiaTheme="minorEastAsia"/>
        </w:rPr>
        <w:t xml:space="preserve">eğim katsayılarının </w:t>
      </w:r>
      <w:r>
        <w:rPr>
          <w:rFonts w:eastAsiaTheme="minorEastAsia"/>
        </w:rPr>
        <w:t>heterojen</w:t>
      </w:r>
      <w:r w:rsidRPr="0036799D">
        <w:rPr>
          <w:rFonts w:eastAsiaTheme="minorEastAsia"/>
        </w:rPr>
        <w:t xml:space="preserve"> olduğuna karar verilmiştir. Bu durumda, </w:t>
      </w:r>
      <w:r w:rsidR="00F90232">
        <w:rPr>
          <w:rFonts w:eastAsiaTheme="minorEastAsia"/>
        </w:rPr>
        <w:t>her ülke için yapılacak eş</w:t>
      </w:r>
      <w:r w:rsidRPr="0036799D">
        <w:rPr>
          <w:rFonts w:eastAsiaTheme="minorEastAsia"/>
        </w:rPr>
        <w:t>bütünleşme yorumları geçerlidir ve güvenilebilir (</w:t>
      </w:r>
      <w:r w:rsidRPr="0036799D">
        <w:t>Pesaran and Yamagata, 2008)</w:t>
      </w:r>
      <w:r w:rsidRPr="0036799D">
        <w:rPr>
          <w:rFonts w:eastAsiaTheme="minorEastAsia"/>
        </w:rPr>
        <w:t>.</w:t>
      </w:r>
    </w:p>
    <w:p w:rsidR="008C645F" w:rsidRPr="0031716B" w:rsidRDefault="000624A1" w:rsidP="002224EA">
      <w:pPr>
        <w:pStyle w:val="Balk3"/>
        <w:numPr>
          <w:ilvl w:val="2"/>
          <w:numId w:val="30"/>
        </w:numPr>
      </w:pPr>
      <w:bookmarkStart w:id="189" w:name="_Toc384824038"/>
      <w:r>
        <w:lastRenderedPageBreak/>
        <w:t xml:space="preserve"> </w:t>
      </w:r>
      <w:r w:rsidR="008C645F" w:rsidRPr="0031716B">
        <w:t>Panel Westerlund Durbin H</w:t>
      </w:r>
      <w:r w:rsidR="00C057FD" w:rsidRPr="0031716B">
        <w:t>ausman</w:t>
      </w:r>
      <w:r w:rsidR="00252C43">
        <w:t xml:space="preserve"> Eş</w:t>
      </w:r>
      <w:r w:rsidR="008C645F" w:rsidRPr="0031716B">
        <w:t>bütünleşme Testi</w:t>
      </w:r>
      <w:bookmarkEnd w:id="189"/>
    </w:p>
    <w:p w:rsidR="00A832E7" w:rsidRPr="00C72F99" w:rsidRDefault="00A832E7" w:rsidP="00A832E7">
      <w:pPr>
        <w:spacing w:before="240" w:after="240" w:line="360" w:lineRule="auto"/>
        <w:ind w:firstLine="708"/>
        <w:jc w:val="both"/>
      </w:pPr>
      <w:r w:rsidRPr="00C72F99">
        <w:t>Çalışmanın bu aşamasında paneldeki serilerin uyum derecesninin I(1) olduğundan hareketle eşbütünleşme araştırması yapılmıştır. Eşbütünleşme testleri seçiminde yatay kesit bağımlılığını dikkate alan ve aynı zamanda açıklayıcı değişkenlerden bazılarının I(0) olmasına da imkan veren Westerlund tarafından önerilen iki test vardır: birincisi Durbin Hausman panel testi, ikincisi ise Durbin Hausman grup testidir. Bu test otoregresif parametrenin sektörler arasında değişmediğini varsayar. Test Fisher</w:t>
      </w:r>
      <w:r w:rsidRPr="00C72F99">
        <w:rPr>
          <w:rStyle w:val="DipnotBavurusu"/>
        </w:rPr>
        <w:footnoteReference w:customMarkFollows="1" w:id="44"/>
        <w:sym w:font="Symbol" w:char="F02A"/>
      </w:r>
      <w:r w:rsidRPr="00C72F99">
        <w:t xml:space="preserve"> denkleminden hareket eder</w:t>
      </w:r>
      <w:r>
        <w:t xml:space="preserve"> (Westerlund, 2008: 196-</w:t>
      </w:r>
      <w:r w:rsidRPr="00C72F99">
        <w:t>199) ve ilk test olan Durbin Hausman panel testinin hipotezleri aşağıdaki şekildedir:</w:t>
      </w:r>
    </w:p>
    <w:p w:rsidR="00A832E7" w:rsidRPr="00C72F99" w:rsidRDefault="00A832E7" w:rsidP="00375FEF">
      <w:pPr>
        <w:pStyle w:val="GvdeMetni"/>
        <w:spacing w:before="120" w:line="360" w:lineRule="auto"/>
        <w:ind w:firstLine="706"/>
        <w:jc w:val="both"/>
        <w:rPr>
          <w:i/>
          <w:vertAlign w:val="superscript"/>
        </w:rPr>
      </w:pPr>
      <w:r w:rsidRPr="00C72F99">
        <w:rPr>
          <w:i/>
        </w:rPr>
        <w:t>H</w:t>
      </w:r>
      <w:r w:rsidRPr="00C72F99">
        <w:rPr>
          <w:i/>
          <w:vertAlign w:val="subscript"/>
        </w:rPr>
        <w:t>0</w:t>
      </w:r>
      <w:r w:rsidRPr="00C72F99">
        <w:rPr>
          <w:i/>
        </w:rPr>
        <w:t xml:space="preserve"> :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C72F99">
        <w:rPr>
          <w:i/>
        </w:rPr>
        <w:t xml:space="preserve">= 0       </w:t>
      </w:r>
      <w:r w:rsidRPr="00C72F99">
        <w:rPr>
          <w:i/>
        </w:rPr>
        <w:tab/>
      </w:r>
      <w:r w:rsidRPr="00C72F99">
        <w:rPr>
          <w:i/>
        </w:rPr>
        <w:tab/>
      </w:r>
      <w:r w:rsidRPr="00C72F99">
        <w:rPr>
          <w:i/>
        </w:rPr>
        <w:tab/>
      </w:r>
      <w:r w:rsidRPr="00C72F99">
        <w:rPr>
          <w:i/>
        </w:rPr>
        <w:tab/>
      </w:r>
      <w:r w:rsidRPr="00C72F99">
        <w:rPr>
          <w:i/>
        </w:rPr>
        <w:tab/>
      </w:r>
      <w:r w:rsidRPr="00C72F99">
        <w:rPr>
          <w:i/>
        </w:rPr>
        <w:tab/>
      </w:r>
    </w:p>
    <w:p w:rsidR="00A832E7" w:rsidRPr="00C72F99" w:rsidRDefault="00A832E7" w:rsidP="00375FEF">
      <w:pPr>
        <w:spacing w:before="120" w:after="120" w:line="360" w:lineRule="auto"/>
        <w:ind w:firstLine="706"/>
        <w:jc w:val="both"/>
      </w:pPr>
      <w:r w:rsidRPr="00C72F99">
        <w:rPr>
          <w:i/>
        </w:rPr>
        <w:t xml:space="preserve"> H</w:t>
      </w:r>
      <w:r w:rsidRPr="00C72F99">
        <w:rPr>
          <w:i/>
          <w:vertAlign w:val="subscript"/>
        </w:rPr>
        <w:t xml:space="preserve">A </w:t>
      </w:r>
      <w:r w:rsidRPr="00C72F99">
        <w:rPr>
          <w:i/>
        </w:rPr>
        <w:t xml:space="preserve">: </w:t>
      </w:r>
      <m:oMath>
        <m:sSub>
          <m:sSubPr>
            <m:ctrlPr>
              <w:rPr>
                <w:rFonts w:ascii="Cambria Math" w:hAnsi="Cambria Math"/>
                <w:i/>
                <w:color w:val="000000"/>
                <w:lang w:eastAsia="tr-TR"/>
              </w:rPr>
            </m:ctrlPr>
          </m:sSubPr>
          <m:e>
            <m:r>
              <w:rPr>
                <w:rFonts w:ascii="Cambria Math" w:hAnsi="Cambria Math"/>
              </w:rPr>
              <m:t>α</m:t>
            </m:r>
          </m:e>
          <m:sub>
            <m:r>
              <w:rPr>
                <w:rFonts w:ascii="Cambria Math" w:hAnsi="Cambria Math"/>
              </w:rPr>
              <m:t>i</m:t>
            </m:r>
          </m:sub>
        </m:sSub>
      </m:oMath>
      <w:r w:rsidRPr="00C72F99">
        <w:rPr>
          <w:i/>
        </w:rPr>
        <w:t xml:space="preserve">&lt; 0,  </w:t>
      </w:r>
      <w:r w:rsidRPr="00C72F99">
        <w:t xml:space="preserve">şeklindedir.  </w:t>
      </w:r>
    </w:p>
    <w:p w:rsidR="00A832E7" w:rsidRDefault="00A832E7" w:rsidP="00A832E7">
      <w:pPr>
        <w:spacing w:before="240" w:after="240" w:line="360" w:lineRule="auto"/>
        <w:ind w:firstLine="706"/>
        <w:jc w:val="both"/>
      </w:pPr>
      <w:r w:rsidRPr="00C72F99">
        <w:t xml:space="preserve">Boş hiptotez reddedilirse, panelin tümü için, eşbütünleşme ilişkisinin olduğu sonucu elde edilir. İkinci test, Durbin-Hausman grup testi ise katsayıların sektörler arasında farklılaşmasına izin verir. Bu testin hipotezleri de Durbin Hausman panel testindeki hipotezlerle aynıdır. Gruplar için olan testin boş hipotezinin reddedilmesi halinde en azından bazı sektörlerde eşbütünleşme ilişkisinin var olduğu sonucuna ulaşılır. Test sonuçları Çizelge </w:t>
      </w:r>
      <w:proofErr w:type="gramStart"/>
      <w:r w:rsidRPr="00C72F99">
        <w:t>4.5’te</w:t>
      </w:r>
      <w:proofErr w:type="gramEnd"/>
      <w:r w:rsidRPr="00C72F99">
        <w:t xml:space="preserve"> sunulmaktadır. </w:t>
      </w:r>
    </w:p>
    <w:p w:rsidR="00A832E7" w:rsidRPr="003D756D" w:rsidRDefault="00A832E7" w:rsidP="000D38D2">
      <w:pPr>
        <w:pStyle w:val="it6"/>
      </w:pPr>
      <w:bookmarkStart w:id="190" w:name="_Toc384716103"/>
      <w:r w:rsidRPr="003D756D">
        <w:t xml:space="preserve">Çizelge 4. </w:t>
      </w:r>
      <w:r>
        <w:t>5</w:t>
      </w:r>
      <w:r w:rsidRPr="003D756D">
        <w:t>: Westerlund Durbin H</w:t>
      </w:r>
      <w:r w:rsidR="00C057FD">
        <w:t>ausman</w:t>
      </w:r>
      <w:r w:rsidRPr="003D756D">
        <w:t xml:space="preserve"> Eşbütünleşme Test Sonuçları</w:t>
      </w:r>
      <w:bookmarkEnd w:id="190"/>
    </w:p>
    <w:tbl>
      <w:tblPr>
        <w:tblW w:w="8574" w:type="dxa"/>
        <w:tblInd w:w="70" w:type="dxa"/>
        <w:tblCellMar>
          <w:left w:w="70" w:type="dxa"/>
          <w:right w:w="70" w:type="dxa"/>
        </w:tblCellMar>
        <w:tblLook w:val="04A0" w:firstRow="1" w:lastRow="0" w:firstColumn="1" w:lastColumn="0" w:noHBand="0" w:noVBand="1"/>
      </w:tblPr>
      <w:tblGrid>
        <w:gridCol w:w="2512"/>
        <w:gridCol w:w="2610"/>
        <w:gridCol w:w="1726"/>
        <w:gridCol w:w="1726"/>
      </w:tblGrid>
      <w:tr w:rsidR="00252C43" w:rsidTr="00252C43">
        <w:trPr>
          <w:trHeight w:val="315"/>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tcPr>
          <w:p w:rsidR="00252C43" w:rsidRPr="00252C43" w:rsidRDefault="00252C43" w:rsidP="00252C43">
            <w:pPr>
              <w:spacing w:after="120"/>
              <w:jc w:val="center"/>
              <w:rPr>
                <w:b/>
                <w:color w:val="000000"/>
                <w:sz w:val="20"/>
              </w:rPr>
            </w:pPr>
            <w:r>
              <w:rPr>
                <w:b/>
                <w:color w:val="000000"/>
                <w:sz w:val="20"/>
              </w:rPr>
              <w:t>Testler</w:t>
            </w:r>
          </w:p>
        </w:tc>
        <w:tc>
          <w:tcPr>
            <w:tcW w:w="2610" w:type="dxa"/>
            <w:tcBorders>
              <w:top w:val="single" w:sz="4" w:space="0" w:color="auto"/>
              <w:left w:val="nil"/>
              <w:bottom w:val="single" w:sz="4" w:space="0" w:color="auto"/>
              <w:right w:val="single" w:sz="4" w:space="0" w:color="auto"/>
            </w:tcBorders>
            <w:shd w:val="clear" w:color="auto" w:fill="auto"/>
            <w:vAlign w:val="center"/>
          </w:tcPr>
          <w:p w:rsidR="00252C43" w:rsidRPr="00252C43" w:rsidRDefault="00252C43" w:rsidP="00252C43">
            <w:pPr>
              <w:spacing w:after="120"/>
              <w:jc w:val="center"/>
              <w:rPr>
                <w:rFonts w:eastAsiaTheme="minorEastAsia"/>
                <w:b/>
                <w:color w:val="000000"/>
                <w:sz w:val="20"/>
              </w:rPr>
            </w:pPr>
            <w:r w:rsidRPr="00252C43">
              <w:rPr>
                <w:rFonts w:eastAsiaTheme="minorEastAsia"/>
                <w:b/>
                <w:color w:val="000000"/>
                <w:sz w:val="20"/>
              </w:rPr>
              <w:t>lgdp</w:t>
            </w:r>
          </w:p>
        </w:tc>
        <w:tc>
          <w:tcPr>
            <w:tcW w:w="1726" w:type="dxa"/>
            <w:tcBorders>
              <w:top w:val="single" w:sz="4" w:space="0" w:color="auto"/>
              <w:left w:val="nil"/>
              <w:bottom w:val="single" w:sz="4" w:space="0" w:color="auto"/>
              <w:right w:val="single" w:sz="4" w:space="0" w:color="auto"/>
            </w:tcBorders>
            <w:vAlign w:val="center"/>
          </w:tcPr>
          <w:p w:rsidR="00252C43" w:rsidRPr="00252C43" w:rsidRDefault="00252C43" w:rsidP="00252C43">
            <w:pPr>
              <w:spacing w:after="120"/>
              <w:jc w:val="center"/>
              <w:rPr>
                <w:rFonts w:eastAsiaTheme="minorEastAsia"/>
                <w:b/>
                <w:color w:val="000000"/>
                <w:sz w:val="20"/>
              </w:rPr>
            </w:pPr>
            <w:r w:rsidRPr="00252C43">
              <w:rPr>
                <w:rFonts w:eastAsiaTheme="minorEastAsia"/>
                <w:b/>
                <w:color w:val="000000"/>
                <w:sz w:val="20"/>
              </w:rPr>
              <w:t>lec</w:t>
            </w:r>
          </w:p>
        </w:tc>
        <w:tc>
          <w:tcPr>
            <w:tcW w:w="1726" w:type="dxa"/>
            <w:tcBorders>
              <w:top w:val="single" w:sz="4" w:space="0" w:color="auto"/>
              <w:left w:val="nil"/>
              <w:bottom w:val="single" w:sz="4" w:space="0" w:color="auto"/>
              <w:right w:val="single" w:sz="4" w:space="0" w:color="auto"/>
            </w:tcBorders>
            <w:vAlign w:val="center"/>
          </w:tcPr>
          <w:p w:rsidR="00252C43" w:rsidRPr="00252C43" w:rsidRDefault="00252C43" w:rsidP="00252C43">
            <w:pPr>
              <w:spacing w:after="120"/>
              <w:jc w:val="center"/>
              <w:rPr>
                <w:rFonts w:eastAsiaTheme="minorEastAsia"/>
                <w:b/>
                <w:color w:val="000000"/>
                <w:sz w:val="20"/>
              </w:rPr>
            </w:pPr>
            <w:r w:rsidRPr="00252C43">
              <w:rPr>
                <w:rFonts w:eastAsiaTheme="minorEastAsia"/>
                <w:b/>
                <w:color w:val="000000"/>
                <w:sz w:val="20"/>
              </w:rPr>
              <w:t>Opex ve Opim</w:t>
            </w:r>
          </w:p>
        </w:tc>
      </w:tr>
      <w:tr w:rsidR="00252C43" w:rsidTr="00252C43">
        <w:trPr>
          <w:trHeight w:val="315"/>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C43" w:rsidRPr="00370F98" w:rsidRDefault="00252C43" w:rsidP="00252C43">
            <w:pPr>
              <w:spacing w:after="120"/>
              <w:jc w:val="center"/>
              <w:rPr>
                <w:color w:val="000000"/>
                <w:sz w:val="20"/>
              </w:rPr>
            </w:pPr>
            <w:r w:rsidRPr="00370F98">
              <w:rPr>
                <w:color w:val="000000"/>
                <w:sz w:val="20"/>
              </w:rPr>
              <w:t>Durbin-H Grup İstatistiği</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rsidR="00252C43" w:rsidRPr="00370F98" w:rsidRDefault="00252C43" w:rsidP="00252C43">
            <w:pPr>
              <w:spacing w:after="120"/>
              <w:jc w:val="center"/>
              <w:rPr>
                <w:color w:val="000000"/>
                <w:sz w:val="20"/>
              </w:rPr>
            </w:pPr>
            <w:r>
              <w:rPr>
                <w:rFonts w:eastAsiaTheme="minorEastAsia"/>
                <w:color w:val="000000"/>
                <w:sz w:val="20"/>
              </w:rPr>
              <w:t>3250</w:t>
            </w:r>
            <w:r w:rsidRPr="00370F98">
              <w:rPr>
                <w:rFonts w:eastAsiaTheme="minorEastAsia"/>
                <w:color w:val="000000"/>
                <w:sz w:val="20"/>
              </w:rPr>
              <w:t>.</w:t>
            </w:r>
            <w:r>
              <w:rPr>
                <w:rFonts w:eastAsiaTheme="minorEastAsia"/>
                <w:color w:val="000000"/>
                <w:sz w:val="20"/>
              </w:rPr>
              <w:t>713</w:t>
            </w:r>
          </w:p>
        </w:tc>
        <w:tc>
          <w:tcPr>
            <w:tcW w:w="1726" w:type="dxa"/>
            <w:tcBorders>
              <w:top w:val="single" w:sz="4" w:space="0" w:color="auto"/>
              <w:left w:val="nil"/>
              <w:bottom w:val="single" w:sz="4" w:space="0" w:color="auto"/>
              <w:right w:val="single" w:sz="4" w:space="0" w:color="auto"/>
            </w:tcBorders>
            <w:vAlign w:val="center"/>
          </w:tcPr>
          <w:p w:rsidR="00252C43" w:rsidRPr="00370F98" w:rsidRDefault="00252C43" w:rsidP="00252C43">
            <w:pPr>
              <w:spacing w:after="120"/>
              <w:jc w:val="center"/>
              <w:rPr>
                <w:rFonts w:eastAsiaTheme="minorEastAsia"/>
                <w:color w:val="000000"/>
                <w:sz w:val="20"/>
              </w:rPr>
            </w:pPr>
            <w:r>
              <w:rPr>
                <w:rFonts w:eastAsiaTheme="minorEastAsia"/>
                <w:color w:val="000000"/>
                <w:sz w:val="20"/>
              </w:rPr>
              <w:t>1395.711</w:t>
            </w:r>
          </w:p>
        </w:tc>
        <w:tc>
          <w:tcPr>
            <w:tcW w:w="1726" w:type="dxa"/>
            <w:tcBorders>
              <w:top w:val="single" w:sz="4" w:space="0" w:color="auto"/>
              <w:left w:val="nil"/>
              <w:bottom w:val="single" w:sz="4" w:space="0" w:color="auto"/>
              <w:right w:val="single" w:sz="4" w:space="0" w:color="auto"/>
            </w:tcBorders>
            <w:vAlign w:val="center"/>
          </w:tcPr>
          <w:p w:rsidR="00252C43" w:rsidRPr="00370F98" w:rsidRDefault="007D76A4" w:rsidP="00252C43">
            <w:pPr>
              <w:spacing w:after="120"/>
              <w:jc w:val="center"/>
              <w:rPr>
                <w:rFonts w:eastAsiaTheme="minorEastAsia"/>
                <w:color w:val="000000"/>
                <w:sz w:val="20"/>
              </w:rPr>
            </w:pPr>
            <w:r>
              <w:rPr>
                <w:rFonts w:eastAsiaTheme="minorEastAsia"/>
                <w:color w:val="000000"/>
                <w:sz w:val="20"/>
              </w:rPr>
              <w:t>13283.570</w:t>
            </w:r>
          </w:p>
        </w:tc>
      </w:tr>
      <w:tr w:rsidR="00252C43" w:rsidTr="00252C43">
        <w:trPr>
          <w:trHeight w:val="315"/>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252C43" w:rsidRPr="00370F98" w:rsidRDefault="00252C43" w:rsidP="00252C43">
            <w:pPr>
              <w:spacing w:after="120"/>
              <w:jc w:val="center"/>
              <w:rPr>
                <w:color w:val="000000"/>
                <w:sz w:val="20"/>
              </w:rPr>
            </w:pPr>
            <w:r w:rsidRPr="00370F98">
              <w:rPr>
                <w:color w:val="000000"/>
                <w:sz w:val="20"/>
              </w:rPr>
              <w:t>P-değeri</w:t>
            </w:r>
          </w:p>
        </w:tc>
        <w:tc>
          <w:tcPr>
            <w:tcW w:w="2610" w:type="dxa"/>
            <w:tcBorders>
              <w:top w:val="nil"/>
              <w:left w:val="nil"/>
              <w:bottom w:val="single" w:sz="4" w:space="0" w:color="auto"/>
              <w:right w:val="single" w:sz="4" w:space="0" w:color="auto"/>
            </w:tcBorders>
            <w:shd w:val="clear" w:color="auto" w:fill="auto"/>
            <w:vAlign w:val="center"/>
            <w:hideMark/>
          </w:tcPr>
          <w:p w:rsidR="00252C43" w:rsidRPr="00370F98" w:rsidRDefault="00252C43" w:rsidP="00252C43">
            <w:pPr>
              <w:spacing w:after="120"/>
              <w:jc w:val="center"/>
              <w:rPr>
                <w:color w:val="000000"/>
                <w:sz w:val="20"/>
              </w:rPr>
            </w:pPr>
            <w:r w:rsidRPr="00370F98">
              <w:rPr>
                <w:rFonts w:eastAsiaTheme="minorEastAsia"/>
                <w:color w:val="000000"/>
                <w:sz w:val="20"/>
              </w:rPr>
              <w:t>0.000</w:t>
            </w:r>
          </w:p>
        </w:tc>
        <w:tc>
          <w:tcPr>
            <w:tcW w:w="1726" w:type="dxa"/>
            <w:tcBorders>
              <w:top w:val="nil"/>
              <w:left w:val="nil"/>
              <w:bottom w:val="single" w:sz="4" w:space="0" w:color="auto"/>
              <w:right w:val="single" w:sz="4" w:space="0" w:color="auto"/>
            </w:tcBorders>
            <w:vAlign w:val="center"/>
          </w:tcPr>
          <w:p w:rsidR="00252C43" w:rsidRPr="00370F98" w:rsidRDefault="00252C43" w:rsidP="00252C43">
            <w:pPr>
              <w:spacing w:after="120"/>
              <w:jc w:val="center"/>
              <w:rPr>
                <w:rFonts w:eastAsiaTheme="minorEastAsia"/>
                <w:color w:val="000000"/>
                <w:sz w:val="20"/>
              </w:rPr>
            </w:pPr>
            <w:r w:rsidRPr="00370F98">
              <w:rPr>
                <w:rFonts w:eastAsiaTheme="minorEastAsia"/>
                <w:color w:val="000000"/>
                <w:sz w:val="20"/>
              </w:rPr>
              <w:t>0.000</w:t>
            </w:r>
          </w:p>
        </w:tc>
        <w:tc>
          <w:tcPr>
            <w:tcW w:w="1726" w:type="dxa"/>
            <w:tcBorders>
              <w:top w:val="nil"/>
              <w:left w:val="nil"/>
              <w:bottom w:val="single" w:sz="4" w:space="0" w:color="auto"/>
              <w:right w:val="single" w:sz="4" w:space="0" w:color="auto"/>
            </w:tcBorders>
            <w:vAlign w:val="center"/>
          </w:tcPr>
          <w:p w:rsidR="00252C43" w:rsidRPr="00370F98" w:rsidRDefault="00252C43" w:rsidP="00252C43">
            <w:pPr>
              <w:spacing w:after="120"/>
              <w:jc w:val="center"/>
              <w:rPr>
                <w:rFonts w:eastAsiaTheme="minorEastAsia"/>
                <w:color w:val="000000"/>
                <w:sz w:val="20"/>
              </w:rPr>
            </w:pPr>
            <w:r w:rsidRPr="00370F98">
              <w:rPr>
                <w:rFonts w:eastAsiaTheme="minorEastAsia"/>
                <w:color w:val="000000"/>
                <w:sz w:val="20"/>
              </w:rPr>
              <w:t>0.000</w:t>
            </w:r>
          </w:p>
        </w:tc>
      </w:tr>
      <w:tr w:rsidR="00252C43" w:rsidTr="00252C43">
        <w:trPr>
          <w:trHeight w:val="315"/>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252C43" w:rsidRPr="00370F98" w:rsidRDefault="00252C43" w:rsidP="00252C43">
            <w:pPr>
              <w:spacing w:after="120"/>
              <w:jc w:val="center"/>
              <w:rPr>
                <w:color w:val="000000"/>
                <w:sz w:val="20"/>
              </w:rPr>
            </w:pPr>
            <w:r w:rsidRPr="00370F98">
              <w:rPr>
                <w:color w:val="000000"/>
                <w:sz w:val="20"/>
              </w:rPr>
              <w:t>Durbin-H Panel İstatistiği</w:t>
            </w:r>
          </w:p>
        </w:tc>
        <w:tc>
          <w:tcPr>
            <w:tcW w:w="2610" w:type="dxa"/>
            <w:tcBorders>
              <w:top w:val="nil"/>
              <w:left w:val="nil"/>
              <w:bottom w:val="single" w:sz="4" w:space="0" w:color="auto"/>
              <w:right w:val="single" w:sz="4" w:space="0" w:color="auto"/>
            </w:tcBorders>
            <w:shd w:val="clear" w:color="auto" w:fill="auto"/>
            <w:noWrap/>
            <w:vAlign w:val="center"/>
            <w:hideMark/>
          </w:tcPr>
          <w:p w:rsidR="00252C43" w:rsidRPr="00370F98" w:rsidRDefault="00252C43" w:rsidP="00252C43">
            <w:pPr>
              <w:spacing w:after="120"/>
              <w:jc w:val="center"/>
              <w:rPr>
                <w:color w:val="000000"/>
                <w:sz w:val="20"/>
              </w:rPr>
            </w:pPr>
            <w:r>
              <w:rPr>
                <w:color w:val="000000"/>
                <w:sz w:val="20"/>
              </w:rPr>
              <w:t>448</w:t>
            </w:r>
            <w:r w:rsidRPr="00370F98">
              <w:rPr>
                <w:color w:val="000000"/>
                <w:sz w:val="20"/>
              </w:rPr>
              <w:t>.</w:t>
            </w:r>
            <w:r>
              <w:rPr>
                <w:color w:val="000000"/>
                <w:sz w:val="20"/>
              </w:rPr>
              <w:t>140</w:t>
            </w:r>
          </w:p>
        </w:tc>
        <w:tc>
          <w:tcPr>
            <w:tcW w:w="1726" w:type="dxa"/>
            <w:tcBorders>
              <w:top w:val="nil"/>
              <w:left w:val="nil"/>
              <w:bottom w:val="single" w:sz="4" w:space="0" w:color="auto"/>
              <w:right w:val="single" w:sz="4" w:space="0" w:color="auto"/>
            </w:tcBorders>
            <w:vAlign w:val="center"/>
          </w:tcPr>
          <w:p w:rsidR="00252C43" w:rsidRPr="00370F98" w:rsidRDefault="00252C43" w:rsidP="00252C43">
            <w:pPr>
              <w:spacing w:after="120"/>
              <w:jc w:val="center"/>
              <w:rPr>
                <w:color w:val="000000"/>
                <w:sz w:val="20"/>
              </w:rPr>
            </w:pPr>
            <w:r>
              <w:rPr>
                <w:color w:val="000000"/>
                <w:sz w:val="20"/>
              </w:rPr>
              <w:t>138.850</w:t>
            </w:r>
          </w:p>
        </w:tc>
        <w:tc>
          <w:tcPr>
            <w:tcW w:w="1726" w:type="dxa"/>
            <w:tcBorders>
              <w:top w:val="nil"/>
              <w:left w:val="nil"/>
              <w:bottom w:val="single" w:sz="4" w:space="0" w:color="auto"/>
              <w:right w:val="single" w:sz="4" w:space="0" w:color="auto"/>
            </w:tcBorders>
            <w:vAlign w:val="center"/>
          </w:tcPr>
          <w:p w:rsidR="00252C43" w:rsidRPr="00370F98" w:rsidRDefault="007D76A4" w:rsidP="00252C43">
            <w:pPr>
              <w:spacing w:after="120"/>
              <w:jc w:val="center"/>
              <w:rPr>
                <w:color w:val="000000"/>
                <w:sz w:val="20"/>
              </w:rPr>
            </w:pPr>
            <w:r>
              <w:rPr>
                <w:color w:val="000000"/>
                <w:sz w:val="20"/>
              </w:rPr>
              <w:t>446.314</w:t>
            </w:r>
          </w:p>
        </w:tc>
      </w:tr>
      <w:tr w:rsidR="00252C43" w:rsidTr="00252C43">
        <w:trPr>
          <w:trHeight w:val="315"/>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252C43" w:rsidRPr="00370F98" w:rsidRDefault="00252C43" w:rsidP="00252C43">
            <w:pPr>
              <w:spacing w:after="120"/>
              <w:jc w:val="center"/>
              <w:rPr>
                <w:color w:val="000000"/>
                <w:sz w:val="20"/>
              </w:rPr>
            </w:pPr>
            <w:r w:rsidRPr="00370F98">
              <w:rPr>
                <w:color w:val="000000"/>
                <w:sz w:val="20"/>
              </w:rPr>
              <w:t>P-değeri</w:t>
            </w:r>
          </w:p>
        </w:tc>
        <w:tc>
          <w:tcPr>
            <w:tcW w:w="2610" w:type="dxa"/>
            <w:tcBorders>
              <w:top w:val="nil"/>
              <w:left w:val="nil"/>
              <w:bottom w:val="single" w:sz="4" w:space="0" w:color="auto"/>
              <w:right w:val="single" w:sz="4" w:space="0" w:color="auto"/>
            </w:tcBorders>
            <w:shd w:val="clear" w:color="auto" w:fill="auto"/>
            <w:noWrap/>
            <w:vAlign w:val="center"/>
            <w:hideMark/>
          </w:tcPr>
          <w:p w:rsidR="00252C43" w:rsidRPr="00370F98" w:rsidRDefault="00252C43" w:rsidP="00252C43">
            <w:pPr>
              <w:spacing w:after="120"/>
              <w:jc w:val="center"/>
              <w:rPr>
                <w:color w:val="000000"/>
                <w:sz w:val="20"/>
              </w:rPr>
            </w:pPr>
            <w:r w:rsidRPr="00370F98">
              <w:rPr>
                <w:color w:val="000000"/>
                <w:sz w:val="20"/>
              </w:rPr>
              <w:t>0.000</w:t>
            </w:r>
          </w:p>
        </w:tc>
        <w:tc>
          <w:tcPr>
            <w:tcW w:w="1726" w:type="dxa"/>
            <w:tcBorders>
              <w:top w:val="nil"/>
              <w:left w:val="nil"/>
              <w:bottom w:val="single" w:sz="4" w:space="0" w:color="auto"/>
              <w:right w:val="single" w:sz="4" w:space="0" w:color="auto"/>
            </w:tcBorders>
            <w:vAlign w:val="center"/>
          </w:tcPr>
          <w:p w:rsidR="00252C43" w:rsidRPr="00370F98" w:rsidRDefault="00252C43" w:rsidP="00252C43">
            <w:pPr>
              <w:spacing w:after="120"/>
              <w:jc w:val="center"/>
              <w:rPr>
                <w:color w:val="000000"/>
                <w:sz w:val="20"/>
              </w:rPr>
            </w:pPr>
            <w:r w:rsidRPr="00370F98">
              <w:rPr>
                <w:rFonts w:eastAsiaTheme="minorEastAsia"/>
                <w:color w:val="000000"/>
                <w:sz w:val="20"/>
              </w:rPr>
              <w:t>0.000</w:t>
            </w:r>
          </w:p>
        </w:tc>
        <w:tc>
          <w:tcPr>
            <w:tcW w:w="1726" w:type="dxa"/>
            <w:tcBorders>
              <w:top w:val="nil"/>
              <w:left w:val="nil"/>
              <w:bottom w:val="single" w:sz="4" w:space="0" w:color="auto"/>
              <w:right w:val="single" w:sz="4" w:space="0" w:color="auto"/>
            </w:tcBorders>
            <w:vAlign w:val="center"/>
          </w:tcPr>
          <w:p w:rsidR="00252C43" w:rsidRPr="00370F98" w:rsidRDefault="00252C43" w:rsidP="00252C43">
            <w:pPr>
              <w:spacing w:after="120"/>
              <w:jc w:val="center"/>
              <w:rPr>
                <w:color w:val="000000"/>
                <w:sz w:val="20"/>
              </w:rPr>
            </w:pPr>
            <w:r w:rsidRPr="00370F98">
              <w:rPr>
                <w:rFonts w:eastAsiaTheme="minorEastAsia"/>
                <w:color w:val="000000"/>
                <w:sz w:val="20"/>
              </w:rPr>
              <w:t>0.000</w:t>
            </w:r>
          </w:p>
        </w:tc>
      </w:tr>
    </w:tbl>
    <w:p w:rsidR="00A832E7" w:rsidRDefault="00375FEF" w:rsidP="00964A44">
      <w:pPr>
        <w:spacing w:before="240" w:after="240" w:line="360" w:lineRule="auto"/>
        <w:ind w:firstLine="706"/>
        <w:jc w:val="both"/>
      </w:pPr>
      <w:r>
        <w:t>Panel veride eş</w:t>
      </w:r>
      <w:r w:rsidR="00A832E7" w:rsidRPr="00310388">
        <w:t>bütünleşme olup olmadığının test edilmesi amacıyla Westerlund (2008) tarafından geliştirilen, yatay kesit bağımlılığını ve yat</w:t>
      </w:r>
      <w:r w:rsidR="00A832E7">
        <w:t xml:space="preserve">ay kesit eğim parametrelerinin </w:t>
      </w:r>
      <w:r w:rsidR="00A832E7" w:rsidRPr="00310388">
        <w:t>heterojenliğini dikkate alan Durbin-H</w:t>
      </w:r>
      <w:r w:rsidR="005766F7">
        <w:t xml:space="preserve"> Eş</w:t>
      </w:r>
      <w:r w:rsidR="00A832E7">
        <w:t>bütünleşme</w:t>
      </w:r>
      <w:r w:rsidR="00A832E7" w:rsidRPr="00310388">
        <w:t xml:space="preserve"> Testi kul</w:t>
      </w:r>
      <w:r w:rsidR="00A832E7">
        <w:t xml:space="preserve">lanılmıştır. </w:t>
      </w:r>
      <w:r w:rsidR="00A832E7" w:rsidRPr="00310388">
        <w:t xml:space="preserve">Westerlund (2008)’un bu çerçevede önerdiği iki testten biri </w:t>
      </w:r>
      <w:r w:rsidR="00A832E7">
        <w:t>Durbin H</w:t>
      </w:r>
      <w:r w:rsidR="00C057FD">
        <w:t>ausman</w:t>
      </w:r>
      <w:r w:rsidR="00A832E7">
        <w:t xml:space="preserve"> panel testidir; </w:t>
      </w:r>
      <w:r w:rsidR="00A832E7" w:rsidRPr="00310388">
        <w:t>otoregresif parametrenin sektörler arasında değişmediğin</w:t>
      </w:r>
      <w:r w:rsidR="00A832E7">
        <w:t xml:space="preserve">i </w:t>
      </w:r>
      <w:r w:rsidR="00A832E7">
        <w:lastRenderedPageBreak/>
        <w:t>varsayar ve H</w:t>
      </w:r>
      <w:r w:rsidR="00A832E7" w:rsidRPr="000E08E9">
        <w:rPr>
          <w:vertAlign w:val="subscript"/>
        </w:rPr>
        <w:t>0</w:t>
      </w:r>
      <w:r w:rsidR="00A832E7">
        <w:t>:</w:t>
      </w:r>
      <w:r w:rsidR="00F23E58">
        <w:t xml:space="preserve"> “</w:t>
      </w:r>
      <w:r w:rsidR="00A832E7">
        <w:t xml:space="preserve">eşbütünleşme </w:t>
      </w:r>
      <w:r w:rsidR="00A832E7" w:rsidRPr="00310388">
        <w:t xml:space="preserve">yoktur” boş hipotezini test eder. Boş hiptotezin reddi, panelin </w:t>
      </w:r>
      <w:r w:rsidR="00A832E7">
        <w:t xml:space="preserve">tümünde, eşbütünleşme ilişkisi </w:t>
      </w:r>
      <w:r w:rsidR="00A832E7" w:rsidRPr="00310388">
        <w:t>olduğuna işaret eder. İkinci test, Durbin-H grup testi ise k</w:t>
      </w:r>
      <w:r w:rsidR="00A832E7">
        <w:t xml:space="preserve">atsayıların sektörler arasında </w:t>
      </w:r>
      <w:r w:rsidR="00A832E7" w:rsidRPr="00310388">
        <w:t>farklılaş</w:t>
      </w:r>
      <w:r w:rsidR="00F23E58">
        <w:t xml:space="preserve">masına izin verir. Boş hipotezi “eşbütünleşme yoktur” </w:t>
      </w:r>
      <w:r w:rsidR="00A832E7" w:rsidRPr="00310388">
        <w:t xml:space="preserve">ve </w:t>
      </w:r>
      <w:r w:rsidR="00F23E58">
        <w:t>alternatif hipotezi ise “</w:t>
      </w:r>
      <w:r w:rsidR="00A832E7">
        <w:t xml:space="preserve">en az </w:t>
      </w:r>
      <w:r w:rsidR="00A832E7" w:rsidRPr="00310388">
        <w:t>bir kesitte eşbütünleşme vardır” şeklinde tanımlanır. Boş hi</w:t>
      </w:r>
      <w:r w:rsidR="00A832E7">
        <w:t xml:space="preserve">potezin reddi, en azından bazı </w:t>
      </w:r>
      <w:r w:rsidR="00A832E7" w:rsidRPr="00310388">
        <w:t>sektörlerde eşbütünleşme ilişkisinin var olduğuna delil</w:t>
      </w:r>
      <w:r w:rsidR="00A832E7">
        <w:t xml:space="preserve">dir. Test sonuçları Çizelge </w:t>
      </w:r>
      <w:proofErr w:type="gramStart"/>
      <w:r w:rsidR="00A832E7">
        <w:t>4.5’te</w:t>
      </w:r>
      <w:proofErr w:type="gramEnd"/>
      <w:r w:rsidR="00A832E7">
        <w:t xml:space="preserve"> </w:t>
      </w:r>
      <w:r w:rsidR="00A832E7" w:rsidRPr="00310388">
        <w:t>sunul</w:t>
      </w:r>
      <w:r w:rsidR="00A832E7">
        <w:t>duğu gibi</w:t>
      </w:r>
      <w:r w:rsidR="00A832E7" w:rsidRPr="00310388">
        <w:t xml:space="preserve"> değişkenler arasında </w:t>
      </w:r>
      <w:r w:rsidR="00A832E7">
        <w:t xml:space="preserve">eşbütünleşme ilişkisi olduğunu </w:t>
      </w:r>
      <w:r w:rsidR="00367663">
        <w:t xml:space="preserve">göstermektedir. </w:t>
      </w:r>
    </w:p>
    <w:p w:rsidR="00A832E7" w:rsidRPr="0031716B" w:rsidRDefault="000624A1" w:rsidP="002224EA">
      <w:pPr>
        <w:pStyle w:val="Balk3"/>
        <w:numPr>
          <w:ilvl w:val="2"/>
          <w:numId w:val="30"/>
        </w:numPr>
      </w:pPr>
      <w:bookmarkStart w:id="191" w:name="_Toc384824039"/>
      <w:r>
        <w:t xml:space="preserve"> </w:t>
      </w:r>
      <w:r w:rsidR="005766F7">
        <w:t>Eş</w:t>
      </w:r>
      <w:r w:rsidR="00A832E7" w:rsidRPr="0031716B">
        <w:t>bütünleşme Katsayılarının CCE Tahmincisi ile Elde Edilmesi</w:t>
      </w:r>
      <w:bookmarkEnd w:id="191"/>
    </w:p>
    <w:p w:rsidR="008E1EC8" w:rsidRPr="008E1EC8" w:rsidRDefault="008E1EC8" w:rsidP="008E1EC8">
      <w:pPr>
        <w:spacing w:before="240" w:after="240" w:line="360" w:lineRule="auto"/>
        <w:ind w:firstLine="706"/>
        <w:jc w:val="both"/>
        <w:rPr>
          <w:color w:val="000000"/>
        </w:rPr>
      </w:pPr>
      <w:r>
        <w:t xml:space="preserve">Çalışmanın panel veri setinin analizinde; birim kök, yatay kesit bağımlılığı, heterojen bir yapı ve eşbütünleşik bir yapının varlığı saptanmış ve bu aşamada eşbütünleşik olan modelin uzun dönem eşbütünleşme katsayıları </w:t>
      </w:r>
      <w:r w:rsidRPr="00BB3ADF">
        <w:t>Pesaran (2</w:t>
      </w:r>
      <w:r>
        <w:t xml:space="preserve">006b) tarafından geliştirilmiş olan </w:t>
      </w:r>
      <w:r w:rsidRPr="00BB3ADF">
        <w:t>Ortak İlişkili Etkiler (Common</w:t>
      </w:r>
      <w:r>
        <w:t xml:space="preserve"> </w:t>
      </w:r>
      <w:r w:rsidRPr="00BB3ADF">
        <w:t>Correlated</w:t>
      </w:r>
      <w:r>
        <w:t xml:space="preserve"> </w:t>
      </w:r>
      <w:r w:rsidRPr="00BB3ADF">
        <w:t>Effect-CCE) modeline dayalı tahmin yöntemi</w:t>
      </w:r>
      <w:r>
        <w:t xml:space="preserve">yle tahmin edilmiştir. </w:t>
      </w:r>
      <w:proofErr w:type="gramStart"/>
      <w:r>
        <w:t xml:space="preserve">CCE, yatay kesit bağımlılığını dikkate alan ve eğimin yatay kesitten yatay kesite </w:t>
      </w:r>
      <w:r w:rsidRPr="00DD603B">
        <w:t>değişmesine izin vermekle birlikte N&gt;T ve N&lt;T (CCE; zaman boyutu, yatay kesit boyutundan büyük olduğunda da küçük olduğunda da tutarlı ve asimtotik normal dağılım gösteren sonuçlar üretebilen) ve her bir yatay kesit için uzun dönem denge değerlerini ayrı ayrı hesaplanmasında kullanılabilen bir tahmincidir (Pesaran, 2006</w:t>
      </w:r>
      <w:r>
        <w:t>b</w:t>
      </w:r>
      <w:r w:rsidRPr="00DD603B">
        <w:t>: 967</w:t>
      </w:r>
      <w:r>
        <w:t>;</w:t>
      </w:r>
      <w:r w:rsidRPr="00DD603B">
        <w:t xml:space="preserve"> Pesaran ve Yamagata,</w:t>
      </w:r>
      <w:r w:rsidRPr="008E1EC8">
        <w:rPr>
          <w:color w:val="000000"/>
        </w:rPr>
        <w:t xml:space="preserve"> 2008: 50). </w:t>
      </w:r>
      <w:proofErr w:type="gramEnd"/>
      <w:r w:rsidRPr="008E1EC8">
        <w:rPr>
          <w:color w:val="000000"/>
        </w:rPr>
        <w:t>Ayrıca Pesaran (2006b: 967, 998), T ve N küçük iken Havuzlanmış ortak ilişkili etkiler (CCEP-</w:t>
      </w:r>
      <w:r w:rsidRPr="00BB3ADF">
        <w:t>Common</w:t>
      </w:r>
      <w:r>
        <w:t xml:space="preserve"> </w:t>
      </w:r>
      <w:r w:rsidRPr="00BB3ADF">
        <w:t>Correlated</w:t>
      </w:r>
      <w:r>
        <w:t xml:space="preserve"> </w:t>
      </w:r>
      <w:r w:rsidRPr="00BB3ADF">
        <w:t>Effect</w:t>
      </w:r>
      <w:r>
        <w:t xml:space="preserve"> Pooled), büyük iken CCEMG tahmincisinin seçilmesini önermektedir.</w:t>
      </w:r>
    </w:p>
    <w:p w:rsidR="00521C71" w:rsidRPr="00B55792" w:rsidRDefault="00521C71" w:rsidP="00521C71">
      <w:pPr>
        <w:spacing w:line="360" w:lineRule="auto"/>
        <w:ind w:firstLine="708"/>
        <w:jc w:val="both"/>
      </w:pPr>
      <w:r>
        <w:rPr>
          <w:color w:val="000000"/>
        </w:rPr>
        <w:t xml:space="preserve">Panel veride slope homojenite ve yatay kesit bağımlılığı bulunması halinde tahminler </w:t>
      </w:r>
      <w:r w:rsidRPr="00B55792">
        <w:t>CCEMG (CCMGE-Common Correlated Mean Group Effects: Yatay Kesit Bağımlılığı Altında Ortalama Grup Etkileri) tahmincisi ile</w:t>
      </w:r>
      <w:r>
        <w:t xml:space="preserve"> ortak etkiler sabit veya gözlenemeyen ortak etkiler hakkında çok az bilgi var ise CCEP tahmincisi ile</w:t>
      </w:r>
      <w:r w:rsidRPr="00B55792">
        <w:t xml:space="preserve"> yürütülmelidir (Pesaran</w:t>
      </w:r>
      <w:r>
        <w:t>,</w:t>
      </w:r>
      <w:r w:rsidRPr="00B55792">
        <w:t xml:space="preserve"> 2006</w:t>
      </w:r>
      <w:r>
        <w:t>b</w:t>
      </w:r>
      <w:r w:rsidRPr="00B55792">
        <w:t>: 969, 982).</w:t>
      </w:r>
      <w:r>
        <w:t xml:space="preserve"> CCE tahmincisi otokorelasyon ve değişen varyans altında asimptotik olarak standart dağılım göstermekte ve bu şartlar altında da tutarlıdır (Pesaran, 2006b: 969, 977). </w:t>
      </w:r>
    </w:p>
    <w:p w:rsidR="00521C71" w:rsidRDefault="00521C71" w:rsidP="00521C71">
      <w:pPr>
        <w:spacing w:line="360" w:lineRule="auto"/>
        <w:ind w:firstLine="708"/>
        <w:jc w:val="both"/>
        <w:rPr>
          <w:color w:val="000000"/>
        </w:rPr>
      </w:pPr>
      <w:r>
        <w:rPr>
          <w:color w:val="000000"/>
        </w:rPr>
        <w:t>CCE tahmincisinin aşamaları aşağıdaki şekildedir (Pesaran, 2006b: 971):</w:t>
      </w:r>
    </w:p>
    <w:p w:rsidR="009C1443" w:rsidRDefault="009C1443" w:rsidP="009C1443">
      <w:pPr>
        <w:spacing w:before="240" w:after="240" w:line="360" w:lineRule="auto"/>
        <w:jc w:val="both"/>
        <w:rPr>
          <w:rFonts w:eastAsiaTheme="minorEastAsia"/>
        </w:rPr>
      </w:pPr>
      <w:r>
        <w:rPr>
          <w:rFonts w:eastAsiaTheme="minorEastAsia"/>
        </w:rPr>
        <w:t xml:space="preserve">             </w:t>
      </w: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m:t>
            </m:r>
          </m:sup>
        </m:sSubSup>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m:t>
            </m:r>
          </m:sup>
        </m:sSubSup>
        <m:sSub>
          <m:sSubPr>
            <m:ctrlPr>
              <w:rPr>
                <w:rFonts w:ascii="Cambria Math" w:hAnsi="Cambria Math"/>
                <w:i/>
              </w:rPr>
            </m:ctrlPr>
          </m:sSubPr>
          <m:e>
            <m:r>
              <w:rPr>
                <w:rFonts w:ascii="Cambria Math" w:hAnsi="Cambria Math"/>
              </w:rPr>
              <m:t>x</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it</m:t>
            </m:r>
          </m:sub>
        </m:sSub>
      </m:oMath>
      <w:r>
        <w:rPr>
          <w:rFonts w:eastAsiaTheme="minorEastAsia"/>
        </w:rPr>
        <w:t xml:space="preserve">,                  </w:t>
      </w:r>
      <m:oMath>
        <m:r>
          <w:rPr>
            <w:rFonts w:ascii="Cambria Math" w:eastAsiaTheme="minorEastAsia" w:hAnsi="Cambria Math"/>
          </w:rPr>
          <m:t xml:space="preserve">i=1, 2, </m:t>
        </m:r>
        <w:proofErr w:type="gramStart"/>
        <m:r>
          <w:rPr>
            <w:rFonts w:ascii="Cambria Math" w:eastAsiaTheme="minorEastAsia" w:hAnsi="Cambria Math"/>
          </w:rPr>
          <m:t>…,</m:t>
        </m:r>
        <w:proofErr w:type="gramEnd"/>
        <m:r>
          <w:rPr>
            <w:rFonts w:ascii="Cambria Math" w:eastAsiaTheme="minorEastAsia" w:hAnsi="Cambria Math"/>
          </w:rPr>
          <m:t xml:space="preserve"> N</m:t>
        </m:r>
      </m:oMath>
      <w:r>
        <w:rPr>
          <w:rFonts w:eastAsiaTheme="minorEastAsia"/>
        </w:rPr>
        <w:t xml:space="preserve">; </w:t>
      </w:r>
      <m:oMath>
        <m:r>
          <w:rPr>
            <w:rFonts w:ascii="Cambria Math" w:eastAsiaTheme="minorEastAsia" w:hAnsi="Cambria Math"/>
          </w:rPr>
          <m:t>t=1, 2, …, T</m:t>
        </m:r>
      </m:oMath>
      <w:r w:rsidR="00A25079">
        <w:rPr>
          <w:rFonts w:eastAsiaTheme="minorEastAsia"/>
        </w:rPr>
        <w:t xml:space="preserve">            (4.26</w:t>
      </w:r>
      <w:r w:rsidR="001164D4">
        <w:rPr>
          <w:rFonts w:eastAsiaTheme="minorEastAsia"/>
        </w:rPr>
        <w:t>)</w:t>
      </w:r>
    </w:p>
    <w:p w:rsidR="009C1443" w:rsidRPr="004D6B87" w:rsidRDefault="001164D4" w:rsidP="009C1443">
      <w:pPr>
        <w:spacing w:before="240" w:after="240" w:line="360" w:lineRule="auto"/>
        <w:ind w:firstLine="708"/>
        <w:jc w:val="both"/>
      </w:pPr>
      <w:r>
        <w:rPr>
          <w:rFonts w:eastAsiaTheme="minorEastAsia"/>
        </w:rPr>
        <w:lastRenderedPageBreak/>
        <w:t>Denklem 4.25’te</w:t>
      </w:r>
      <w:r w:rsidR="009C1443">
        <w:rPr>
          <w:rFonts w:eastAsiaTheme="minorEastAsia"/>
        </w:rPr>
        <w:t xml:space="preserve"> doğrusal heterojen panel data modeline ait olup bu denklemden hareketle, </w:t>
      </w:r>
      <m:oMath>
        <m:sSub>
          <m:sSubPr>
            <m:ctrlPr>
              <w:rPr>
                <w:rFonts w:ascii="Cambria Math" w:hAnsi="Cambria Math"/>
                <w:i/>
              </w:rPr>
            </m:ctrlPr>
          </m:sSubPr>
          <m:e>
            <m:r>
              <w:rPr>
                <w:rFonts w:ascii="Cambria Math" w:hAnsi="Cambria Math"/>
              </w:rPr>
              <m:t>e</m:t>
            </m:r>
          </m:e>
          <m:sub>
            <m:r>
              <w:rPr>
                <w:rFonts w:ascii="Cambria Math" w:hAnsi="Cambria Math"/>
              </w:rPr>
              <m:t>it</m:t>
            </m:r>
          </m:sub>
        </m:sSub>
        <m:r>
          <w:rPr>
            <w:rFonts w:ascii="Cambria Math" w:hAnsi="Cambria Math"/>
          </w:rPr>
          <m:t>=</m:t>
        </m:r>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m:t>
            </m:r>
          </m:sup>
        </m:sSubSup>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it</m:t>
            </m:r>
          </m:sub>
        </m:sSub>
      </m:oMath>
      <w:r w:rsidR="009C1443">
        <w:rPr>
          <w:rFonts w:eastAsiaTheme="minorEastAsia"/>
        </w:rPr>
        <w:t xml:space="preserve"> olup burada </w:t>
      </w: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oMath>
      <w:r w:rsidR="009C1443">
        <w:rPr>
          <w:rFonts w:eastAsiaTheme="minorEastAsia"/>
        </w:rPr>
        <w:t xml:space="preserve"> gözlenemeyen ortak faktör etkilerini temsil etmektedir. Ayrıca denklem,  </w:t>
      </w: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m:t>
            </m:r>
          </m:sup>
        </m:sSubSup>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m:t>
            </m:r>
          </m:sup>
        </m:sSubSup>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it</m:t>
            </m:r>
          </m:sub>
        </m:sSub>
      </m:oMath>
      <w:r w:rsidR="009C1443">
        <w:rPr>
          <w:rFonts w:eastAsiaTheme="minorEastAsia"/>
        </w:rPr>
        <w:t xml:space="preserve"> dönüşümüyle denklem sürdürülür</w:t>
      </w:r>
      <w:r w:rsidR="009C1443">
        <w:rPr>
          <w:rStyle w:val="DipnotBavurusu"/>
          <w:rFonts w:eastAsiaTheme="minorEastAsia"/>
        </w:rPr>
        <w:footnoteReference w:id="45"/>
      </w:r>
      <w:r w:rsidR="009C1443">
        <w:rPr>
          <w:rFonts w:eastAsiaTheme="minorEastAsia"/>
        </w:rPr>
        <w:t xml:space="preserve">. </w:t>
      </w:r>
    </w:p>
    <w:p w:rsidR="0031165C" w:rsidRDefault="0031165C" w:rsidP="009C1443">
      <w:pPr>
        <w:spacing w:before="240" w:after="240" w:line="360" w:lineRule="auto"/>
        <w:ind w:firstLine="708"/>
        <w:jc w:val="both"/>
      </w:pPr>
      <w:r>
        <w:t xml:space="preserve">Seriler arasında eşbütünleşme ilişkisinin varlığı Westerlund (2008) çalışmasında önerdiği Durbin Hausman eşbütünleşme testiyle incelenmiş ve seriler arasında eşbütünleşme ilişkisinin olduğu belirlenmiştir. Bu aşamada ise eşbütünleşik olan modelin uzun dönem eşbütünleşme katsayıları </w:t>
      </w:r>
      <w:r w:rsidRPr="00BB3ADF">
        <w:t>Pesaran (2</w:t>
      </w:r>
      <w:r>
        <w:t xml:space="preserve">006b) tarafından geliştirilmiş olan </w:t>
      </w:r>
      <w:r w:rsidRPr="00BB3ADF">
        <w:t>Ortak İlişkili Etkiler (Common</w:t>
      </w:r>
      <w:r>
        <w:t xml:space="preserve"> </w:t>
      </w:r>
      <w:r w:rsidRPr="00BB3ADF">
        <w:t>Correlated</w:t>
      </w:r>
      <w:r>
        <w:t xml:space="preserve"> </w:t>
      </w:r>
      <w:r w:rsidRPr="00BB3ADF">
        <w:t>Effect-CCE) modeline dayalı tahmin yöntemi</w:t>
      </w:r>
      <w:r>
        <w:t>yle tahmin edilmiştir.</w:t>
      </w:r>
    </w:p>
    <w:p w:rsidR="009C1443" w:rsidRDefault="009C1443" w:rsidP="009C1443">
      <w:pPr>
        <w:spacing w:before="240" w:after="240" w:line="360" w:lineRule="auto"/>
        <w:ind w:firstLine="708"/>
        <w:jc w:val="both"/>
      </w:pPr>
      <w:r w:rsidRPr="00DD603B">
        <w:t xml:space="preserve">CCE tahmincisiyle elde edilen uzun dönem eşbütünleşme katsayılarına ait souçlar aşağıdaki </w:t>
      </w:r>
      <w:r>
        <w:t xml:space="preserve">Çizelge </w:t>
      </w:r>
      <w:proofErr w:type="gramStart"/>
      <w:r>
        <w:t>4.6’da</w:t>
      </w:r>
      <w:proofErr w:type="gramEnd"/>
      <w:r w:rsidRPr="00DD603B">
        <w:t xml:space="preserve"> verilmiştir.</w:t>
      </w:r>
    </w:p>
    <w:p w:rsidR="009732C6" w:rsidRDefault="009732C6" w:rsidP="009C1443">
      <w:pPr>
        <w:spacing w:before="240" w:after="240" w:line="360" w:lineRule="auto"/>
        <w:ind w:firstLine="708"/>
        <w:jc w:val="both"/>
      </w:pPr>
    </w:p>
    <w:p w:rsidR="009732C6" w:rsidRDefault="009732C6" w:rsidP="009C1443">
      <w:pPr>
        <w:spacing w:before="240" w:after="240" w:line="360" w:lineRule="auto"/>
        <w:ind w:firstLine="708"/>
        <w:jc w:val="both"/>
      </w:pPr>
    </w:p>
    <w:p w:rsidR="009732C6" w:rsidRDefault="009732C6" w:rsidP="009C1443">
      <w:pPr>
        <w:spacing w:before="240" w:after="240" w:line="360" w:lineRule="auto"/>
        <w:ind w:firstLine="708"/>
        <w:jc w:val="both"/>
      </w:pPr>
    </w:p>
    <w:p w:rsidR="009732C6" w:rsidRDefault="009732C6" w:rsidP="009C1443">
      <w:pPr>
        <w:spacing w:before="240" w:after="240" w:line="360" w:lineRule="auto"/>
        <w:ind w:firstLine="708"/>
        <w:jc w:val="both"/>
      </w:pPr>
    </w:p>
    <w:p w:rsidR="009732C6" w:rsidRDefault="009732C6" w:rsidP="009C1443">
      <w:pPr>
        <w:spacing w:before="240" w:after="240" w:line="360" w:lineRule="auto"/>
        <w:ind w:firstLine="708"/>
        <w:jc w:val="both"/>
      </w:pPr>
    </w:p>
    <w:p w:rsidR="009732C6" w:rsidRDefault="009732C6" w:rsidP="009C1443">
      <w:pPr>
        <w:spacing w:before="240" w:after="240" w:line="360" w:lineRule="auto"/>
        <w:ind w:firstLine="708"/>
        <w:jc w:val="both"/>
      </w:pPr>
    </w:p>
    <w:p w:rsidR="009732C6" w:rsidRDefault="009732C6" w:rsidP="009C1443">
      <w:pPr>
        <w:spacing w:before="240" w:after="240" w:line="360" w:lineRule="auto"/>
        <w:ind w:firstLine="708"/>
        <w:jc w:val="both"/>
      </w:pPr>
    </w:p>
    <w:p w:rsidR="009732C6" w:rsidRDefault="009732C6" w:rsidP="009C1443">
      <w:pPr>
        <w:spacing w:before="240" w:after="240" w:line="360" w:lineRule="auto"/>
        <w:ind w:firstLine="708"/>
        <w:jc w:val="both"/>
      </w:pPr>
    </w:p>
    <w:p w:rsidR="009732C6" w:rsidRDefault="009732C6" w:rsidP="009C1443">
      <w:pPr>
        <w:spacing w:before="240" w:after="240" w:line="360" w:lineRule="auto"/>
        <w:ind w:firstLine="708"/>
        <w:jc w:val="both"/>
      </w:pPr>
    </w:p>
    <w:p w:rsidR="009732C6" w:rsidRDefault="009732C6" w:rsidP="009C1443">
      <w:pPr>
        <w:spacing w:before="240" w:after="240" w:line="360" w:lineRule="auto"/>
        <w:ind w:firstLine="708"/>
        <w:jc w:val="both"/>
      </w:pPr>
    </w:p>
    <w:p w:rsidR="009732C6" w:rsidRDefault="009732C6" w:rsidP="009C1443">
      <w:pPr>
        <w:spacing w:before="240" w:after="240" w:line="360" w:lineRule="auto"/>
        <w:ind w:firstLine="708"/>
        <w:jc w:val="both"/>
      </w:pPr>
    </w:p>
    <w:p w:rsidR="009732C6" w:rsidRDefault="009732C6" w:rsidP="009C1443">
      <w:pPr>
        <w:spacing w:before="240" w:after="240" w:line="360" w:lineRule="auto"/>
        <w:ind w:firstLine="708"/>
        <w:jc w:val="both"/>
      </w:pPr>
    </w:p>
    <w:p w:rsidR="00912C98" w:rsidRDefault="00C321B6" w:rsidP="000D38D2">
      <w:pPr>
        <w:pStyle w:val="it6"/>
      </w:pPr>
      <w:bookmarkStart w:id="192" w:name="_Toc384716104"/>
      <w:r w:rsidRPr="003D756D">
        <w:lastRenderedPageBreak/>
        <w:t xml:space="preserve">Çizelge 4. </w:t>
      </w:r>
      <w:r w:rsidR="00F00165">
        <w:t>6</w:t>
      </w:r>
      <w:r w:rsidRPr="003D756D">
        <w:t xml:space="preserve">: </w:t>
      </w:r>
      <w:r w:rsidRPr="00C321B6">
        <w:t>CCE Tahmin Sonuçları</w:t>
      </w:r>
      <w:bookmarkEnd w:id="192"/>
    </w:p>
    <w:tbl>
      <w:tblPr>
        <w:tblW w:w="8295" w:type="dxa"/>
        <w:tblInd w:w="55" w:type="dxa"/>
        <w:tblCellMar>
          <w:left w:w="70" w:type="dxa"/>
          <w:right w:w="70" w:type="dxa"/>
        </w:tblCellMar>
        <w:tblLook w:val="04A0" w:firstRow="1" w:lastRow="0" w:firstColumn="1" w:lastColumn="0" w:noHBand="0" w:noVBand="1"/>
      </w:tblPr>
      <w:tblGrid>
        <w:gridCol w:w="463"/>
        <w:gridCol w:w="1262"/>
        <w:gridCol w:w="751"/>
        <w:gridCol w:w="890"/>
        <w:gridCol w:w="751"/>
        <w:gridCol w:w="800"/>
        <w:gridCol w:w="751"/>
        <w:gridCol w:w="917"/>
        <w:gridCol w:w="751"/>
        <w:gridCol w:w="959"/>
      </w:tblGrid>
      <w:tr w:rsidR="00C76258" w:rsidRPr="00C76258" w:rsidTr="002766A5">
        <w:trPr>
          <w:trHeight w:val="300"/>
        </w:trPr>
        <w:tc>
          <w:tcPr>
            <w:tcW w:w="463" w:type="dxa"/>
            <w:vMerge w:val="restart"/>
            <w:tcBorders>
              <w:top w:val="single" w:sz="4" w:space="0" w:color="auto"/>
              <w:left w:val="single" w:sz="4" w:space="0" w:color="auto"/>
              <w:bottom w:val="double" w:sz="6" w:space="0" w:color="000000"/>
              <w:right w:val="single" w:sz="4" w:space="0" w:color="auto"/>
            </w:tcBorders>
            <w:shd w:val="clear" w:color="000000" w:fill="BFBFBF"/>
            <w:noWrap/>
            <w:vAlign w:val="center"/>
            <w:hideMark/>
          </w:tcPr>
          <w:p w:rsidR="00C76258" w:rsidRPr="00C76258" w:rsidRDefault="00C76258" w:rsidP="00C76258">
            <w:pPr>
              <w:jc w:val="center"/>
              <w:rPr>
                <w:color w:val="000000"/>
                <w:sz w:val="20"/>
                <w:szCs w:val="20"/>
              </w:rPr>
            </w:pPr>
            <w:r w:rsidRPr="00C76258">
              <w:rPr>
                <w:color w:val="000000"/>
                <w:sz w:val="20"/>
                <w:szCs w:val="20"/>
              </w:rPr>
              <w:t>Sıra</w:t>
            </w:r>
          </w:p>
        </w:tc>
        <w:tc>
          <w:tcPr>
            <w:tcW w:w="1262" w:type="dxa"/>
            <w:vMerge w:val="restart"/>
            <w:tcBorders>
              <w:top w:val="single" w:sz="4" w:space="0" w:color="auto"/>
              <w:left w:val="single" w:sz="4" w:space="0" w:color="auto"/>
              <w:bottom w:val="double" w:sz="6" w:space="0" w:color="000000"/>
              <w:right w:val="single" w:sz="4" w:space="0" w:color="auto"/>
            </w:tcBorders>
            <w:shd w:val="clear" w:color="000000" w:fill="BFBFBF"/>
            <w:noWrap/>
            <w:vAlign w:val="center"/>
            <w:hideMark/>
          </w:tcPr>
          <w:p w:rsidR="00C76258" w:rsidRPr="00C76258" w:rsidRDefault="00C76258" w:rsidP="00C76258">
            <w:pPr>
              <w:jc w:val="center"/>
              <w:rPr>
                <w:color w:val="000000"/>
                <w:sz w:val="20"/>
                <w:szCs w:val="20"/>
              </w:rPr>
            </w:pPr>
            <w:r w:rsidRPr="00C76258">
              <w:rPr>
                <w:color w:val="000000"/>
                <w:sz w:val="20"/>
                <w:szCs w:val="20"/>
              </w:rPr>
              <w:t>Ülkeler</w:t>
            </w:r>
          </w:p>
        </w:tc>
        <w:tc>
          <w:tcPr>
            <w:tcW w:w="1641"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C76258" w:rsidRPr="00C76258" w:rsidRDefault="00C76258" w:rsidP="00C76258">
            <w:pPr>
              <w:jc w:val="center"/>
              <w:rPr>
                <w:color w:val="000000"/>
                <w:sz w:val="20"/>
                <w:szCs w:val="20"/>
              </w:rPr>
            </w:pPr>
            <w:r w:rsidRPr="00C76258">
              <w:rPr>
                <w:color w:val="000000"/>
                <w:sz w:val="20"/>
                <w:szCs w:val="20"/>
              </w:rPr>
              <w:t>lgdp</w:t>
            </w:r>
          </w:p>
        </w:tc>
        <w:tc>
          <w:tcPr>
            <w:tcW w:w="1551"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C76258" w:rsidRPr="00C76258" w:rsidRDefault="00C76258" w:rsidP="00C76258">
            <w:pPr>
              <w:jc w:val="center"/>
              <w:rPr>
                <w:color w:val="000000"/>
                <w:sz w:val="20"/>
                <w:szCs w:val="20"/>
              </w:rPr>
            </w:pPr>
            <w:r w:rsidRPr="00C76258">
              <w:rPr>
                <w:color w:val="000000"/>
                <w:sz w:val="20"/>
                <w:szCs w:val="20"/>
              </w:rPr>
              <w:t>lec</w:t>
            </w:r>
          </w:p>
        </w:tc>
        <w:tc>
          <w:tcPr>
            <w:tcW w:w="1668"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C76258" w:rsidRPr="00C76258" w:rsidRDefault="00C76258" w:rsidP="00C76258">
            <w:pPr>
              <w:jc w:val="center"/>
              <w:rPr>
                <w:color w:val="000000"/>
                <w:sz w:val="20"/>
                <w:szCs w:val="20"/>
              </w:rPr>
            </w:pPr>
            <w:r w:rsidRPr="00C76258">
              <w:rPr>
                <w:color w:val="000000"/>
                <w:sz w:val="20"/>
                <w:szCs w:val="20"/>
              </w:rPr>
              <w:t>opex</w:t>
            </w:r>
          </w:p>
        </w:tc>
        <w:tc>
          <w:tcPr>
            <w:tcW w:w="1710"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C76258" w:rsidRPr="00C76258" w:rsidRDefault="00C76258" w:rsidP="00C76258">
            <w:pPr>
              <w:jc w:val="center"/>
              <w:rPr>
                <w:color w:val="000000"/>
                <w:sz w:val="20"/>
                <w:szCs w:val="20"/>
              </w:rPr>
            </w:pPr>
            <w:r w:rsidRPr="00C76258">
              <w:rPr>
                <w:color w:val="000000"/>
                <w:sz w:val="20"/>
                <w:szCs w:val="20"/>
              </w:rPr>
              <w:t>opim</w:t>
            </w:r>
          </w:p>
        </w:tc>
      </w:tr>
      <w:tr w:rsidR="00C76258" w:rsidRPr="00C76258" w:rsidTr="002766A5">
        <w:trPr>
          <w:trHeight w:val="315"/>
        </w:trPr>
        <w:tc>
          <w:tcPr>
            <w:tcW w:w="463" w:type="dxa"/>
            <w:vMerge/>
            <w:tcBorders>
              <w:top w:val="single" w:sz="4" w:space="0" w:color="auto"/>
              <w:left w:val="single" w:sz="4" w:space="0" w:color="auto"/>
              <w:bottom w:val="double" w:sz="6" w:space="0" w:color="000000"/>
              <w:right w:val="single" w:sz="4" w:space="0" w:color="auto"/>
            </w:tcBorders>
            <w:vAlign w:val="center"/>
            <w:hideMark/>
          </w:tcPr>
          <w:p w:rsidR="00C76258" w:rsidRPr="00C76258" w:rsidRDefault="00C76258" w:rsidP="00C76258">
            <w:pPr>
              <w:jc w:val="center"/>
              <w:rPr>
                <w:color w:val="000000"/>
                <w:sz w:val="20"/>
                <w:szCs w:val="20"/>
              </w:rPr>
            </w:pPr>
          </w:p>
        </w:tc>
        <w:tc>
          <w:tcPr>
            <w:tcW w:w="1262" w:type="dxa"/>
            <w:vMerge/>
            <w:tcBorders>
              <w:top w:val="single" w:sz="4" w:space="0" w:color="auto"/>
              <w:left w:val="single" w:sz="4" w:space="0" w:color="auto"/>
              <w:bottom w:val="double" w:sz="6" w:space="0" w:color="000000"/>
              <w:right w:val="single" w:sz="4" w:space="0" w:color="auto"/>
            </w:tcBorders>
            <w:vAlign w:val="center"/>
            <w:hideMark/>
          </w:tcPr>
          <w:p w:rsidR="00C76258" w:rsidRPr="00C76258" w:rsidRDefault="00C76258" w:rsidP="00C76258">
            <w:pPr>
              <w:jc w:val="center"/>
              <w:rPr>
                <w:color w:val="000000"/>
                <w:sz w:val="20"/>
                <w:szCs w:val="20"/>
              </w:rPr>
            </w:pPr>
          </w:p>
        </w:tc>
        <w:tc>
          <w:tcPr>
            <w:tcW w:w="751" w:type="dxa"/>
            <w:tcBorders>
              <w:top w:val="nil"/>
              <w:left w:val="nil"/>
              <w:bottom w:val="nil"/>
              <w:right w:val="single" w:sz="4" w:space="0" w:color="auto"/>
            </w:tcBorders>
            <w:shd w:val="clear" w:color="000000" w:fill="BFBFBF"/>
            <w:noWrap/>
            <w:vAlign w:val="center"/>
            <w:hideMark/>
          </w:tcPr>
          <w:p w:rsidR="00C76258" w:rsidRPr="00C76258" w:rsidRDefault="00C76258" w:rsidP="00C76258">
            <w:pPr>
              <w:jc w:val="center"/>
              <w:rPr>
                <w:color w:val="000000"/>
                <w:sz w:val="20"/>
                <w:szCs w:val="20"/>
              </w:rPr>
            </w:pPr>
            <w:r w:rsidRPr="00C76258">
              <w:rPr>
                <w:color w:val="000000"/>
                <w:sz w:val="20"/>
                <w:szCs w:val="20"/>
              </w:rPr>
              <w:t>Katsayı</w:t>
            </w:r>
          </w:p>
        </w:tc>
        <w:tc>
          <w:tcPr>
            <w:tcW w:w="890" w:type="dxa"/>
            <w:tcBorders>
              <w:top w:val="nil"/>
              <w:left w:val="nil"/>
              <w:bottom w:val="nil"/>
              <w:right w:val="single" w:sz="4" w:space="0" w:color="auto"/>
            </w:tcBorders>
            <w:shd w:val="clear" w:color="000000" w:fill="BFBFBF"/>
            <w:noWrap/>
            <w:vAlign w:val="center"/>
            <w:hideMark/>
          </w:tcPr>
          <w:p w:rsidR="00C76258" w:rsidRPr="00C76258" w:rsidRDefault="00C76258" w:rsidP="00C76258">
            <w:pPr>
              <w:jc w:val="center"/>
              <w:rPr>
                <w:color w:val="000000"/>
                <w:sz w:val="20"/>
                <w:szCs w:val="20"/>
              </w:rPr>
            </w:pPr>
            <w:r w:rsidRPr="00C76258">
              <w:rPr>
                <w:color w:val="000000"/>
                <w:sz w:val="20"/>
                <w:szCs w:val="20"/>
              </w:rPr>
              <w:t>z</w:t>
            </w:r>
          </w:p>
        </w:tc>
        <w:tc>
          <w:tcPr>
            <w:tcW w:w="751" w:type="dxa"/>
            <w:tcBorders>
              <w:top w:val="nil"/>
              <w:left w:val="nil"/>
              <w:bottom w:val="nil"/>
              <w:right w:val="single" w:sz="4" w:space="0" w:color="auto"/>
            </w:tcBorders>
            <w:shd w:val="clear" w:color="000000" w:fill="BFBFBF"/>
            <w:noWrap/>
            <w:vAlign w:val="center"/>
            <w:hideMark/>
          </w:tcPr>
          <w:p w:rsidR="00C76258" w:rsidRPr="00C76258" w:rsidRDefault="00C76258" w:rsidP="00C76258">
            <w:pPr>
              <w:jc w:val="center"/>
              <w:rPr>
                <w:color w:val="000000"/>
                <w:sz w:val="20"/>
                <w:szCs w:val="20"/>
              </w:rPr>
            </w:pPr>
            <w:r w:rsidRPr="00C76258">
              <w:rPr>
                <w:color w:val="000000"/>
                <w:sz w:val="20"/>
                <w:szCs w:val="20"/>
              </w:rPr>
              <w:t>Katsayı</w:t>
            </w:r>
          </w:p>
        </w:tc>
        <w:tc>
          <w:tcPr>
            <w:tcW w:w="800" w:type="dxa"/>
            <w:tcBorders>
              <w:top w:val="nil"/>
              <w:left w:val="nil"/>
              <w:bottom w:val="nil"/>
              <w:right w:val="single" w:sz="4" w:space="0" w:color="auto"/>
            </w:tcBorders>
            <w:shd w:val="clear" w:color="000000" w:fill="BFBFBF"/>
            <w:noWrap/>
            <w:vAlign w:val="center"/>
            <w:hideMark/>
          </w:tcPr>
          <w:p w:rsidR="00C76258" w:rsidRPr="00C76258" w:rsidRDefault="00C76258" w:rsidP="00C76258">
            <w:pPr>
              <w:jc w:val="center"/>
              <w:rPr>
                <w:color w:val="000000"/>
                <w:sz w:val="20"/>
                <w:szCs w:val="20"/>
              </w:rPr>
            </w:pPr>
            <w:r w:rsidRPr="00C76258">
              <w:rPr>
                <w:color w:val="000000"/>
                <w:sz w:val="20"/>
                <w:szCs w:val="20"/>
              </w:rPr>
              <w:t>z</w:t>
            </w:r>
          </w:p>
        </w:tc>
        <w:tc>
          <w:tcPr>
            <w:tcW w:w="751" w:type="dxa"/>
            <w:tcBorders>
              <w:top w:val="nil"/>
              <w:left w:val="nil"/>
              <w:bottom w:val="nil"/>
              <w:right w:val="single" w:sz="4" w:space="0" w:color="auto"/>
            </w:tcBorders>
            <w:shd w:val="clear" w:color="000000" w:fill="BFBFBF"/>
            <w:noWrap/>
            <w:vAlign w:val="center"/>
            <w:hideMark/>
          </w:tcPr>
          <w:p w:rsidR="00C76258" w:rsidRPr="00C76258" w:rsidRDefault="00C76258" w:rsidP="00C76258">
            <w:pPr>
              <w:jc w:val="center"/>
              <w:rPr>
                <w:color w:val="000000"/>
                <w:sz w:val="20"/>
                <w:szCs w:val="20"/>
              </w:rPr>
            </w:pPr>
            <w:r w:rsidRPr="00C76258">
              <w:rPr>
                <w:color w:val="000000"/>
                <w:sz w:val="20"/>
                <w:szCs w:val="20"/>
              </w:rPr>
              <w:t>Katsayı</w:t>
            </w:r>
          </w:p>
        </w:tc>
        <w:tc>
          <w:tcPr>
            <w:tcW w:w="917" w:type="dxa"/>
            <w:tcBorders>
              <w:top w:val="nil"/>
              <w:left w:val="nil"/>
              <w:bottom w:val="nil"/>
              <w:right w:val="single" w:sz="4" w:space="0" w:color="auto"/>
            </w:tcBorders>
            <w:shd w:val="clear" w:color="000000" w:fill="BFBFBF"/>
            <w:noWrap/>
            <w:vAlign w:val="center"/>
            <w:hideMark/>
          </w:tcPr>
          <w:p w:rsidR="00C76258" w:rsidRPr="00C76258" w:rsidRDefault="00C76258" w:rsidP="00C76258">
            <w:pPr>
              <w:jc w:val="center"/>
              <w:rPr>
                <w:color w:val="000000"/>
                <w:sz w:val="20"/>
                <w:szCs w:val="20"/>
              </w:rPr>
            </w:pPr>
            <w:r w:rsidRPr="00C76258">
              <w:rPr>
                <w:color w:val="000000"/>
                <w:sz w:val="20"/>
                <w:szCs w:val="20"/>
              </w:rPr>
              <w:t>z</w:t>
            </w:r>
          </w:p>
        </w:tc>
        <w:tc>
          <w:tcPr>
            <w:tcW w:w="751" w:type="dxa"/>
            <w:tcBorders>
              <w:top w:val="nil"/>
              <w:left w:val="nil"/>
              <w:bottom w:val="nil"/>
              <w:right w:val="single" w:sz="4" w:space="0" w:color="auto"/>
            </w:tcBorders>
            <w:shd w:val="clear" w:color="000000" w:fill="BFBFBF"/>
            <w:noWrap/>
            <w:vAlign w:val="center"/>
            <w:hideMark/>
          </w:tcPr>
          <w:p w:rsidR="00C76258" w:rsidRPr="00C76258" w:rsidRDefault="00C76258" w:rsidP="00C76258">
            <w:pPr>
              <w:jc w:val="center"/>
              <w:rPr>
                <w:color w:val="000000"/>
                <w:sz w:val="20"/>
                <w:szCs w:val="20"/>
              </w:rPr>
            </w:pPr>
            <w:r w:rsidRPr="00C76258">
              <w:rPr>
                <w:color w:val="000000"/>
                <w:sz w:val="20"/>
                <w:szCs w:val="20"/>
              </w:rPr>
              <w:t>Katsayı</w:t>
            </w:r>
          </w:p>
        </w:tc>
        <w:tc>
          <w:tcPr>
            <w:tcW w:w="959" w:type="dxa"/>
            <w:tcBorders>
              <w:top w:val="nil"/>
              <w:left w:val="nil"/>
              <w:bottom w:val="nil"/>
              <w:right w:val="single" w:sz="4" w:space="0" w:color="auto"/>
            </w:tcBorders>
            <w:shd w:val="clear" w:color="000000" w:fill="BFBFBF"/>
            <w:noWrap/>
            <w:vAlign w:val="center"/>
            <w:hideMark/>
          </w:tcPr>
          <w:p w:rsidR="00C76258" w:rsidRPr="00C76258" w:rsidRDefault="00C76258" w:rsidP="00C76258">
            <w:pPr>
              <w:jc w:val="center"/>
              <w:rPr>
                <w:color w:val="000000"/>
                <w:sz w:val="20"/>
                <w:szCs w:val="20"/>
              </w:rPr>
            </w:pPr>
            <w:r w:rsidRPr="00C76258">
              <w:rPr>
                <w:color w:val="000000"/>
                <w:sz w:val="20"/>
                <w:szCs w:val="20"/>
              </w:rPr>
              <w:t>z</w:t>
            </w:r>
          </w:p>
        </w:tc>
      </w:tr>
      <w:tr w:rsidR="00C76258" w:rsidRPr="00C76258" w:rsidTr="002766A5">
        <w:trPr>
          <w:trHeight w:val="315"/>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1</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Avustralya</w:t>
            </w:r>
          </w:p>
        </w:tc>
        <w:tc>
          <w:tcPr>
            <w:tcW w:w="751" w:type="dxa"/>
            <w:tcBorders>
              <w:top w:val="single" w:sz="4" w:space="0" w:color="auto"/>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0.158</w:t>
            </w:r>
          </w:p>
        </w:tc>
        <w:tc>
          <w:tcPr>
            <w:tcW w:w="890" w:type="dxa"/>
            <w:tcBorders>
              <w:top w:val="single" w:sz="4" w:space="0" w:color="auto"/>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1.000</w:t>
            </w:r>
          </w:p>
        </w:tc>
        <w:tc>
          <w:tcPr>
            <w:tcW w:w="751" w:type="dxa"/>
            <w:tcBorders>
              <w:top w:val="single" w:sz="4" w:space="0" w:color="auto"/>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1.088</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5.590</w:t>
            </w:r>
            <w:r w:rsidR="00CE1B63">
              <w:rPr>
                <w:color w:val="000000"/>
                <w:sz w:val="20"/>
                <w:szCs w:val="20"/>
              </w:rPr>
              <w:t>*</w:t>
            </w:r>
          </w:p>
        </w:tc>
        <w:tc>
          <w:tcPr>
            <w:tcW w:w="751" w:type="dxa"/>
            <w:tcBorders>
              <w:top w:val="single" w:sz="4" w:space="0" w:color="auto"/>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0.015</w:t>
            </w:r>
          </w:p>
        </w:tc>
        <w:tc>
          <w:tcPr>
            <w:tcW w:w="917" w:type="dxa"/>
            <w:tcBorders>
              <w:top w:val="single" w:sz="4" w:space="0" w:color="auto"/>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0.040</w:t>
            </w:r>
          </w:p>
        </w:tc>
        <w:tc>
          <w:tcPr>
            <w:tcW w:w="751" w:type="dxa"/>
            <w:tcBorders>
              <w:top w:val="single" w:sz="4" w:space="0" w:color="auto"/>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-1.651</w:t>
            </w:r>
          </w:p>
        </w:tc>
        <w:tc>
          <w:tcPr>
            <w:tcW w:w="959" w:type="dxa"/>
            <w:tcBorders>
              <w:top w:val="single" w:sz="4" w:space="0" w:color="auto"/>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-4.010</w:t>
            </w:r>
            <w:r w:rsidR="002766A5">
              <w:rPr>
                <w:color w:val="000000"/>
                <w:sz w:val="20"/>
                <w:szCs w:val="20"/>
              </w:rPr>
              <w:t>*</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2</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Avusturya</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-0.971</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-2.180</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1.124</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13.960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0.831</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1.910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-0.155</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-0.220</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3</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Belçika</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-1.000</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-1.700</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1.083</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9.830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-0.196</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-0.240</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0.805</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1.060</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4</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Kanada</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0.952</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5.090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0.383</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2.140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1.202</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3.650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1.162</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2.470</w:t>
            </w:r>
            <w:r w:rsidR="002766A5">
              <w:rPr>
                <w:color w:val="000000"/>
                <w:sz w:val="20"/>
                <w:szCs w:val="20"/>
              </w:rPr>
              <w:t>*</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5</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Şili</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1.287</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12.240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1.234</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26.990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-0.440</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-0.670</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1.714</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1.600</w:t>
            </w:r>
            <w:r w:rsidR="002766A5">
              <w:rPr>
                <w:color w:val="000000"/>
                <w:sz w:val="20"/>
                <w:szCs w:val="20"/>
              </w:rPr>
              <w:t>***</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6</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Danimarka</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1.643</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4.090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1.563</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8.170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-2.013</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-3.400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-1.592</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-1.980</w:t>
            </w:r>
            <w:r w:rsidR="002766A5">
              <w:rPr>
                <w:color w:val="000000"/>
                <w:sz w:val="20"/>
                <w:szCs w:val="20"/>
              </w:rPr>
              <w:t>**</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7</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Finlandiya</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0.096</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0.450</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0.713</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3.350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-0.428</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-1.090</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-0.783</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-1.220</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8</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Fransa</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-1.697</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-3.120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-0.071</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-0.260</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3.728</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2.650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3.477</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2.360</w:t>
            </w:r>
            <w:r w:rsidR="002766A5">
              <w:rPr>
                <w:color w:val="000000"/>
                <w:sz w:val="20"/>
                <w:szCs w:val="20"/>
              </w:rPr>
              <w:t>*</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9</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Almanya</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0.445</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1.500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1.229</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40.510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-1.962</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-3.650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-1.586</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-1.830</w:t>
            </w:r>
            <w:r w:rsidR="002766A5">
              <w:rPr>
                <w:color w:val="000000"/>
                <w:sz w:val="20"/>
                <w:szCs w:val="20"/>
              </w:rPr>
              <w:t>**</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10</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Yunanistan</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-0.426</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-2.580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1.084</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8.810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0.093</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0.110</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-1.349</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-1.710</w:t>
            </w:r>
            <w:r w:rsidR="002766A5">
              <w:rPr>
                <w:color w:val="000000"/>
                <w:sz w:val="20"/>
                <w:szCs w:val="20"/>
              </w:rPr>
              <w:t>**</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11</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Macaristan</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1.079</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10.590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1.226</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30.850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-0.665</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-1.050</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0.243</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0.430</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12</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İsrail</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0.621</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1.930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0.349</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4.270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-0.704</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-2.120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0.064</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0.220</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13</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İtalya</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0.285</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3.100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0.936</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5.360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-0.950</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-2.760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-0.741</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-1.560</w:t>
            </w:r>
            <w:r w:rsidR="002766A5">
              <w:rPr>
                <w:color w:val="000000"/>
                <w:sz w:val="20"/>
                <w:szCs w:val="20"/>
              </w:rPr>
              <w:t>***</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14</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Japonya</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-0.132</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-1.270</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0.870</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5.480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-2.124</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-2.210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-1.958</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-2.000</w:t>
            </w:r>
            <w:r w:rsidR="002766A5">
              <w:rPr>
                <w:color w:val="000000"/>
                <w:sz w:val="20"/>
                <w:szCs w:val="20"/>
              </w:rPr>
              <w:t>**</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15</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Güney Kore</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1.085</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7.640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1.054</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13.110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-0.252</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-0.360</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-1.868</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-1.690</w:t>
            </w:r>
            <w:r w:rsidR="002766A5">
              <w:rPr>
                <w:color w:val="000000"/>
                <w:sz w:val="20"/>
                <w:szCs w:val="20"/>
              </w:rPr>
              <w:t>**</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16</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Meksika</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1.246</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7.930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0.854</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21.940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1.407</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1.940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1.772</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2.820</w:t>
            </w:r>
            <w:r w:rsidR="002766A5">
              <w:rPr>
                <w:color w:val="000000"/>
                <w:sz w:val="20"/>
                <w:szCs w:val="20"/>
              </w:rPr>
              <w:t>*</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17</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Hollanda</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sz w:val="20"/>
                <w:szCs w:val="20"/>
              </w:rPr>
            </w:pPr>
            <w:r w:rsidRPr="00C76258">
              <w:rPr>
                <w:sz w:val="20"/>
                <w:szCs w:val="20"/>
              </w:rPr>
              <w:t>-0.020</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sz w:val="20"/>
                <w:szCs w:val="20"/>
              </w:rPr>
            </w:pPr>
            <w:r w:rsidRPr="00C76258">
              <w:rPr>
                <w:sz w:val="20"/>
                <w:szCs w:val="20"/>
              </w:rPr>
              <w:t>-0.090</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0.440</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3.710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-0.554</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-1.100</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-0.071</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-0.130</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18</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Norveç</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0.199</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1.030</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0.414</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2.450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-0.750</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-2.910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-0.406</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-1.290</w:t>
            </w:r>
            <w:r w:rsidR="002766A5">
              <w:rPr>
                <w:color w:val="000000"/>
                <w:sz w:val="20"/>
                <w:szCs w:val="20"/>
              </w:rPr>
              <w:t>***</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19</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Portekiz</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1.883</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5.960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1.296</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15.800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-0.478</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-0.550</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-2.204</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-2.530</w:t>
            </w:r>
            <w:r w:rsidR="002766A5">
              <w:rPr>
                <w:color w:val="000000"/>
                <w:sz w:val="20"/>
                <w:szCs w:val="20"/>
              </w:rPr>
              <w:t>*</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20</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İspanya</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0.676</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2.320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1.371</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11.610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-1.282</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-2.220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-2.688</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-5.070</w:t>
            </w:r>
            <w:r w:rsidR="002766A5">
              <w:rPr>
                <w:color w:val="000000"/>
                <w:sz w:val="20"/>
                <w:szCs w:val="20"/>
              </w:rPr>
              <w:t>*</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21</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İsveç</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0.922</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3.640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0.338</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2.160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4.354</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3.440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4.581</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2.440</w:t>
            </w:r>
            <w:r w:rsidR="002766A5">
              <w:rPr>
                <w:color w:val="000000"/>
                <w:sz w:val="20"/>
                <w:szCs w:val="20"/>
              </w:rPr>
              <w:t>*</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22</w:t>
            </w:r>
          </w:p>
        </w:tc>
        <w:tc>
          <w:tcPr>
            <w:tcW w:w="1262"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rPr>
                <w:color w:val="000000"/>
                <w:sz w:val="20"/>
                <w:szCs w:val="20"/>
              </w:rPr>
            </w:pPr>
            <w:r w:rsidRPr="00C76258">
              <w:rPr>
                <w:color w:val="000000"/>
                <w:sz w:val="20"/>
                <w:szCs w:val="20"/>
              </w:rPr>
              <w:t>Türkiye</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0.685</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6.070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1.040</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22.070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-0.638</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-0.810</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-1.816</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-2.970</w:t>
            </w:r>
            <w:r w:rsidR="002766A5">
              <w:rPr>
                <w:color w:val="000000"/>
                <w:sz w:val="20"/>
                <w:szCs w:val="20"/>
              </w:rPr>
              <w:t>*</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23</w:t>
            </w:r>
          </w:p>
        </w:tc>
        <w:tc>
          <w:tcPr>
            <w:tcW w:w="1262"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rPr>
                <w:color w:val="000000"/>
                <w:sz w:val="20"/>
                <w:szCs w:val="20"/>
              </w:rPr>
            </w:pPr>
            <w:r w:rsidRPr="00C76258">
              <w:rPr>
                <w:color w:val="000000"/>
                <w:sz w:val="20"/>
                <w:szCs w:val="20"/>
              </w:rPr>
              <w:t>İngiltere</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0.398</w:t>
            </w:r>
          </w:p>
        </w:tc>
        <w:tc>
          <w:tcPr>
            <w:tcW w:w="89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2.320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0.828</w:t>
            </w:r>
          </w:p>
        </w:tc>
        <w:tc>
          <w:tcPr>
            <w:tcW w:w="800"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7.910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-0.925</w:t>
            </w:r>
          </w:p>
        </w:tc>
        <w:tc>
          <w:tcPr>
            <w:tcW w:w="917"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-1.820</w:t>
            </w:r>
            <w:r w:rsidR="00CE1B63">
              <w:rPr>
                <w:color w:val="000000"/>
                <w:sz w:val="20"/>
                <w:szCs w:val="20"/>
              </w:rPr>
              <w:t>**</w:t>
            </w:r>
          </w:p>
        </w:tc>
        <w:tc>
          <w:tcPr>
            <w:tcW w:w="751"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-0.191</w:t>
            </w:r>
          </w:p>
        </w:tc>
        <w:tc>
          <w:tcPr>
            <w:tcW w:w="959"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jc w:val="center"/>
              <w:rPr>
                <w:color w:val="000000"/>
                <w:sz w:val="20"/>
                <w:szCs w:val="20"/>
              </w:rPr>
            </w:pPr>
            <w:r w:rsidRPr="00C76258">
              <w:rPr>
                <w:color w:val="000000"/>
                <w:sz w:val="20"/>
                <w:szCs w:val="20"/>
              </w:rPr>
              <w:t>-0.370</w:t>
            </w:r>
          </w:p>
        </w:tc>
      </w:tr>
      <w:tr w:rsidR="00C76258" w:rsidRPr="00C76258" w:rsidTr="002766A5">
        <w:trPr>
          <w:trHeight w:val="3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24</w:t>
            </w:r>
          </w:p>
        </w:tc>
        <w:tc>
          <w:tcPr>
            <w:tcW w:w="1262" w:type="dxa"/>
            <w:tcBorders>
              <w:top w:val="nil"/>
              <w:left w:val="nil"/>
              <w:bottom w:val="single" w:sz="4" w:space="0" w:color="auto"/>
              <w:right w:val="single" w:sz="4" w:space="0" w:color="auto"/>
            </w:tcBorders>
            <w:shd w:val="clear" w:color="000000" w:fill="FFFFFF"/>
            <w:noWrap/>
            <w:vAlign w:val="center"/>
            <w:hideMark/>
          </w:tcPr>
          <w:p w:rsidR="00C76258" w:rsidRPr="00C76258" w:rsidRDefault="00C76258" w:rsidP="00C76258">
            <w:pPr>
              <w:rPr>
                <w:color w:val="000000"/>
                <w:sz w:val="20"/>
                <w:szCs w:val="20"/>
              </w:rPr>
            </w:pPr>
            <w:r w:rsidRPr="00C76258">
              <w:rPr>
                <w:color w:val="000000"/>
                <w:sz w:val="20"/>
                <w:szCs w:val="20"/>
              </w:rPr>
              <w:t>ABD</w:t>
            </w:r>
          </w:p>
        </w:tc>
        <w:tc>
          <w:tcPr>
            <w:tcW w:w="751"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0.746</w:t>
            </w:r>
          </w:p>
        </w:tc>
        <w:tc>
          <w:tcPr>
            <w:tcW w:w="890"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3.030</w:t>
            </w:r>
            <w:r w:rsidR="00CE1B63">
              <w:rPr>
                <w:color w:val="000000"/>
                <w:sz w:val="20"/>
                <w:szCs w:val="20"/>
              </w:rPr>
              <w:t>*</w:t>
            </w:r>
          </w:p>
        </w:tc>
        <w:tc>
          <w:tcPr>
            <w:tcW w:w="751"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1.089</w:t>
            </w:r>
          </w:p>
        </w:tc>
        <w:tc>
          <w:tcPr>
            <w:tcW w:w="800"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12.480</w:t>
            </w:r>
            <w:r w:rsidR="00CE1B63">
              <w:rPr>
                <w:color w:val="000000"/>
                <w:sz w:val="20"/>
                <w:szCs w:val="20"/>
              </w:rPr>
              <w:t>*</w:t>
            </w:r>
          </w:p>
        </w:tc>
        <w:tc>
          <w:tcPr>
            <w:tcW w:w="751"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-2.312</w:t>
            </w:r>
          </w:p>
        </w:tc>
        <w:tc>
          <w:tcPr>
            <w:tcW w:w="917"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-3.370</w:t>
            </w:r>
            <w:r w:rsidR="00CE1B63">
              <w:rPr>
                <w:color w:val="000000"/>
                <w:sz w:val="20"/>
                <w:szCs w:val="20"/>
              </w:rPr>
              <w:t>*</w:t>
            </w:r>
          </w:p>
        </w:tc>
        <w:tc>
          <w:tcPr>
            <w:tcW w:w="751"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1.913</w:t>
            </w:r>
          </w:p>
        </w:tc>
        <w:tc>
          <w:tcPr>
            <w:tcW w:w="959" w:type="dxa"/>
            <w:tcBorders>
              <w:top w:val="nil"/>
              <w:left w:val="nil"/>
              <w:bottom w:val="single" w:sz="4" w:space="0" w:color="auto"/>
              <w:right w:val="single" w:sz="4" w:space="0" w:color="auto"/>
            </w:tcBorders>
            <w:shd w:val="clear" w:color="auto" w:fill="auto"/>
            <w:noWrap/>
            <w:vAlign w:val="center"/>
            <w:hideMark/>
          </w:tcPr>
          <w:p w:rsidR="00C76258" w:rsidRPr="00C76258" w:rsidRDefault="00C76258" w:rsidP="00C76258">
            <w:pPr>
              <w:jc w:val="center"/>
              <w:rPr>
                <w:color w:val="000000"/>
                <w:sz w:val="20"/>
                <w:szCs w:val="20"/>
              </w:rPr>
            </w:pPr>
            <w:r w:rsidRPr="00C76258">
              <w:rPr>
                <w:color w:val="000000"/>
                <w:sz w:val="20"/>
                <w:szCs w:val="20"/>
              </w:rPr>
              <w:t>1.690</w:t>
            </w:r>
            <w:r w:rsidR="002766A5">
              <w:rPr>
                <w:color w:val="000000"/>
                <w:sz w:val="20"/>
                <w:szCs w:val="20"/>
              </w:rPr>
              <w:t>**</w:t>
            </w:r>
          </w:p>
        </w:tc>
      </w:tr>
    </w:tbl>
    <w:p w:rsidR="00C76258" w:rsidRPr="0095448C" w:rsidRDefault="00C76258" w:rsidP="0095448C">
      <w:pPr>
        <w:rPr>
          <w:sz w:val="20"/>
          <w:szCs w:val="20"/>
        </w:rPr>
      </w:pPr>
      <w:r w:rsidRPr="0095448C">
        <w:rPr>
          <w:sz w:val="20"/>
          <w:szCs w:val="20"/>
        </w:rPr>
        <w:t>Not: *:%1 , **:%5, ***:%10 anlamlılık düzeyinde durağanlığı ifade etmektedir. Z istatistik değerleri 2.32’den büyükse %1, 1,65’ten büyükse %5 ve 1.28’den büyükse %10’da anlamlıdır.</w:t>
      </w:r>
    </w:p>
    <w:p w:rsidR="00796C05" w:rsidRDefault="00F503D8" w:rsidP="00796C05">
      <w:pPr>
        <w:autoSpaceDE w:val="0"/>
        <w:autoSpaceDN w:val="0"/>
        <w:adjustRightInd w:val="0"/>
        <w:spacing w:before="240" w:after="240" w:line="360" w:lineRule="auto"/>
        <w:ind w:firstLine="706"/>
        <w:jc w:val="both"/>
      </w:pPr>
      <w:r>
        <w:tab/>
      </w:r>
      <w:r w:rsidR="00046C93">
        <w:t xml:space="preserve">Yapılan analiz sonucunda; </w:t>
      </w:r>
      <w:r w:rsidR="00B0658E">
        <w:t xml:space="preserve">Kanada, Danimarka, Almanya, İtalya, Meksika, İspanya, İsveç ve ABD için tüm değişkenlerde sonuçlar </w:t>
      </w:r>
      <w:r w:rsidR="0069461E">
        <w:t xml:space="preserve">istatistiksel olarak </w:t>
      </w:r>
      <w:r w:rsidR="00B0658E">
        <w:t xml:space="preserve">anlamlı çıkmıştır. </w:t>
      </w:r>
      <w:r w:rsidR="00E22914">
        <w:t>Enerji tüketimi, Fransa hariç (anlamsız) diğer ülkelerde an</w:t>
      </w:r>
      <w:r w:rsidR="002B1168">
        <w:t>lamlı ve pozitiftir. Bu sonuç</w:t>
      </w:r>
      <w:r w:rsidR="00E61F34">
        <w:t xml:space="preserve"> beklentilerimizle ve literatürdeki</w:t>
      </w:r>
      <w:r w:rsidR="006B13CE">
        <w:t xml:space="preserve"> Acaravci ve Ozturk (2010)</w:t>
      </w:r>
      <w:r w:rsidR="00CA4E8E">
        <w:t>; Bella vd</w:t>
      </w:r>
      <w:proofErr w:type="gramStart"/>
      <w:r w:rsidR="00CA4E8E">
        <w:t>.,</w:t>
      </w:r>
      <w:proofErr w:type="gramEnd"/>
      <w:r w:rsidR="00CA4E8E">
        <w:t xml:space="preserve"> (2010)</w:t>
      </w:r>
      <w:r w:rsidR="00E50F6E">
        <w:t>; Marrero (2010) ç</w:t>
      </w:r>
      <w:r w:rsidR="00E61F34">
        <w:t>alışmalarla uyumludur</w:t>
      </w:r>
      <w:r w:rsidR="00E22914">
        <w:t xml:space="preserve">. </w:t>
      </w:r>
    </w:p>
    <w:p w:rsidR="00A82F8E" w:rsidRDefault="00E22914" w:rsidP="00A82F8E">
      <w:pPr>
        <w:autoSpaceDE w:val="0"/>
        <w:autoSpaceDN w:val="0"/>
        <w:adjustRightInd w:val="0"/>
        <w:spacing w:before="240" w:after="240" w:line="360" w:lineRule="auto"/>
        <w:ind w:firstLine="706"/>
        <w:jc w:val="both"/>
      </w:pPr>
      <w:r>
        <w:t>Ekonomik büyüme olarak aldığımız kişi başı GSYİH, Avustralya, Finlandiya, Japonya ve Meksika dışındaki tüm ülkelerde anlamlı çıkmıştır. Avusturya, Belçika, Fransa ve Yunanistanda ise negatif sonuçlara ulaşılmıştır. Bu sonuçlar Jaunky</w:t>
      </w:r>
      <w:r w:rsidR="00A82F8E">
        <w:t>’in (</w:t>
      </w:r>
      <w:r>
        <w:t>2011: 1238</w:t>
      </w:r>
      <w:r w:rsidR="00A82F8E">
        <w:t xml:space="preserve">) çalışmasındaki sonuçlarla örtüşmektedir. </w:t>
      </w:r>
      <w:r>
        <w:t xml:space="preserve">  </w:t>
      </w:r>
      <w:r w:rsidR="0027537E">
        <w:t>Diğer</w:t>
      </w:r>
      <w:r w:rsidR="00A82F8E">
        <w:t xml:space="preserve"> 15 ülke</w:t>
      </w:r>
      <w:r w:rsidR="0027537E">
        <w:t xml:space="preserve">de </w:t>
      </w:r>
      <w:r w:rsidR="00A82F8E">
        <w:t>ekonomik büyüme</w:t>
      </w:r>
      <w:r w:rsidR="0027537E">
        <w:t xml:space="preserve">nin karbon emisyonu üzerindeki etkisipozitif ve istatistiksel olarak anlamlıdır. Elde edilen </w:t>
      </w:r>
      <w:r w:rsidR="0027537E">
        <w:lastRenderedPageBreak/>
        <w:t xml:space="preserve">bu sonuç literatürdeki </w:t>
      </w:r>
      <w:r w:rsidR="00290091">
        <w:t xml:space="preserve">Jaunky, (2011); </w:t>
      </w:r>
      <w:r w:rsidR="001A3527">
        <w:t>Adom vd.</w:t>
      </w:r>
      <w:r w:rsidR="00A602BE">
        <w:t xml:space="preserve"> (2012)</w:t>
      </w:r>
      <w:r w:rsidR="00290091">
        <w:t>; Ahme</w:t>
      </w:r>
      <w:r w:rsidR="001A3527">
        <w:t>d ve Long</w:t>
      </w:r>
      <w:r w:rsidR="00290091">
        <w:t xml:space="preserve"> (2012)</w:t>
      </w:r>
      <w:r w:rsidR="001A3527">
        <w:t>; Öztürk ve Acaravci (2012)</w:t>
      </w:r>
      <w:r w:rsidR="0027537E">
        <w:t xml:space="preserve"> çalışmalarla uyumludur.</w:t>
      </w:r>
    </w:p>
    <w:p w:rsidR="00CE3A20" w:rsidRDefault="00FC5E12" w:rsidP="009D7EAA">
      <w:pPr>
        <w:spacing w:before="240" w:after="240" w:line="360" w:lineRule="auto"/>
        <w:ind w:firstLine="709"/>
        <w:jc w:val="both"/>
      </w:pPr>
      <w:r>
        <w:t>İhracat’ın çevr</w:t>
      </w:r>
      <w:r w:rsidR="0027537E">
        <w:t>e kirliliği üzerindeki etkileri;</w:t>
      </w:r>
      <w:r>
        <w:t xml:space="preserve"> </w:t>
      </w:r>
      <w:r w:rsidR="0027537E">
        <w:t xml:space="preserve">Avusturya, Kanada, Fransa, Meksika ve İsveç’te beklentilerimize uygun olarak pozitif ve istatistiki anlamlı bulunmuştur. Danimarka, Almanya, İsrail, İtalya, Japonya, Norveç, İspanya, İngiltere ve ABD’de ihracatın </w:t>
      </w:r>
      <w:r w:rsidR="00CE3A20">
        <w:t xml:space="preserve">karbon emisyonunu artırıcı yönde bir etkisinin olmadığı sonucuna ulaşılmıştır. Bu durumun, söz konusu ülkelerin gelişmiş olmalarından ve üretimlerinde temiz enerji kaynakları kullanımına ağırlık veriyor olamalarından kaynaklanmış olabileceği değerlendirilmiştir. </w:t>
      </w:r>
    </w:p>
    <w:p w:rsidR="009D7EAA" w:rsidRDefault="00CE3A20" w:rsidP="009D7EAA">
      <w:pPr>
        <w:spacing w:before="240" w:after="240" w:line="360" w:lineRule="auto"/>
        <w:ind w:firstLine="709"/>
        <w:jc w:val="both"/>
      </w:pPr>
      <w:r>
        <w:t xml:space="preserve">24 ülkenin 11’inde ithaların </w:t>
      </w:r>
      <w:r w:rsidR="009D7EAA">
        <w:t>çevre kirliliğini azalt</w:t>
      </w:r>
      <w:r>
        <w:t xml:space="preserve">ıcı yönde etkisinin olduğu görülmüştür. Bu durum beklentilerimizle iktisat teorisiyle uyumludur. Kanada, Şili, Fransa, Meksika, İsveç ve ABD’de ithalatın karbon emisyonunu artırıcı etkilerinin olduğu bulgusuna ulaşılmıştır. Bunun nedeninin söz konusu ülkelerce ithal edilen ürün çeşitlerinden kaynaklanmış olabileceği değerlendirilmiştir. </w:t>
      </w:r>
    </w:p>
    <w:p w:rsidR="0041728B" w:rsidRDefault="0041728B" w:rsidP="0041728B">
      <w:pPr>
        <w:spacing w:before="240" w:after="240" w:line="360" w:lineRule="auto"/>
        <w:ind w:firstLine="709"/>
        <w:jc w:val="both"/>
      </w:pPr>
      <w:r>
        <w:t xml:space="preserve">AB15 ülkelerinin kişi başı geliri ile karbon emisyonları arasıdaki ilişkinin pozitif çıkması, bu ülkelerin karbon emisyonlarını 1990 yılının %8 altına düşürme hedeflerini tutturmaklarından kaynaklanabileceği düşünülmüştür. Ayrıca AB15 ülkelerinde GSYİH’nin karbon emisyonlarından daha hızlı arttığı da bu ilişkiyi desteklemektedir. </w:t>
      </w:r>
    </w:p>
    <w:p w:rsidR="00E77738" w:rsidRDefault="00E77738" w:rsidP="00BA64E9">
      <w:pPr>
        <w:autoSpaceDE w:val="0"/>
        <w:autoSpaceDN w:val="0"/>
        <w:adjustRightInd w:val="0"/>
        <w:spacing w:before="240" w:after="240" w:line="360" w:lineRule="auto"/>
        <w:ind w:firstLine="706"/>
        <w:jc w:val="both"/>
      </w:pPr>
      <w:r>
        <w:t xml:space="preserve">Fransa ve Belçika gibi bazı gelişmiş ülkelerin ekonomik büyüme ile karbon emisyonları arasındaki ilişkinin negatif çıkmasının sebebi bu ülkelerin belli bir zenginliğe ulaştıklarında, çevre konusunda hassasiyet gösterip sera gazı emisyonlarını azaltabilme başarısı göstermiş şeklinde yorumlanmıştır. </w:t>
      </w:r>
    </w:p>
    <w:p w:rsidR="00BA64E9" w:rsidRDefault="00BA64E9" w:rsidP="00BA64E9">
      <w:pPr>
        <w:autoSpaceDE w:val="0"/>
        <w:autoSpaceDN w:val="0"/>
        <w:adjustRightInd w:val="0"/>
        <w:spacing w:before="240" w:after="240" w:line="360" w:lineRule="auto"/>
        <w:ind w:firstLine="706"/>
        <w:jc w:val="both"/>
      </w:pPr>
      <w:r>
        <w:t>Türkiye’de ekonomik büyüme ve enerji tüketimi</w:t>
      </w:r>
      <w:r w:rsidR="00FB1098">
        <w:t>nin karbon emisyonu üzerindeki etkisi p</w:t>
      </w:r>
      <w:r>
        <w:t>ozitif</w:t>
      </w:r>
      <w:r w:rsidR="00FB1098">
        <w:t xml:space="preserve"> ve istatistiksel olarak anlamlı bulunurken</w:t>
      </w:r>
      <w:r>
        <w:t>, ithalat</w:t>
      </w:r>
      <w:r w:rsidR="00FB1098">
        <w:t>ın</w:t>
      </w:r>
      <w:r>
        <w:t xml:space="preserve"> ise </w:t>
      </w:r>
      <w:r w:rsidR="00FB1098">
        <w:t>etkisi negatif ve anlamlı çıkmıştır.</w:t>
      </w:r>
      <w:r>
        <w:t xml:space="preserve"> Bu sonuçlar beklentilerimize ve literatüre uymaktadır. Ekonomik büyümede ve enerji tüketiminde meydana gelen bir birimlik artış çevre kirliliğini sırasıyla </w:t>
      </w:r>
      <w:proofErr w:type="gramStart"/>
      <w:r>
        <w:t>0.6</w:t>
      </w:r>
      <w:proofErr w:type="gramEnd"/>
      <w:r>
        <w:t xml:space="preserve"> ve 1.04 birim arttırmaktadır. Türkiye’de enerji tüketimi</w:t>
      </w:r>
      <w:r w:rsidR="001E3605">
        <w:t>,</w:t>
      </w:r>
      <w:r>
        <w:t xml:space="preserve"> çevre kirliliğine neden olan en önemli makroekonomik değişkendir. </w:t>
      </w:r>
    </w:p>
    <w:p w:rsidR="003820CF" w:rsidRDefault="00692A1B" w:rsidP="003820CF">
      <w:pPr>
        <w:autoSpaceDE w:val="0"/>
        <w:autoSpaceDN w:val="0"/>
        <w:adjustRightInd w:val="0"/>
        <w:spacing w:before="240" w:after="240" w:line="360" w:lineRule="auto"/>
        <w:ind w:firstLine="706"/>
        <w:sectPr w:rsidR="003820CF" w:rsidSect="008522AA">
          <w:pgSz w:w="11906" w:h="16838"/>
          <w:pgMar w:top="1701" w:right="1134" w:bottom="1134" w:left="2268" w:header="709" w:footer="709" w:gutter="0"/>
          <w:cols w:space="708"/>
          <w:docGrid w:linePitch="360"/>
        </w:sectPr>
      </w:pPr>
      <w:r>
        <w:t>Yunistan’da ekonomik</w:t>
      </w:r>
      <w:r w:rsidR="003820CF">
        <w:t xml:space="preserve"> büyüme ile karbon emisyonları arasında negatif yönlü ilişki çıkmasının; bu ülkede son dönemde yaşanan ekonomik krizlerin ve bu ülkenin </w:t>
      </w:r>
      <w:r w:rsidR="003820CF">
        <w:lastRenderedPageBreak/>
        <w:t xml:space="preserve">datalarında bilinçli olarak yaptığı tahrifatlara (Göçer,  2013b) bağlı olarak datalarının güvenilir olamamasının etkili olduğu değerlendirilmektedir. </w:t>
      </w:r>
    </w:p>
    <w:p w:rsidR="0019635E" w:rsidRPr="00F01901" w:rsidRDefault="0019635E" w:rsidP="00D26419"/>
    <w:p w:rsidR="0044255F" w:rsidRPr="00627FD5" w:rsidRDefault="0044255F" w:rsidP="00E71421">
      <w:pPr>
        <w:pStyle w:val="Balk1"/>
      </w:pPr>
      <w:bookmarkStart w:id="193" w:name="_Toc384824040"/>
      <w:r w:rsidRPr="00627FD5">
        <w:t>SONUÇ VE DEĞERLENDİRME</w:t>
      </w:r>
      <w:bookmarkEnd w:id="193"/>
    </w:p>
    <w:p w:rsidR="008401C6" w:rsidRPr="0026357A" w:rsidRDefault="008401C6" w:rsidP="00867F40">
      <w:pPr>
        <w:pStyle w:val="GvdeMetniGirintisi"/>
        <w:spacing w:before="240" w:after="240"/>
      </w:pPr>
      <w:r w:rsidRPr="0026357A">
        <w:t xml:space="preserve">Çevresel problemler, canlı yaşamı için çok büyük tehditler oluşturan temel sorunların başında gelmektedir. Bu problemler </w:t>
      </w:r>
      <w:r>
        <w:t xml:space="preserve">canlıların hayatlarını etkileyebileceği gibi, </w:t>
      </w:r>
      <w:r w:rsidRPr="0026357A">
        <w:t>küresel ı</w:t>
      </w:r>
      <w:r>
        <w:t xml:space="preserve">sınma ve iklim değişikliği gibi global ölçekte de olabilir. </w:t>
      </w:r>
      <w:r w:rsidRPr="0026357A">
        <w:t>Günümüzde canlı yaşamı için en önemli çevresel problem olarak görülen küresel ısınma ve iklim değişikliği</w:t>
      </w:r>
      <w:r>
        <w:t>nin ana sebebi</w:t>
      </w:r>
      <w:r w:rsidRPr="0026357A">
        <w:t xml:space="preserve">, enerji ihtiyacının karşılanabilmesi amacıyla fosil yakıtlı kaynakların yoğun bir şekilde kullanılmasından kaynaklanmaktadır. Kömür, petrol ve doğal gaz gibi yakıtların, giderek artma </w:t>
      </w:r>
      <w:r>
        <w:t>trendinde olması</w:t>
      </w:r>
      <w:r w:rsidRPr="0026357A">
        <w:t xml:space="preserve"> </w:t>
      </w:r>
      <w:r>
        <w:t xml:space="preserve">atmosfer içerisinde bulunan doğal sera gazlarının yoğunluğunu artırmaktadır. </w:t>
      </w:r>
      <w:r w:rsidRPr="0026357A">
        <w:t>Bu durum ise, küresel ısınma ve buna bağlı olarak ortaya çıkan iklim değişikliği olayının temel sebebi olarak görülmektedir.</w:t>
      </w:r>
    </w:p>
    <w:p w:rsidR="008401C6" w:rsidRDefault="008401C6" w:rsidP="00867F40">
      <w:pPr>
        <w:pStyle w:val="GvdeMetniGirintisi"/>
        <w:spacing w:before="240" w:after="240"/>
      </w:pPr>
      <w:r w:rsidRPr="0026357A">
        <w:t xml:space="preserve">Çevre bir taraftan insan ihtiyaçlarının karşılanması için kaynak niteliği taşırken, diğer taraftan da mal ve hizmet tüketimi sonucunda ortaya çıkan atıkların depolanması için bir yutak niteliği de taşımaktadır. </w:t>
      </w:r>
      <w:r w:rsidRPr="00D3277F">
        <w:t xml:space="preserve">İnsan yaşamı çeşitli dengeler üzerine kurulmuştur. Bunların arasında en önemlisi insanın çevreyle oluşturduğu doğal dengedir. Doğa ise bir sistemler bütünüdür. Bu sistemler arasındaki ilişkiler çoğunlukla kişiler tarafından fark edilemeyecek kadar uzun ilişki halkalarıyla birbirine bağlı </w:t>
      </w:r>
      <w:hyperlink r:id="rId51" w:history="1">
        <w:r w:rsidRPr="00D3277F">
          <w:t>ve</w:t>
        </w:r>
      </w:hyperlink>
      <w:r w:rsidRPr="00D3277F">
        <w:t xml:space="preserve"> uzun süreli olabilmektedir. Doğal</w:t>
      </w:r>
      <w:r>
        <w:t xml:space="preserve"> denge</w:t>
      </w:r>
      <w:r w:rsidRPr="00D3277F">
        <w:t xml:space="preserve"> sistemlere dışarıdan gelebilecek etkiler sonucu doğal dengeyi oluşturan zincirin halkalarında meydana gelen kopmalar zincirin tamamını etkileyerek bu dengenin bozulmasına neden olmakta ve böylece çevre sorunları ortaya çıkmaktadır. </w:t>
      </w:r>
      <w:r w:rsidRPr="0026357A">
        <w:t xml:space="preserve">Burada göz önünde bulundurulması gereken temel nokta, çevrenin bu absorbe yeteneğinin de sınırlı olduğudur. Çevrenin sahip olduğu bu taşıma kapasitesinin aşılması çevresel sorunların çıkmasına sebep olur. Bu bağlamda toplam </w:t>
      </w:r>
      <w:r>
        <w:t>sera gazı</w:t>
      </w:r>
      <w:r w:rsidRPr="0026357A">
        <w:t xml:space="preserve"> emisyonu içinde %80’in üzerinde bir paya sahip olan karbondioksit gazının doğal konsantrasyonun artması, doğal dengenin bozulması anlamına gelmektedir. Bu durum paralelinde, karbondioksit ve diğer sera gazlarının atmosfer içerisindeki paylarının önüne geçilmesi de, küresel ısınma ve iklim değişikliği için çok önemli bir durum olarak karşımıza çıkmaktadır.</w:t>
      </w:r>
    </w:p>
    <w:p w:rsidR="009B65B2" w:rsidRPr="009B65B2" w:rsidRDefault="009B65B2" w:rsidP="00867F40">
      <w:pPr>
        <w:pStyle w:val="GvdeMetniGirintisi"/>
        <w:spacing w:before="240" w:after="240"/>
      </w:pPr>
      <w:proofErr w:type="gramStart"/>
      <w:r>
        <w:t>IPCC (2013) 5AR raporunda, Antropogenik CO</w:t>
      </w:r>
      <w:r>
        <w:rPr>
          <w:vertAlign w:val="subscript"/>
        </w:rPr>
        <w:t>2</w:t>
      </w:r>
      <w:r>
        <w:t xml:space="preserve"> emisyonları 1990 yılında göre %60 artış gösterdiği</w:t>
      </w:r>
      <w:r w:rsidR="004F2DAC">
        <w:t>,</w:t>
      </w:r>
      <w:r>
        <w:t xml:space="preserve"> CO</w:t>
      </w:r>
      <w:r>
        <w:rPr>
          <w:vertAlign w:val="subscript"/>
        </w:rPr>
        <w:t>2</w:t>
      </w:r>
      <w:r>
        <w:t xml:space="preserve"> emisyonlarının toplam sera gazı içindeki payının %80’in üzerinde olduğu</w:t>
      </w:r>
      <w:r w:rsidR="004F2DAC">
        <w:t>,</w:t>
      </w:r>
      <w:r>
        <w:t xml:space="preserve"> </w:t>
      </w:r>
      <w:r w:rsidR="004F2DAC">
        <w:t>s</w:t>
      </w:r>
      <w:r>
        <w:t xml:space="preserve">on yüzyılda yerkürenin </w:t>
      </w:r>
      <w:r w:rsidRPr="009B65B2">
        <w:t>0.74</w:t>
      </w:r>
      <w:r w:rsidR="004F2DAC" w:rsidRPr="004F2DAC">
        <w:rPr>
          <w:color w:val="252525"/>
          <w:shd w:val="clear" w:color="auto" w:fill="FFFFFF"/>
        </w:rPr>
        <w:t>°</w:t>
      </w:r>
      <w:r w:rsidR="00BC2E0C" w:rsidRPr="004F2DAC">
        <w:rPr>
          <w:color w:val="252525"/>
          <w:shd w:val="clear" w:color="auto" w:fill="FFFFFF"/>
        </w:rPr>
        <w:t>C</w:t>
      </w:r>
      <w:r w:rsidR="00BC2E0C" w:rsidRPr="004F2DAC">
        <w:t xml:space="preserve"> </w:t>
      </w:r>
      <w:r w:rsidR="00BC2E0C" w:rsidRPr="009B65B2">
        <w:t>ısındığı</w:t>
      </w:r>
      <w:r w:rsidR="004F2DAC">
        <w:t>, %95 ihtimalle küresel ı</w:t>
      </w:r>
      <w:r w:rsidR="004F2DAC" w:rsidRPr="004F2DAC">
        <w:t>sı</w:t>
      </w:r>
      <w:r w:rsidR="004F2DAC">
        <w:t>nmanın nedeni seragazı artışı olduğu, küresel ı</w:t>
      </w:r>
      <w:r w:rsidR="004F2DAC" w:rsidRPr="004F2DAC">
        <w:t xml:space="preserve">sınmayı 2°C altında tutabilmek için </w:t>
      </w:r>
      <w:r w:rsidR="004F2DAC" w:rsidRPr="004F2DAC">
        <w:lastRenderedPageBreak/>
        <w:t>CO</w:t>
      </w:r>
      <w:r w:rsidR="004F2DAC" w:rsidRPr="00F55B15">
        <w:rPr>
          <w:vertAlign w:val="subscript"/>
        </w:rPr>
        <w:t>2</w:t>
      </w:r>
      <w:r w:rsidR="004F2DAC" w:rsidRPr="004F2DAC">
        <w:t xml:space="preserve"> emisyonu artışının yaklaşık 800 GtC </w:t>
      </w:r>
      <w:r w:rsidR="004F2DAC">
        <w:t xml:space="preserve">sınırını aşmaması gerektiği, şimdiye kadar </w:t>
      </w:r>
      <w:r w:rsidR="004F2DAC" w:rsidRPr="004F2DAC">
        <w:t>550 GtC salınmış</w:t>
      </w:r>
      <w:r w:rsidR="004F2DAC">
        <w:t xml:space="preserve"> olan karbon emisyonlarınının</w:t>
      </w:r>
      <w:r w:rsidR="004F2DAC" w:rsidRPr="004F2DAC">
        <w:t xml:space="preserve"> 250 GtC </w:t>
      </w:r>
      <w:r w:rsidR="004F2DAC">
        <w:t xml:space="preserve">kadar salınabileceği ve bundan sonra dünyanın yaşanmaz bir hal alçağı vurgulanmıştır. </w:t>
      </w:r>
      <w:r w:rsidR="004F2DAC">
        <w:rPr>
          <w:rStyle w:val="apple-converted-space"/>
          <w:rFonts w:ascii="Helvetica" w:hAnsi="Helvetica"/>
          <w:color w:val="252525"/>
          <w:sz w:val="21"/>
          <w:szCs w:val="21"/>
          <w:shd w:val="clear" w:color="auto" w:fill="FFFFFF"/>
        </w:rPr>
        <w:t> </w:t>
      </w:r>
      <w:proofErr w:type="gramEnd"/>
    </w:p>
    <w:p w:rsidR="008401C6" w:rsidRPr="0026357A" w:rsidRDefault="008401C6" w:rsidP="00867F40">
      <w:pPr>
        <w:pStyle w:val="GvdeMetniGirintisi"/>
        <w:spacing w:before="240" w:after="240"/>
      </w:pPr>
      <w:r w:rsidRPr="0026357A">
        <w:t>Sera</w:t>
      </w:r>
      <w:r>
        <w:t xml:space="preserve"> </w:t>
      </w:r>
      <w:r w:rsidRPr="0026357A">
        <w:t>gazları konsantrasyonundaki bu artışların ciddi tehditler oluşturmaya başlamasının anlaşılması ve bu sorunun küresel çabalarla çözümlenebileceğinin anlaşılmasıyla birlikte, global ölçekli işbirlikleri oluşturmaya ve organizasyonlar düzenlemeye başlanmıştır. Bu süreç</w:t>
      </w:r>
      <w:r>
        <w:t xml:space="preserve"> içerisinde Birleşmiş Milletler’in öncülüğünde 1992 yılının Haziran ayında</w:t>
      </w:r>
      <w:r w:rsidRPr="0026357A">
        <w:t xml:space="preserve"> Rio de Janerio’da düzenlenen Birleşmiş Milletler Çe</w:t>
      </w:r>
      <w:r>
        <w:t xml:space="preserve">vre ve Kalkınma Konferansı’nda </w:t>
      </w:r>
      <w:r w:rsidRPr="0026357A">
        <w:t xml:space="preserve">imzaya açılan “İklim Değişikliği Çerçeve </w:t>
      </w:r>
      <w:r>
        <w:t>Sözleşmesi” (İDÇS) ve 1997 yılının Aralık ayında</w:t>
      </w:r>
      <w:r w:rsidRPr="0026357A">
        <w:t xml:space="preserve"> Japonya’da düzenlenen “Üçüncü Taraflar Konferansı” sonucunda oluşturulan “Kyoto Protokolü” </w:t>
      </w:r>
      <w:r>
        <w:t xml:space="preserve">(KP) </w:t>
      </w:r>
      <w:r w:rsidRPr="0026357A">
        <w:t>ayrı bir önem taşımaktadır.</w:t>
      </w:r>
    </w:p>
    <w:p w:rsidR="008401C6" w:rsidRDefault="008401C6" w:rsidP="00867F40">
      <w:pPr>
        <w:pStyle w:val="GvdeMetniGirintisi"/>
        <w:spacing w:before="240" w:after="240"/>
      </w:pPr>
      <w:r w:rsidRPr="0026357A">
        <w:t xml:space="preserve">Kyoto Protokolü’nü önemli kılan nedenlerden biri, taraflara </w:t>
      </w:r>
      <w:r>
        <w:t>sera gazı</w:t>
      </w:r>
      <w:r w:rsidRPr="0026357A">
        <w:t xml:space="preserve"> azaltımı ile belli tarihler çerçevesinde ve belli oranlar </w:t>
      </w:r>
      <w:r w:rsidR="00B865E4" w:rsidRPr="0026357A">
        <w:t>dâhilinde</w:t>
      </w:r>
      <w:r w:rsidRPr="0026357A">
        <w:t xml:space="preserve"> yükümlülükler getirmesidir. Kyoto Protokolü’nü önemli kılan bir diğer neden ise, hukuki bir niteliği olan bu belgenin </w:t>
      </w:r>
      <w:r>
        <w:t>sera gazı</w:t>
      </w:r>
      <w:r w:rsidRPr="0026357A">
        <w:t xml:space="preserve"> azaltımına yönelik taraflara bir anlamda esneklik sağlayan üç yeni mekanizmayı devreye sokmasıdır. Kyoto Protokolü Esneklik Mekanizma’ları olarak adlandırılan bu mekanizmalar, </w:t>
      </w:r>
      <w:r>
        <w:t>sera gazı</w:t>
      </w:r>
      <w:r w:rsidRPr="0026357A">
        <w:t xml:space="preserve"> azaltımına yönelik ülkelerin kendi sınırları dışında ortak faaliyetler yürütmesine olanak tanımaktadır. Ancak tarafların bu mekanizmalardan yararlanabilmesi için, bazı şartları yerine getirmesi gerekmektedir. </w:t>
      </w:r>
    </w:p>
    <w:p w:rsidR="008401C6" w:rsidRDefault="008401C6" w:rsidP="00867F40">
      <w:pPr>
        <w:shd w:val="clear" w:color="auto" w:fill="FFFFFF"/>
        <w:spacing w:before="240" w:after="240" w:line="360" w:lineRule="auto"/>
        <w:ind w:firstLine="708"/>
        <w:jc w:val="both"/>
      </w:pPr>
      <w:r>
        <w:t xml:space="preserve">Dünya karbon </w:t>
      </w:r>
      <w:r w:rsidRPr="00154B85">
        <w:t xml:space="preserve">emisyonunun % 40’tan </w:t>
      </w:r>
      <w:r w:rsidRPr="00A116FF">
        <w:t>f</w:t>
      </w:r>
      <w:r>
        <w:t xml:space="preserve">azlasını gerçekleştiren </w:t>
      </w:r>
      <w:r w:rsidRPr="009B60F4">
        <w:t>Ekonomik Kalkınma ve İşbirliği Örgütü</w:t>
      </w:r>
      <w:r>
        <w:t xml:space="preserve"> (OECD) ülkeleri sera gazları emisyonlarını azaltmak için önemli anlaşma ve müzakereler yapmaktadır. Bu ülkelerin saldıkları sera gazlarının ekonomik boyutu milyar dolara ulaştığından dolayı birçok bilimin konusu olmaya başlamıştır. </w:t>
      </w:r>
    </w:p>
    <w:p w:rsidR="00EA7756" w:rsidRPr="0026357A" w:rsidRDefault="00EA7756" w:rsidP="00867F40">
      <w:pPr>
        <w:pStyle w:val="GvdeMetniGirintisi"/>
        <w:spacing w:before="240" w:after="240"/>
      </w:pPr>
      <w:r>
        <w:t xml:space="preserve">Bu bağlamda, çalışmanın birinci bölümü, </w:t>
      </w:r>
      <w:r w:rsidRPr="0026357A">
        <w:t>küres</w:t>
      </w:r>
      <w:r>
        <w:t xml:space="preserve">el ısınma ve iklim değişikliğinin var olduğu bilimsel araştırmalara dayanılarak sunulmuştur. Sera gazlarındaki artışın, fosil yakıtlardan kaynaklandığı ve sanayi devriminden sonra artmaya başladığı tartışılmıştır. Sera gazı emisyonlarının </w:t>
      </w:r>
      <w:r w:rsidR="00263C2E">
        <w:t>e</w:t>
      </w:r>
      <w:r>
        <w:t xml:space="preserve">konomik belirleyicileri detaylı bir şekilde verilmiştir. </w:t>
      </w:r>
      <w:r w:rsidR="002D424F">
        <w:t xml:space="preserve">Ayrıca iklim değişikliği ile ilgili uluslararası belge ve antlaşmaların önemlileri ele alınmış ve kronolojik bir sıra ile yapılan bu antlaşmalar analiz edilmiştir. </w:t>
      </w:r>
    </w:p>
    <w:p w:rsidR="00A75CFF" w:rsidRDefault="008401C6" w:rsidP="00867F40">
      <w:pPr>
        <w:pStyle w:val="GvdeMetniGirintisi"/>
        <w:spacing w:before="240" w:after="240"/>
      </w:pPr>
      <w:r>
        <w:lastRenderedPageBreak/>
        <w:t>Çalışmanın ikinci bölümünde</w:t>
      </w:r>
      <w:r w:rsidRPr="0026357A">
        <w:t>,</w:t>
      </w:r>
      <w:r>
        <w:t xml:space="preserve"> sera gazı azaltımında kullanılan ekonomi politikaları</w:t>
      </w:r>
      <w:r w:rsidR="001E579B">
        <w:t xml:space="preserve"> verilmiştir. Enerji dönüşümü, enerji verimliliği, karbon yakalama ve depolama sistemi ve karbon vergisi </w:t>
      </w:r>
      <w:r w:rsidR="00263C2E">
        <w:t>konuları incelenmiştir</w:t>
      </w:r>
      <w:r w:rsidR="001E579B">
        <w:t xml:space="preserve">. Yenilenebilir enerji kaynaklarının geliştirilmesi ve </w:t>
      </w:r>
      <w:r w:rsidR="00A75CFF">
        <w:t>doğal gaz gibi daha temiz enerji kaynaklarına geçilmesi sera g</w:t>
      </w:r>
      <w:r w:rsidR="00263C2E">
        <w:t>azı emisyonlarını azaltacağı düşünülmektedir. Ayrıca sera gazı emisyonlarında</w:t>
      </w:r>
      <w:r w:rsidR="00A75CFF">
        <w:t xml:space="preserve"> azaltmak için kullanılan araçlar </w:t>
      </w:r>
      <w:r w:rsidR="00263C2E">
        <w:t xml:space="preserve">da </w:t>
      </w:r>
      <w:r w:rsidR="00A75CFF">
        <w:t>analiz</w:t>
      </w:r>
      <w:r w:rsidR="00263C2E">
        <w:t>e dahil</w:t>
      </w:r>
      <w:r w:rsidR="00A75CFF">
        <w:t xml:space="preserve"> edilmiştir. AB ETS anlatılarak kullanılacak araçların etkinliği vurgulanmıştır.</w:t>
      </w:r>
    </w:p>
    <w:p w:rsidR="008401C6" w:rsidRPr="0026357A" w:rsidRDefault="008401C6" w:rsidP="00867F40">
      <w:pPr>
        <w:pStyle w:val="GvdeMetniGirintisi"/>
        <w:spacing w:before="240" w:after="240"/>
      </w:pPr>
      <w:r w:rsidRPr="0026357A">
        <w:t xml:space="preserve">Çalışmanın üçüncü bölümünde, </w:t>
      </w:r>
      <w:r>
        <w:t xml:space="preserve">sera gazı emisyonlarının ekonomik </w:t>
      </w:r>
      <w:r w:rsidR="00A75CFF">
        <w:t xml:space="preserve">büyüme, enerji tüketimi ve </w:t>
      </w:r>
      <w:r>
        <w:t xml:space="preserve">dış ticaret </w:t>
      </w:r>
      <w:r w:rsidR="00A75CFF">
        <w:t xml:space="preserve">etkisi </w:t>
      </w:r>
      <w:r w:rsidR="00867F40">
        <w:t xml:space="preserve">önce </w:t>
      </w:r>
      <w:r w:rsidR="00A75CFF">
        <w:t xml:space="preserve">teorik çerçeve </w:t>
      </w:r>
      <w:r w:rsidR="00867F40">
        <w:t>sonra</w:t>
      </w:r>
      <w:r w:rsidR="00A75CFF">
        <w:t xml:space="preserve"> ilgili litereatür özeti verilerek incelenmiştir. </w:t>
      </w:r>
    </w:p>
    <w:p w:rsidR="008909F9" w:rsidRDefault="00627115" w:rsidP="00627115">
      <w:pPr>
        <w:pStyle w:val="GvdeMetniGirintisi"/>
        <w:spacing w:before="240" w:after="240"/>
        <w:ind w:firstLine="708"/>
      </w:pPr>
      <w:r>
        <w:t xml:space="preserve">Çalışmanın son bölümünde ise, </w:t>
      </w:r>
      <w:r w:rsidR="00253649">
        <w:t xml:space="preserve">seragazı emisyonlarının makroekonomik değişkenlerle olan ilişkisi OECD ülkeleri için, 1971-2011 dönemi </w:t>
      </w:r>
      <w:r w:rsidR="00F40BCE">
        <w:t xml:space="preserve">yıllık </w:t>
      </w:r>
      <w:r w:rsidR="00253649">
        <w:t xml:space="preserve">verileri kullanılarak, yatay kesit bağımlılığın varlığı, </w:t>
      </w:r>
      <w:r w:rsidR="00253649" w:rsidRPr="00517888">
        <w:t>Berusch-Pagan (1980)</w:t>
      </w:r>
      <w:r w:rsidR="00253649">
        <w:t xml:space="preserve"> CDLM1, Pesaran</w:t>
      </w:r>
      <w:r w:rsidR="00253649" w:rsidRPr="00517888">
        <w:t xml:space="preserve"> </w:t>
      </w:r>
      <w:r w:rsidR="00253649">
        <w:t>(2004) CDLM2, Pesaran</w:t>
      </w:r>
      <w:r w:rsidR="00253649" w:rsidRPr="00517888">
        <w:t xml:space="preserve"> </w:t>
      </w:r>
      <w:r w:rsidR="00253649">
        <w:t>(2004) CD ve Pesaran ve Yamagata (2008) CDLM</w:t>
      </w:r>
      <w:r w:rsidR="00253649" w:rsidRPr="00550740">
        <w:rPr>
          <w:vertAlign w:val="subscript"/>
        </w:rPr>
        <w:t>adj</w:t>
      </w:r>
      <w:r w:rsidR="00253649">
        <w:t xml:space="preserve"> testiyle incelenmiş ve ülkeler arasında yatay kesit bağımlılığının olduğu görülmüştür. B</w:t>
      </w:r>
      <w:r w:rsidR="00253649" w:rsidRPr="00BB3ADF">
        <w:t>u durumu dikkate alan ikinci kuşak birim kök testlerinden Pesaran (2006</w:t>
      </w:r>
      <w:r w:rsidR="00253649">
        <w:t>a</w:t>
      </w:r>
      <w:r w:rsidR="00253649" w:rsidRPr="00BB3ADF">
        <w:t>) tarafından geliştirilen ve Pesaran (2007) çalışmasında yenilenen, ke</w:t>
      </w:r>
      <w:r w:rsidR="00CC6C22">
        <w:t>sit açısından genişletilmiş ADF</w:t>
      </w:r>
      <w:r w:rsidR="00253649" w:rsidRPr="00BB3ADF">
        <w:t xml:space="preserve"> </w:t>
      </w:r>
      <w:r w:rsidR="00253649">
        <w:t>ve</w:t>
      </w:r>
      <w:r w:rsidR="001E3EBA">
        <w:t xml:space="preserve"> yine Pesaran (2007) tarafından geliştirilen CIPS</w:t>
      </w:r>
      <w:r w:rsidR="00253649">
        <w:t xml:space="preserve"> panel birim kök testleri kullanılmıştır. Serilerin du</w:t>
      </w:r>
      <w:r w:rsidR="00BE1764">
        <w:t xml:space="preserve">rağanlığı; CADF ve CIPS </w:t>
      </w:r>
      <w:r w:rsidR="00253649">
        <w:t>panel birim kök test</w:t>
      </w:r>
      <w:r w:rsidR="00BE1764">
        <w:t>ler</w:t>
      </w:r>
      <w:r w:rsidR="00253649">
        <w:t xml:space="preserve">iyle sınanmış ve serilerin düzey değerlerinde birim kökün olduğu görülmüştür. Seriler arasında eşbütünleşme ilişkisinin varlığı; </w:t>
      </w:r>
      <w:r w:rsidR="001E3EBA">
        <w:t xml:space="preserve">Westerlund </w:t>
      </w:r>
      <w:r w:rsidR="00253649">
        <w:t xml:space="preserve"> (2008) tarafından </w:t>
      </w:r>
      <w:r w:rsidR="001E3EBA">
        <w:t xml:space="preserve">önerilen Durbin Hausman testiyle </w:t>
      </w:r>
      <w:r w:rsidR="00253649">
        <w:t xml:space="preserve">incelenmiş ve seriler arasında eşbütünleşme ilişkisinin var olduğu belirlenmiştir. Son aşamada ise eşbütünleşik olan modelin uzun dönem eşbütünleşme katsayıları </w:t>
      </w:r>
      <w:r w:rsidR="00253649" w:rsidRPr="00BB3ADF">
        <w:t>Pesaran (2</w:t>
      </w:r>
      <w:r w:rsidR="00253649">
        <w:t xml:space="preserve">006b) tarafından geliştirilmiş olan </w:t>
      </w:r>
      <w:r w:rsidR="00253649" w:rsidRPr="00BB3ADF">
        <w:t>Ortak İlişkili Etkiler</w:t>
      </w:r>
      <w:r w:rsidR="00CC6C22">
        <w:t xml:space="preserve"> - CCE</w:t>
      </w:r>
      <w:r w:rsidR="00253649" w:rsidRPr="00BB3ADF">
        <w:t xml:space="preserve"> modeline dayalı tahmin yöntemi</w:t>
      </w:r>
      <w:r w:rsidR="00253649">
        <w:t xml:space="preserve">yle tahmin edilmiştir. </w:t>
      </w:r>
    </w:p>
    <w:p w:rsidR="009D3D36" w:rsidRDefault="00253649" w:rsidP="009D3D36">
      <w:pPr>
        <w:autoSpaceDE w:val="0"/>
        <w:autoSpaceDN w:val="0"/>
        <w:adjustRightInd w:val="0"/>
        <w:spacing w:before="240" w:after="240" w:line="360" w:lineRule="auto"/>
        <w:ind w:firstLine="706"/>
        <w:jc w:val="both"/>
      </w:pPr>
      <w:r>
        <w:t>Yapılan analiz sonucunda;</w:t>
      </w:r>
      <w:r w:rsidR="009D3D36" w:rsidRPr="009D3D36">
        <w:t xml:space="preserve"> </w:t>
      </w:r>
      <w:r w:rsidR="009D3D36">
        <w:t>Kanada, Danimarka, Almanya, İtalya, Meksika, İspanya, İsveç ve ABD için tüm değişkenlerde sonuçlar istatistiksel olarak anlamlı çıkmıştır. Enerji tüketimi, Fransa hariç (anlamsız) diğer ülkelerde anlamlı ve pozitiftir. Bu sonuç beklentilerimizle ve literatürdeki Acaravci ve Ozturk (2010); Bella vd</w:t>
      </w:r>
      <w:proofErr w:type="gramStart"/>
      <w:r w:rsidR="009D3D36">
        <w:t>.,</w:t>
      </w:r>
      <w:proofErr w:type="gramEnd"/>
      <w:r w:rsidR="009D3D36">
        <w:t xml:space="preserve"> (2010); Marrero (2010) çalışmalarla uyumludur. </w:t>
      </w:r>
    </w:p>
    <w:p w:rsidR="009D3D36" w:rsidRDefault="009D3D36" w:rsidP="009D3D36">
      <w:pPr>
        <w:autoSpaceDE w:val="0"/>
        <w:autoSpaceDN w:val="0"/>
        <w:adjustRightInd w:val="0"/>
        <w:spacing w:before="240" w:after="240" w:line="360" w:lineRule="auto"/>
        <w:ind w:firstLine="706"/>
        <w:jc w:val="both"/>
      </w:pPr>
      <w:r>
        <w:lastRenderedPageBreak/>
        <w:t>Ekonomik büyüme olarak aldığımız kişi başı GSYİH, Avustralya, Finlandiya, Japonya ve Meksika dışındaki tüm ülkelerde anlamlı çıkmıştır. Avusturya, Belçika, Fransa ve Yunanistanda ise negatif sonuçlara ulaşılmıştır. Bu sonuçlar Jaunky’in (2011: 1238) çalışmasındaki sonuçlarla örtüşmektedir.   Diğer 15 ülkede ekonomik büyümenin karbon emisyonu üzerindeki etkisipozitif ve istatistiksel olarak anlamlıdır. Elde edilen bu sonuç literatürdeki Jaunky, (2011); Adom vd. (2012); Ahmed ve Long (2012); Öztürk ve Acaravci (2012) çalışmalarla uyumludur.</w:t>
      </w:r>
    </w:p>
    <w:p w:rsidR="009D3D36" w:rsidRDefault="009D3D36" w:rsidP="009D3D36">
      <w:pPr>
        <w:spacing w:before="240" w:after="240" w:line="360" w:lineRule="auto"/>
        <w:ind w:firstLine="709"/>
        <w:jc w:val="both"/>
      </w:pPr>
      <w:r>
        <w:t xml:space="preserve">İhracat’ın çevre kirliliği üzerindeki etkileri; Avusturya, Kanada, Fransa, Meksika ve İsveç’te beklentilerimize uygun olarak pozitif ve istatistiki anlamlı bulunmuştur. Danimarka, Almanya, İsrail, İtalya, Japonya, Norveç, İspanya, İngiltere ve ABD’de ihracatın karbon emisyonunu artırıcı yönde bir etkisinin olmadığı sonucuna ulaşılmıştır. Bu durumun, söz konusu ülkelerin gelişmiş olmalarından ve üretimlerinde temiz enerji kaynakları kullanımına ağırlık veriyor olamalarından kaynaklanmış olabileceği değerlendirilmiştir. </w:t>
      </w:r>
    </w:p>
    <w:p w:rsidR="009D3D36" w:rsidRDefault="009D3D36" w:rsidP="009D3D36">
      <w:pPr>
        <w:spacing w:before="240" w:after="240" w:line="360" w:lineRule="auto"/>
        <w:ind w:firstLine="709"/>
        <w:jc w:val="both"/>
      </w:pPr>
      <w:r>
        <w:t xml:space="preserve">24 ülkenin 11’inde ithaların çevre kirliliğini azaltıcı yönde etkisinin olduğu görülmüştür. Bu durum beklentilerimizle iktisat teorisiyle uyumludur. Kanada, Şili, Fransa, Meksika, İsveç ve ABD’de ithalatın karbon emisyonunu artırıcı etkilerinin olduğu bulgusuna ulaşılmıştır. Bunun nedeninin söz konusu ülkelerce ithal edilen ürün çeşitlerinden kaynaklanmış olabileceği değerlendirilmiştir. </w:t>
      </w:r>
    </w:p>
    <w:p w:rsidR="009D3D36" w:rsidRDefault="009D3D36" w:rsidP="009D3D36">
      <w:pPr>
        <w:spacing w:before="240" w:after="240" w:line="360" w:lineRule="auto"/>
        <w:ind w:firstLine="709"/>
        <w:jc w:val="both"/>
      </w:pPr>
      <w:r>
        <w:t xml:space="preserve">AB15 ülkelerinin kişi başı geliri ile karbon emisyonları arasıdaki ilişkinin pozitif çıkması, bu ülkelerin karbon emisyonlarını 1990 yılının %8 altına düşürme hedeflerini tutturmaklarından kaynaklanabileceği düşünülmüştür. Ayrıca AB15 ülkelerinde GSYİH’nin karbon emisyonlarından daha hızlı arttığı da bu ilişkiyi desteklemektedir. </w:t>
      </w:r>
    </w:p>
    <w:p w:rsidR="009D3D36" w:rsidRDefault="009D3D36" w:rsidP="009D3D36">
      <w:pPr>
        <w:autoSpaceDE w:val="0"/>
        <w:autoSpaceDN w:val="0"/>
        <w:adjustRightInd w:val="0"/>
        <w:spacing w:before="240" w:after="240" w:line="360" w:lineRule="auto"/>
        <w:ind w:firstLine="706"/>
        <w:jc w:val="both"/>
      </w:pPr>
      <w:r>
        <w:t xml:space="preserve">Fransa ve Belçika gibi bazı gelişmiş ülkelerin ekonomik büyüme ile karbon emisyonları arasındaki ilişkinin negatif çıkmasının sebebi bu ülkelerin belli bir zenginliğe ulaştıklarında, çevre konusunda hassasiyet gösterip sera gazı emisyonlarını azaltabilme başarısı göstermiş şeklinde yorumlanmıştır. </w:t>
      </w:r>
    </w:p>
    <w:p w:rsidR="009D3D36" w:rsidRDefault="009D3D36" w:rsidP="009D3D36">
      <w:pPr>
        <w:autoSpaceDE w:val="0"/>
        <w:autoSpaceDN w:val="0"/>
        <w:adjustRightInd w:val="0"/>
        <w:spacing w:before="240" w:after="240" w:line="360" w:lineRule="auto"/>
        <w:ind w:firstLine="706"/>
        <w:jc w:val="both"/>
      </w:pPr>
      <w:r>
        <w:t xml:space="preserve">Türkiye’de ekonomik büyüme ve enerji tüketiminin karbon emisyonu üzerindeki etkisi pozitif ve istatistiksel olarak anlamlı bulunurken, ithalatın ise etkisi negatif ve anlamlı çıkmıştır. Bu sonuçlar beklentilerimize ve literatüre uymaktadır. Ekonomik büyümede ve enerji tüketiminde meydana gelen bir birimlik artış çevre kirliliğini </w:t>
      </w:r>
      <w:r>
        <w:lastRenderedPageBreak/>
        <w:t xml:space="preserve">sırasıyla </w:t>
      </w:r>
      <w:proofErr w:type="gramStart"/>
      <w:r>
        <w:t>0.6</w:t>
      </w:r>
      <w:proofErr w:type="gramEnd"/>
      <w:r>
        <w:t xml:space="preserve"> ve 1.04 birim arttırmaktadır. Türkiye’de enerji tüketimi, çevre kirliliğine neden olan en önemli makroekonomik değişkendir. </w:t>
      </w:r>
    </w:p>
    <w:p w:rsidR="00627115" w:rsidRDefault="009D3D36" w:rsidP="00BC2E0C">
      <w:pPr>
        <w:autoSpaceDE w:val="0"/>
        <w:autoSpaceDN w:val="0"/>
        <w:adjustRightInd w:val="0"/>
        <w:spacing w:before="240" w:after="240" w:line="360" w:lineRule="auto"/>
        <w:ind w:firstLine="706"/>
        <w:jc w:val="both"/>
      </w:pPr>
      <w:r>
        <w:t xml:space="preserve">Yunistan’da ekonomik büyüme ile karbon emisyonları arasında negatif yönlü ilişki çıkmasının; bu ülkede son dönemde yaşanan ekonomik krizlerin ve bu ülkenin datalarında bilinçli olarak yaptığı tahrifatlara (Göçer,  2013b) bağlı olarak datalarının güvenilir olamamasının etkili olduğu değerlendirilmektedir. </w:t>
      </w:r>
    </w:p>
    <w:p w:rsidR="00C87483" w:rsidRPr="00C87483" w:rsidRDefault="00253649" w:rsidP="009D3D36">
      <w:pPr>
        <w:autoSpaceDE w:val="0"/>
        <w:autoSpaceDN w:val="0"/>
        <w:adjustRightInd w:val="0"/>
        <w:spacing w:before="240" w:after="240" w:line="360" w:lineRule="auto"/>
        <w:ind w:firstLine="706"/>
        <w:jc w:val="both"/>
      </w:pPr>
      <w:r>
        <w:t xml:space="preserve"> </w:t>
      </w:r>
      <w:r w:rsidR="00346D75">
        <w:t xml:space="preserve">24 OECD ülkesi için </w:t>
      </w:r>
      <w:r w:rsidR="00CF673A">
        <w:t>Kuznets Hipotez</w:t>
      </w:r>
      <w:r w:rsidR="00C87483">
        <w:t xml:space="preserve">i </w:t>
      </w:r>
      <w:r w:rsidR="00346D75">
        <w:t>sınamasında kurduğumuz model</w:t>
      </w:r>
      <w:r w:rsidR="000854D7">
        <w:t>, son zamanlarda yapılan;</w:t>
      </w:r>
      <w:r w:rsidR="00346D75">
        <w:t xml:space="preserve"> Başar ve Temurlen</w:t>
      </w:r>
      <w:r w:rsidR="002548D3">
        <w:t>k</w:t>
      </w:r>
      <w:r w:rsidR="00346D75">
        <w:t xml:space="preserve"> (2007), Akbostancı vd. (2009), </w:t>
      </w:r>
      <w:r w:rsidR="00F2089D">
        <w:t xml:space="preserve">Narayan and Narayan (2010), </w:t>
      </w:r>
      <w:r w:rsidR="00346D75">
        <w:t>Arı ve Zeren (2011), Çınar (2011)</w:t>
      </w:r>
      <w:r w:rsidR="00F4541E">
        <w:t>, Jaunky (2011)</w:t>
      </w:r>
      <w:r w:rsidR="000854D7">
        <w:t xml:space="preserve"> ve Xuemei vd. (2011)</w:t>
      </w:r>
      <w:r w:rsidR="00346D75">
        <w:t xml:space="preserve">  </w:t>
      </w:r>
      <w:r w:rsidR="00E26288">
        <w:t xml:space="preserve">çalışmalar gibi </w:t>
      </w:r>
      <w:r w:rsidR="002548D3">
        <w:t>EKC</w:t>
      </w:r>
      <w:r w:rsidR="00346D75">
        <w:t xml:space="preserve"> </w:t>
      </w:r>
      <w:r w:rsidR="002548D3">
        <w:t>h</w:t>
      </w:r>
      <w:r w:rsidR="00346D75">
        <w:t xml:space="preserve">ipotezini doğrulamamaktadır. </w:t>
      </w:r>
    </w:p>
    <w:p w:rsidR="0011163F" w:rsidRPr="00F65120" w:rsidRDefault="00030E49" w:rsidP="00867F40">
      <w:pPr>
        <w:spacing w:before="240" w:after="240" w:line="360" w:lineRule="auto"/>
        <w:jc w:val="both"/>
      </w:pPr>
      <w:r>
        <w:tab/>
        <w:t>Çalışmamızda yatay kesi</w:t>
      </w:r>
      <w:r w:rsidR="003A7FD0">
        <w:t>t bağımlılığının var olması ve S</w:t>
      </w:r>
      <w:r>
        <w:t>wamy homojenlik testinde OECD ülkelerin heterojen çıkması</w:t>
      </w:r>
      <w:r w:rsidR="008F7E13" w:rsidRPr="0066341E">
        <w:rPr>
          <w:i/>
        </w:rPr>
        <w:t>“</w:t>
      </w:r>
      <w:r w:rsidR="00F95D4D">
        <w:rPr>
          <w:i/>
        </w:rPr>
        <w:t>K</w:t>
      </w:r>
      <w:r w:rsidR="008F7E13" w:rsidRPr="0066341E">
        <w:rPr>
          <w:i/>
        </w:rPr>
        <w:t xml:space="preserve">irlilik </w:t>
      </w:r>
      <w:r w:rsidR="00F95D4D">
        <w:rPr>
          <w:i/>
        </w:rPr>
        <w:t>S</w:t>
      </w:r>
      <w:r w:rsidR="008F7E13" w:rsidRPr="0066341E">
        <w:rPr>
          <w:i/>
        </w:rPr>
        <w:t xml:space="preserve">ığınağı </w:t>
      </w:r>
      <w:r w:rsidR="00F95D4D">
        <w:rPr>
          <w:i/>
        </w:rPr>
        <w:t>H</w:t>
      </w:r>
      <w:r w:rsidR="008F7E13" w:rsidRPr="0066341E">
        <w:rPr>
          <w:i/>
        </w:rPr>
        <w:t>ipotezi”</w:t>
      </w:r>
      <w:r w:rsidR="008F7E13">
        <w:rPr>
          <w:i/>
        </w:rPr>
        <w:t>ni</w:t>
      </w:r>
      <w:r w:rsidR="00F95D4D">
        <w:t xml:space="preserve"> (P</w:t>
      </w:r>
      <w:r w:rsidR="008F7E13">
        <w:t xml:space="preserve">ollution </w:t>
      </w:r>
      <w:r w:rsidR="00F95D4D">
        <w:t>H</w:t>
      </w:r>
      <w:r w:rsidR="008F7E13">
        <w:t xml:space="preserve">aven </w:t>
      </w:r>
      <w:r w:rsidR="00F95D4D">
        <w:t>H</w:t>
      </w:r>
      <w:r w:rsidR="008F7E13">
        <w:t xml:space="preserve">ypothesis) </w:t>
      </w:r>
      <w:r>
        <w:t xml:space="preserve">desteklemektedir. </w:t>
      </w:r>
      <w:r w:rsidR="00814E80">
        <w:t xml:space="preserve">Yatay kesit bağımlılığının </w:t>
      </w:r>
      <w:r w:rsidR="00DB6FBF">
        <w:t>doğrulandığı</w:t>
      </w:r>
      <w:r w:rsidR="00814E80">
        <w:t xml:space="preserve"> modelimizde</w:t>
      </w:r>
      <w:r w:rsidR="00DB6FBF">
        <w:t>;</w:t>
      </w:r>
      <w:r w:rsidR="00814E80">
        <w:t xml:space="preserve"> </w:t>
      </w:r>
      <w:r w:rsidR="00DB6FBF">
        <w:t>ü</w:t>
      </w:r>
      <w:r w:rsidR="00814E80">
        <w:t xml:space="preserve">lkelerden birine gelen şoklar, diğer ülkeleri de etkilemektedir. </w:t>
      </w:r>
      <w:r w:rsidR="00814E80" w:rsidRPr="00CB4543">
        <w:t>Bu nedenle, bu ülkeler</w:t>
      </w:r>
      <w:r w:rsidR="00814E80">
        <w:t>deki karar vericiler ekonomi politikalarını belirlerken</w:t>
      </w:r>
      <w:r w:rsidR="00814E80" w:rsidRPr="00CB4543">
        <w:t xml:space="preserve">, diğer ülkelerin uyguladıkları politikaları ve bu ülkelerin </w:t>
      </w:r>
      <w:r w:rsidR="00814E80" w:rsidRPr="0064574C">
        <w:rPr>
          <w:i/>
        </w:rPr>
        <w:t>CO,</w:t>
      </w:r>
      <w:r w:rsidR="00814E80">
        <w:t xml:space="preserve"> </w:t>
      </w:r>
      <w:r w:rsidR="00814E80" w:rsidRPr="00955AE2">
        <w:rPr>
          <w:i/>
        </w:rPr>
        <w:t>GDP, EC</w:t>
      </w:r>
      <w:r w:rsidR="00814E80">
        <w:rPr>
          <w:i/>
        </w:rPr>
        <w:t>,</w:t>
      </w:r>
      <w:r w:rsidR="00814E80" w:rsidRPr="00955AE2">
        <w:rPr>
          <w:i/>
        </w:rPr>
        <w:t xml:space="preserve"> </w:t>
      </w:r>
      <w:r w:rsidR="00814E80">
        <w:rPr>
          <w:i/>
        </w:rPr>
        <w:t xml:space="preserve">OPEX </w:t>
      </w:r>
      <w:r w:rsidR="00814E80">
        <w:t xml:space="preserve">veya </w:t>
      </w:r>
      <w:r w:rsidR="00814E80">
        <w:rPr>
          <w:i/>
        </w:rPr>
        <w:t>OPIM</w:t>
      </w:r>
      <w:r w:rsidR="00814E80">
        <w:t xml:space="preserve"> </w:t>
      </w:r>
      <w:r w:rsidR="00814E80" w:rsidRPr="00F65120">
        <w:t>değişkenlerini etkileyen şokları da göz önünde bulundurmalıdırlar.</w:t>
      </w:r>
    </w:p>
    <w:p w:rsidR="00192482" w:rsidRDefault="00F65120" w:rsidP="00867F40">
      <w:pPr>
        <w:spacing w:before="240" w:after="240" w:line="360" w:lineRule="auto"/>
        <w:ind w:firstLine="708"/>
        <w:jc w:val="both"/>
      </w:pPr>
      <w:r w:rsidRPr="00F65120">
        <w:t xml:space="preserve">Yaptığımız analizdeki </w:t>
      </w:r>
      <w:r w:rsidR="00192482" w:rsidRPr="00AB13C3">
        <w:t>tahmin</w:t>
      </w:r>
      <w:r w:rsidR="00192482">
        <w:t xml:space="preserve">lerde </w:t>
      </w:r>
      <w:r w:rsidR="00192482" w:rsidRPr="00AB13C3">
        <w:t xml:space="preserve">karbondioksit emisyonunu arttıran en önemli değişkenlerin </w:t>
      </w:r>
      <w:r w:rsidR="00192482">
        <w:t xml:space="preserve">enerji tüketimi olduğu ve enerji tüketiminin de en çok fosil yakıtlardan kaynaklandığı anlaşılmaktadır. </w:t>
      </w:r>
      <w:r w:rsidR="005A093B">
        <w:t>Fransa</w:t>
      </w:r>
      <w:r w:rsidR="00192482">
        <w:t xml:space="preserve"> hariç tüm ülkelerde anlamlı bir etkiye sahip olan enerji tüketimi</w:t>
      </w:r>
      <w:r w:rsidR="005A093B">
        <w:t xml:space="preserve"> </w:t>
      </w:r>
      <w:r w:rsidR="00192482">
        <w:t xml:space="preserve">diğer değişkenlerden çok daha fazla karbon emisyonlarına sebep olmaktadır.  Enerji-yoğun sektörler ve rekabete duyarlı kesimler tarafından hükümet üzerine yapılan baskıların siyasi anlamda sonuç vermesiyle, enerji tüketimi her geçen gün daha çok artmaktadır. </w:t>
      </w:r>
    </w:p>
    <w:p w:rsidR="00BF0B18" w:rsidRDefault="00BF0B18" w:rsidP="00867F40">
      <w:pPr>
        <w:spacing w:before="240" w:after="240" w:line="360" w:lineRule="auto"/>
        <w:ind w:firstLine="709"/>
        <w:jc w:val="both"/>
      </w:pPr>
      <w:proofErr w:type="gramStart"/>
      <w:r>
        <w:t>Bu çalışma</w:t>
      </w:r>
      <w:r w:rsidR="0025699F">
        <w:t>da</w:t>
      </w:r>
      <w:r>
        <w:t xml:space="preserve">; sera gazı emisyonlarının azaltılmasında hem politika hem de araçların birlikte ele alınması, değişkenler bazında modele yeni değişkenler olarak ihracat </w:t>
      </w:r>
      <w:r w:rsidRPr="0025699F">
        <w:rPr>
          <w:i/>
        </w:rPr>
        <w:t>(OPEX)</w:t>
      </w:r>
      <w:r>
        <w:t xml:space="preserve"> ve ithalat </w:t>
      </w:r>
      <w:r w:rsidRPr="0025699F">
        <w:rPr>
          <w:i/>
        </w:rPr>
        <w:t>(OPIM)</w:t>
      </w:r>
      <w:r>
        <w:t xml:space="preserve"> ilave edilmesi, karar vericiler açısından her ülke için ayrı ayrı panel sonuçlarının hesaplanması ve birbirleriyle karşılaştırma olanaklarının sağlanması, yapılan analizde panel veri kullanılması, yatay kesit bağımlılığı testinin yapılması, tahmincilerin ikinci kuşak testlerle yapılması</w:t>
      </w:r>
      <w:r w:rsidR="0025699F">
        <w:t xml:space="preserve"> literatüre bir katkı sağlamayı hedeflemektedir.</w:t>
      </w:r>
      <w:proofErr w:type="gramEnd"/>
    </w:p>
    <w:p w:rsidR="007F6E2D" w:rsidRDefault="0011163F" w:rsidP="00867F40">
      <w:pPr>
        <w:spacing w:before="240" w:after="240" w:line="360" w:lineRule="auto"/>
        <w:ind w:firstLine="709"/>
        <w:jc w:val="both"/>
      </w:pPr>
      <w:r>
        <w:lastRenderedPageBreak/>
        <w:t xml:space="preserve">Ülkelerde </w:t>
      </w:r>
      <w:r w:rsidR="005D17C6">
        <w:t>sera gazı emisyonlarını azaltmak/durdurmak için</w:t>
      </w:r>
      <w:r>
        <w:t xml:space="preserve">; </w:t>
      </w:r>
      <w:r w:rsidR="00975332">
        <w:t>ikinci bölümde ayrıntılı olarak ele al</w:t>
      </w:r>
      <w:r w:rsidR="003A7FD0">
        <w:t xml:space="preserve">ınan </w:t>
      </w:r>
      <w:r w:rsidR="00975332">
        <w:t>politika ve araçların</w:t>
      </w:r>
      <w:r w:rsidR="003A7FD0">
        <w:t>, bütün</w:t>
      </w:r>
      <w:r w:rsidR="00975332">
        <w:t xml:space="preserve"> ülkeler tarafından benimsenmesi ve kullanılması gerekmektedir. Sera gazı azaltımında kullanılan politikalar olarak enerji dönüşümü, enerji verimliliği, karbon yakalama ve depolama ve karbon </w:t>
      </w:r>
      <w:proofErr w:type="gramStart"/>
      <w:r w:rsidR="00975332">
        <w:t>yutaklarının  hükümetler</w:t>
      </w:r>
      <w:proofErr w:type="gramEnd"/>
      <w:r w:rsidR="00975332">
        <w:t xml:space="preserve"> tarafından </w:t>
      </w:r>
      <w:r w:rsidR="007F6E2D">
        <w:t>benimsenmesi gerekmektedir. Avrupa Birliği tarafından kullanılan esneklik mekanizmaları geliştirilerek tüm dünyada kullanılır hale getirilmesi önem arz etmektedir. Ayrıca hükümetlerin çevreye duyarlı mekanizmalara teşvik verme</w:t>
      </w:r>
      <w:r w:rsidR="003A7FD0">
        <w:t xml:space="preserve">si ve çevreyi kirleten araçlara </w:t>
      </w:r>
      <w:r w:rsidR="007F6E2D">
        <w:t>vergi koyarak daha çev</w:t>
      </w:r>
      <w:r w:rsidR="003A7FD0">
        <w:t xml:space="preserve">reci bir anlayış benimsenmesi önem arz etmektedir. </w:t>
      </w:r>
    </w:p>
    <w:p w:rsidR="00975332" w:rsidRPr="00327DC3" w:rsidRDefault="00975332" w:rsidP="00867F40">
      <w:pPr>
        <w:spacing w:before="240" w:after="240" w:line="360" w:lineRule="auto"/>
        <w:ind w:firstLine="708"/>
        <w:jc w:val="both"/>
      </w:pPr>
      <w:r>
        <w:t xml:space="preserve">Küresel ısınmaya neden olan karbondioksit emisyonunu önlemek için </w:t>
      </w:r>
      <w:r w:rsidR="00451933" w:rsidRPr="001C2A51">
        <w:t>B</w:t>
      </w:r>
      <w:r w:rsidR="003A7FD0">
        <w:t>irleşmiş Milletler İklim Değişikliği Çerçeve Sözleşmesi</w:t>
      </w:r>
      <w:r w:rsidR="00327DC3">
        <w:t xml:space="preserve"> ve K</w:t>
      </w:r>
      <w:r w:rsidR="003A7FD0">
        <w:t xml:space="preserve">yoto </w:t>
      </w:r>
      <w:r w:rsidR="00327DC3">
        <w:t>P</w:t>
      </w:r>
      <w:r w:rsidR="003A7FD0">
        <w:t>rotokolü’nde</w:t>
      </w:r>
      <w:r w:rsidR="00327DC3">
        <w:t xml:space="preserve"> ele alınan çevre politikalarına göre; uluslararası bir çevresel işbirliğinin yapılması,</w:t>
      </w:r>
      <w:r w:rsidR="00327DC3" w:rsidRPr="00327DC3">
        <w:t xml:space="preserve"> tüm dünyada uygulanabilecek homojen bir k</w:t>
      </w:r>
      <w:r w:rsidR="003A7FD0">
        <w:t xml:space="preserve">arbon verisinin uygulanması ve </w:t>
      </w:r>
      <w:r w:rsidRPr="00327DC3">
        <w:t>toplanan karbon vergisi gelirleriyle temiz teknoloji gelişimi için teşvikler sağlanmalıdır. Sonuç olarak bu üç parça aynı anda gerçekleştirildiğinde birbirini tamamlamakta ve küresel ısınmanın önüne geçilebilecek etkin bir politika oluşturmaktadır.</w:t>
      </w:r>
    </w:p>
    <w:p w:rsidR="00CA245F" w:rsidRDefault="00CA245F" w:rsidP="0011163F">
      <w:pPr>
        <w:spacing w:before="240" w:after="240" w:line="360" w:lineRule="auto"/>
        <w:ind w:firstLine="709"/>
        <w:jc w:val="both"/>
        <w:rPr>
          <w:color w:val="FF0000"/>
        </w:rPr>
        <w:sectPr w:rsidR="00CA245F" w:rsidSect="008522AA">
          <w:pgSz w:w="11906" w:h="16838"/>
          <w:pgMar w:top="1701" w:right="1134" w:bottom="1134" w:left="2268" w:header="709" w:footer="709" w:gutter="0"/>
          <w:cols w:space="708"/>
          <w:docGrid w:linePitch="360"/>
        </w:sectPr>
      </w:pPr>
    </w:p>
    <w:p w:rsidR="0044255F" w:rsidRPr="00627FD5" w:rsidRDefault="0044255F" w:rsidP="00E71421">
      <w:pPr>
        <w:pStyle w:val="Balk1"/>
      </w:pPr>
      <w:bookmarkStart w:id="194" w:name="_Toc384824041"/>
      <w:r w:rsidRPr="00627FD5">
        <w:lastRenderedPageBreak/>
        <w:t>KAYNAKÇA</w:t>
      </w:r>
      <w:bookmarkEnd w:id="194"/>
    </w:p>
    <w:p w:rsidR="004F5C75" w:rsidRDefault="004F5C75" w:rsidP="009F3710">
      <w:pPr>
        <w:tabs>
          <w:tab w:val="left" w:pos="1170"/>
        </w:tabs>
        <w:spacing w:before="120" w:after="120"/>
        <w:ind w:left="1170" w:hanging="1170"/>
        <w:jc w:val="both"/>
      </w:pPr>
      <w:r w:rsidRPr="00F55F86">
        <w:t>Abuaf, N</w:t>
      </w:r>
      <w:proofErr w:type="gramStart"/>
      <w:r w:rsidRPr="00F55F86">
        <w:t>.,</w:t>
      </w:r>
      <w:proofErr w:type="gramEnd"/>
      <w:r w:rsidRPr="00F55F86">
        <w:t xml:space="preserve"> and Jorion, P. (1990), “Purchasing Power Parity in the Long Run”, </w:t>
      </w:r>
      <w:r w:rsidRPr="00F55F86">
        <w:rPr>
          <w:i/>
        </w:rPr>
        <w:t>The Journal of Finance XLV,</w:t>
      </w:r>
      <w:r w:rsidR="001B0828">
        <w:rPr>
          <w:i/>
        </w:rPr>
        <w:t xml:space="preserve"> </w:t>
      </w:r>
      <w:r w:rsidR="001B0828">
        <w:t>ss.</w:t>
      </w:r>
      <w:r w:rsidRPr="00F55F86">
        <w:rPr>
          <w:i/>
        </w:rPr>
        <w:t xml:space="preserve"> </w:t>
      </w:r>
      <w:r w:rsidRPr="00F55F86">
        <w:t>157-174.</w:t>
      </w:r>
    </w:p>
    <w:p w:rsidR="000A18A1" w:rsidRPr="000A18A1" w:rsidRDefault="00DE5B1E" w:rsidP="009F3710">
      <w:pPr>
        <w:tabs>
          <w:tab w:val="left" w:pos="1170"/>
        </w:tabs>
        <w:spacing w:before="120" w:after="120"/>
        <w:ind w:left="1170" w:hanging="1170"/>
        <w:jc w:val="both"/>
      </w:pPr>
      <w:r>
        <w:t>Acaravci, A. and</w:t>
      </w:r>
      <w:r w:rsidR="000A18A1">
        <w:t xml:space="preserve"> Ozturk, I. (2010) “On the Relationship between Energy Consumption, CO</w:t>
      </w:r>
      <w:r w:rsidR="000A18A1">
        <w:rPr>
          <w:vertAlign w:val="subscript"/>
        </w:rPr>
        <w:t>2</w:t>
      </w:r>
      <w:r w:rsidR="000A18A1">
        <w:t xml:space="preserve"> Emissions and Economic Growth in Europe”, </w:t>
      </w:r>
      <w:r w:rsidR="000A18A1" w:rsidRPr="00D33D81">
        <w:rPr>
          <w:i/>
        </w:rPr>
        <w:t>Energy 35</w:t>
      </w:r>
      <w:r w:rsidR="000A18A1">
        <w:t>, ss. 5412-5420.</w:t>
      </w:r>
    </w:p>
    <w:p w:rsidR="00910D64" w:rsidRPr="00580AFD" w:rsidRDefault="0035410E" w:rsidP="009F3710">
      <w:pPr>
        <w:spacing w:before="120" w:after="120"/>
        <w:ind w:left="1138" w:hanging="1138"/>
        <w:jc w:val="both"/>
      </w:pPr>
      <w:r w:rsidRPr="00580AFD">
        <w:t>Adom, P.K</w:t>
      </w:r>
      <w:proofErr w:type="gramStart"/>
      <w:r w:rsidRPr="00580AFD">
        <w:t>.,</w:t>
      </w:r>
      <w:proofErr w:type="gramEnd"/>
      <w:r w:rsidRPr="00580AFD">
        <w:t xml:space="preserve"> Bekoe, W., Am</w:t>
      </w:r>
      <w:r w:rsidR="00DE5B1E">
        <w:t>uakwa-Mensah, F., Mensah, J.T. and</w:t>
      </w:r>
      <w:r w:rsidRPr="00580AFD">
        <w:t xml:space="preserve"> Botchway, E. (2012), “Carbon Diokside Emissions, Economic Growt, Industrial Structure, and Technical Efficiency: Empirical Evidende from Ghana, Senegal, and Morrocco on the Causal Dynamics”, </w:t>
      </w:r>
      <w:r w:rsidRPr="00580AFD">
        <w:rPr>
          <w:i/>
        </w:rPr>
        <w:t>Energy</w:t>
      </w:r>
      <w:r w:rsidRPr="00580AFD">
        <w:t xml:space="preserve"> </w:t>
      </w:r>
      <w:r w:rsidRPr="00C25075">
        <w:rPr>
          <w:i/>
        </w:rPr>
        <w:t>47,</w:t>
      </w:r>
      <w:r w:rsidRPr="00580AFD">
        <w:t xml:space="preserve"> </w:t>
      </w:r>
      <w:r w:rsidR="001B0828">
        <w:t xml:space="preserve">ss. </w:t>
      </w:r>
      <w:r w:rsidRPr="00580AFD">
        <w:t>314-325</w:t>
      </w:r>
    </w:p>
    <w:p w:rsidR="0035410E" w:rsidRDefault="0035410E" w:rsidP="009F3710">
      <w:pPr>
        <w:spacing w:before="120" w:after="120"/>
        <w:ind w:left="1138" w:hanging="1138"/>
        <w:jc w:val="both"/>
      </w:pPr>
      <w:r w:rsidRPr="00580AFD">
        <w:t xml:space="preserve">Ahmed, K. </w:t>
      </w:r>
      <w:r w:rsidR="00DE5B1E">
        <w:t>and</w:t>
      </w:r>
      <w:r w:rsidRPr="00580AFD">
        <w:t xml:space="preserve"> Long, W. (2012), “Environmental Kuznets Curve and Pakistan: An Empirical Analysis”, </w:t>
      </w:r>
      <w:r w:rsidRPr="00C25075">
        <w:rPr>
          <w:i/>
        </w:rPr>
        <w:t>Procedia Economics and Fina</w:t>
      </w:r>
      <w:r w:rsidR="0065681D">
        <w:rPr>
          <w:i/>
        </w:rPr>
        <w:t>nce</w:t>
      </w:r>
      <w:r w:rsidRPr="0065681D">
        <w:rPr>
          <w:i/>
        </w:rPr>
        <w:t xml:space="preserve"> 1,</w:t>
      </w:r>
      <w:r w:rsidRPr="00580AFD">
        <w:t xml:space="preserve"> </w:t>
      </w:r>
      <w:r w:rsidR="001B0828">
        <w:t xml:space="preserve">ss. </w:t>
      </w:r>
      <w:r w:rsidRPr="00580AFD">
        <w:t>4-13</w:t>
      </w:r>
    </w:p>
    <w:p w:rsidR="00CF7F93" w:rsidRDefault="00D33D81" w:rsidP="009F3710">
      <w:pPr>
        <w:spacing w:before="120" w:after="120"/>
        <w:ind w:left="1138" w:hanging="1138"/>
        <w:jc w:val="both"/>
      </w:pPr>
      <w:r>
        <w:t>Ahn, S.C. and</w:t>
      </w:r>
      <w:r w:rsidR="00CF7F93">
        <w:t xml:space="preserve"> Moon, H.R. (2001), “Large-N and Large-T Properties of Panel Data Estimators and The Hausman Test”, USC Center for Low, Economics and Organization Research Paper, No. C01-20.</w:t>
      </w:r>
    </w:p>
    <w:p w:rsidR="0035410E" w:rsidRDefault="0035410E" w:rsidP="009F3710">
      <w:pPr>
        <w:spacing w:before="120" w:after="120"/>
        <w:ind w:left="1138" w:hanging="1138"/>
        <w:jc w:val="both"/>
      </w:pPr>
      <w:r>
        <w:t>Akbostanci, E</w:t>
      </w:r>
      <w:proofErr w:type="gramStart"/>
      <w:r>
        <w:t>.,</w:t>
      </w:r>
      <w:proofErr w:type="gramEnd"/>
      <w:r>
        <w:t xml:space="preserve"> Türüt-Aşık, S. </w:t>
      </w:r>
      <w:r w:rsidR="00DE5B1E">
        <w:t>and</w:t>
      </w:r>
      <w:r>
        <w:t xml:space="preserve"> Tunç, İ. (2009) “The Relationship Between Income and Environment in Turkey: Is There an Environmental Kuznet</w:t>
      </w:r>
      <w:r w:rsidR="00E67A40">
        <w:t>s</w:t>
      </w:r>
      <w:r>
        <w:t xml:space="preserve"> Curve?”, </w:t>
      </w:r>
      <w:r w:rsidRPr="00960896">
        <w:rPr>
          <w:i/>
        </w:rPr>
        <w:t>Energy Policy</w:t>
      </w:r>
      <w:r w:rsidRPr="00C25075">
        <w:rPr>
          <w:i/>
        </w:rPr>
        <w:t xml:space="preserve"> 37,</w:t>
      </w:r>
      <w:r>
        <w:t xml:space="preserve"> </w:t>
      </w:r>
      <w:r w:rsidR="001B0828">
        <w:t xml:space="preserve">ss. </w:t>
      </w:r>
      <w:r>
        <w:t>861-867.</w:t>
      </w:r>
    </w:p>
    <w:p w:rsidR="00B847CC" w:rsidRDefault="00B847CC" w:rsidP="009F3710">
      <w:pPr>
        <w:spacing w:before="120" w:after="120"/>
        <w:ind w:left="1138" w:hanging="1138"/>
        <w:jc w:val="both"/>
      </w:pPr>
      <w:r w:rsidRPr="00C95920">
        <w:t xml:space="preserve">Anonim, </w:t>
      </w:r>
      <w:r>
        <w:t>(</w:t>
      </w:r>
      <w:r w:rsidRPr="00C95920">
        <w:t>2001</w:t>
      </w:r>
      <w:r>
        <w:t>)</w:t>
      </w:r>
      <w:r w:rsidRPr="00C95920">
        <w:t xml:space="preserve"> Sekizinci Be</w:t>
      </w:r>
      <w:r>
        <w:t>ş</w:t>
      </w:r>
      <w:r w:rsidRPr="00C95920">
        <w:t xml:space="preserve"> Yıllık Kalkınma Planı İklim Deği</w:t>
      </w:r>
      <w:r>
        <w:t>ş</w:t>
      </w:r>
      <w:r w:rsidRPr="00C95920">
        <w:t>ikliği Özel İhtisas Komisyonu Raporu, DPT:</w:t>
      </w:r>
      <w:r w:rsidR="001B0828">
        <w:t xml:space="preserve"> </w:t>
      </w:r>
      <w:r w:rsidRPr="00C95920">
        <w:t>2532-ÖİK:</w:t>
      </w:r>
      <w:r>
        <w:t xml:space="preserve"> </w:t>
      </w:r>
      <w:r w:rsidRPr="00C95920">
        <w:t>548, Ankara.</w:t>
      </w:r>
    </w:p>
    <w:p w:rsidR="0035410E" w:rsidRPr="00493B15" w:rsidRDefault="0035410E" w:rsidP="009F3710">
      <w:pPr>
        <w:spacing w:before="120" w:after="120"/>
        <w:ind w:left="1138" w:hanging="1138"/>
        <w:jc w:val="both"/>
      </w:pPr>
      <w:r w:rsidRPr="00493B15">
        <w:t>A</w:t>
      </w:r>
      <w:r>
        <w:t>ntweiler,</w:t>
      </w:r>
      <w:r w:rsidRPr="00493B15">
        <w:t xml:space="preserve"> W</w:t>
      </w:r>
      <w:proofErr w:type="gramStart"/>
      <w:r w:rsidRPr="00493B15">
        <w:t>.,</w:t>
      </w:r>
      <w:proofErr w:type="gramEnd"/>
      <w:r w:rsidRPr="00493B15">
        <w:t xml:space="preserve"> C</w:t>
      </w:r>
      <w:r>
        <w:t>opeland,</w:t>
      </w:r>
      <w:r w:rsidRPr="00493B15">
        <w:t xml:space="preserve"> B.R. </w:t>
      </w:r>
      <w:r w:rsidR="00DE5B1E">
        <w:t>and</w:t>
      </w:r>
      <w:r w:rsidRPr="00493B15">
        <w:t xml:space="preserve"> T</w:t>
      </w:r>
      <w:r>
        <w:t>aylor</w:t>
      </w:r>
      <w:r w:rsidR="001B0828">
        <w:t>, M.S. (2001). “</w:t>
      </w:r>
      <w:r w:rsidRPr="00493B15">
        <w:t xml:space="preserve">Is Free </w:t>
      </w:r>
      <w:r w:rsidR="0065681D">
        <w:t>Trade Good for T</w:t>
      </w:r>
      <w:r w:rsidRPr="00493B15">
        <w:t>he Environment?</w:t>
      </w:r>
      <w:r w:rsidR="001B0828">
        <w:t>”,</w:t>
      </w:r>
      <w:r w:rsidRPr="00493B15">
        <w:t xml:space="preserve"> </w:t>
      </w:r>
      <w:r>
        <w:rPr>
          <w:i/>
          <w:iCs/>
        </w:rPr>
        <w:t>The American Economic Review</w:t>
      </w:r>
      <w:r w:rsidRPr="00493B15">
        <w:rPr>
          <w:i/>
          <w:iCs/>
        </w:rPr>
        <w:t xml:space="preserve"> 91</w:t>
      </w:r>
      <w:r>
        <w:t>,</w:t>
      </w:r>
      <w:r w:rsidRPr="00493B15">
        <w:t xml:space="preserve"> </w:t>
      </w:r>
      <w:r w:rsidR="001B0828">
        <w:t xml:space="preserve">ss. </w:t>
      </w:r>
      <w:r w:rsidRPr="00493B15">
        <w:t>877-908.</w:t>
      </w:r>
    </w:p>
    <w:p w:rsidR="0035410E" w:rsidRPr="00580AFD" w:rsidRDefault="0035410E" w:rsidP="009F3710">
      <w:pPr>
        <w:autoSpaceDE w:val="0"/>
        <w:autoSpaceDN w:val="0"/>
        <w:adjustRightInd w:val="0"/>
        <w:spacing w:before="120" w:after="120"/>
        <w:ind w:left="1138" w:hanging="1138"/>
        <w:jc w:val="both"/>
      </w:pPr>
      <w:r>
        <w:t>Apergis, N. and Payne, J. (2009). “CO</w:t>
      </w:r>
      <w:r w:rsidRPr="00D534FD">
        <w:rPr>
          <w:vertAlign w:val="subscript"/>
        </w:rPr>
        <w:t>2</w:t>
      </w:r>
      <w:r>
        <w:t xml:space="preserve"> Emissions, Energy Usage</w:t>
      </w:r>
      <w:r w:rsidR="001B0828">
        <w:t xml:space="preserve"> and Output in Central America”,</w:t>
      </w:r>
      <w:r>
        <w:t xml:space="preserve"> </w:t>
      </w:r>
      <w:r>
        <w:rPr>
          <w:i/>
          <w:iCs/>
        </w:rPr>
        <w:t>Energy Policy</w:t>
      </w:r>
      <w:r w:rsidRPr="006239B0">
        <w:rPr>
          <w:i/>
          <w:iCs/>
        </w:rPr>
        <w:t xml:space="preserve"> 37,</w:t>
      </w:r>
      <w:r>
        <w:t xml:space="preserve"> </w:t>
      </w:r>
      <w:r w:rsidR="001B0828">
        <w:t xml:space="preserve">ss. </w:t>
      </w:r>
      <w:r>
        <w:t>3282-3286.</w:t>
      </w:r>
    </w:p>
    <w:p w:rsidR="0035410E" w:rsidRDefault="0035410E" w:rsidP="009F3710">
      <w:pPr>
        <w:spacing w:before="120" w:after="120"/>
        <w:ind w:left="1138" w:hanging="1138"/>
        <w:jc w:val="both"/>
      </w:pPr>
      <w:r w:rsidRPr="00580AFD">
        <w:t>Arı, A. ve Zeren, F. (2011) “CO</w:t>
      </w:r>
      <w:r w:rsidRPr="00580AFD">
        <w:rPr>
          <w:vertAlign w:val="subscript"/>
        </w:rPr>
        <w:t>2</w:t>
      </w:r>
      <w:r w:rsidRPr="00580AFD">
        <w:t xml:space="preserve"> Emisyonu ve Ekonomik Büyüme: Panel Veri Analizi” </w:t>
      </w:r>
      <w:r w:rsidRPr="00C25075">
        <w:rPr>
          <w:i/>
        </w:rPr>
        <w:t>Celal Bayer Üniversitesi İ.İ.B.F. Yönetim ve Ekonomi,</w:t>
      </w:r>
      <w:r w:rsidRPr="00580AFD">
        <w:t xml:space="preserve"> 18, </w:t>
      </w:r>
      <w:r w:rsidR="001B0828">
        <w:t xml:space="preserve">ss. </w:t>
      </w:r>
      <w:r w:rsidRPr="00580AFD">
        <w:t>2.</w:t>
      </w:r>
    </w:p>
    <w:p w:rsidR="00740A5B" w:rsidRDefault="00740A5B" w:rsidP="009F3710">
      <w:pPr>
        <w:spacing w:before="120" w:after="120"/>
        <w:ind w:left="1138" w:hanging="1138"/>
        <w:jc w:val="both"/>
      </w:pPr>
      <w:r>
        <w:t>Arı, İ. (2010)</w:t>
      </w:r>
      <w:r w:rsidR="00F74721">
        <w:t xml:space="preserve"> İklim Değişikliği ile Mücadelede Emisyon Ticareti ve Türkiye Uygulaması, DPT Uzmanlık Tezleri, Ankara.</w:t>
      </w:r>
    </w:p>
    <w:p w:rsidR="008A10C2" w:rsidRDefault="008A10C2" w:rsidP="009F3710">
      <w:pPr>
        <w:spacing w:before="120" w:after="120"/>
        <w:ind w:left="1138" w:hanging="1138"/>
        <w:jc w:val="both"/>
      </w:pPr>
      <w:r>
        <w:t>Arouri, M.E.H</w:t>
      </w:r>
      <w:proofErr w:type="gramStart"/>
      <w:r>
        <w:t>.,</w:t>
      </w:r>
      <w:proofErr w:type="gramEnd"/>
      <w:r>
        <w:t xml:space="preserve"> Caporale, G.M., Rault, C., Sova, R. </w:t>
      </w:r>
      <w:r w:rsidR="00DE5B1E">
        <w:t>and</w:t>
      </w:r>
      <w:r>
        <w:t xml:space="preserve"> Sova, A. (2012) “Environmental Regulation and Competitiveness: Evidence from Romania”</w:t>
      </w:r>
      <w:r w:rsidR="001B0828">
        <w:t>,</w:t>
      </w:r>
      <w:r>
        <w:t xml:space="preserve"> CESifo Working Paper No. 3916.</w:t>
      </w:r>
    </w:p>
    <w:p w:rsidR="00F92675" w:rsidRDefault="00AE6D95" w:rsidP="009F3710">
      <w:pPr>
        <w:spacing w:before="120" w:after="120"/>
        <w:ind w:left="1138" w:hanging="1138"/>
        <w:jc w:val="both"/>
      </w:pPr>
      <w:r>
        <w:t xml:space="preserve">Ayaydın, H. (2012) </w:t>
      </w:r>
      <w:r w:rsidR="00F92675" w:rsidRPr="00AE6D95">
        <w:rPr>
          <w:i/>
        </w:rPr>
        <w:t>Gelişen Piyasalarda Hisse Senedi Getirisini Etkileyen Makroekonomik Değişkenler Üzerine Bir İnceleme: Panel Veri Analizi</w:t>
      </w:r>
      <w:r w:rsidR="00F92675">
        <w:t xml:space="preserve">, </w:t>
      </w:r>
      <w:r>
        <w:t xml:space="preserve">Doktora Tezi, </w:t>
      </w:r>
      <w:r w:rsidR="00F92675">
        <w:t>Karadeniz Teknik Üniversi</w:t>
      </w:r>
      <w:r>
        <w:t>tesi, Sosyal Bilimler Enstitüsü:</w:t>
      </w:r>
      <w:r w:rsidR="00F92675">
        <w:t xml:space="preserve"> Trabzon. </w:t>
      </w:r>
    </w:p>
    <w:p w:rsidR="006B45E7" w:rsidRDefault="006B45E7" w:rsidP="009F3710">
      <w:pPr>
        <w:spacing w:before="120" w:after="120"/>
        <w:ind w:left="1138" w:hanging="1138"/>
        <w:jc w:val="both"/>
      </w:pPr>
      <w:r>
        <w:t xml:space="preserve">Bai J. and Ng S. (2004) “A PANIC Attack on Unit Roots and Cointegration”, </w:t>
      </w:r>
      <w:r w:rsidRPr="006B45E7">
        <w:rPr>
          <w:i/>
        </w:rPr>
        <w:t>Econometrica, 72,</w:t>
      </w:r>
      <w:r>
        <w:t xml:space="preserve"> </w:t>
      </w:r>
      <w:r w:rsidR="00781A79">
        <w:t xml:space="preserve">ss. </w:t>
      </w:r>
      <w:r>
        <w:t>1127-1178.</w:t>
      </w:r>
    </w:p>
    <w:p w:rsidR="00E433E9" w:rsidRPr="00580AFD" w:rsidRDefault="00E433E9" w:rsidP="009F3710">
      <w:pPr>
        <w:spacing w:before="120" w:after="120"/>
        <w:ind w:left="1138" w:hanging="1138"/>
        <w:jc w:val="both"/>
      </w:pPr>
      <w:r>
        <w:t>Baltagi, B</w:t>
      </w:r>
      <w:proofErr w:type="gramStart"/>
      <w:r>
        <w:t>.</w:t>
      </w:r>
      <w:r w:rsidRPr="00E433E9">
        <w:t>,</w:t>
      </w:r>
      <w:proofErr w:type="gramEnd"/>
      <w:r w:rsidRPr="00E433E9">
        <w:t xml:space="preserve"> (200</w:t>
      </w:r>
      <w:r>
        <w:t>5</w:t>
      </w:r>
      <w:r w:rsidRPr="00E433E9">
        <w:t>), Econometric Analysis of Panel Data, Third Edition, England: John Wiley &amp; Sons LTD</w:t>
      </w:r>
      <w:r>
        <w:t>.</w:t>
      </w:r>
    </w:p>
    <w:p w:rsidR="0035410E" w:rsidRDefault="0035410E" w:rsidP="009F3710">
      <w:pPr>
        <w:spacing w:before="120" w:after="120"/>
        <w:ind w:left="1138" w:hanging="1138"/>
        <w:jc w:val="both"/>
      </w:pPr>
      <w:r w:rsidRPr="00580AFD">
        <w:t xml:space="preserve">Başar, S. ve Temurlenk, M.S. (2007) “Çevreye Uyarlanmış Kuznets Eğrisi: Türkiye Üzerine Bir Uygulama” </w:t>
      </w:r>
      <w:r w:rsidRPr="00C25075">
        <w:rPr>
          <w:i/>
        </w:rPr>
        <w:t>Atatürk Üniversitesi, İİBF Dergisi,</w:t>
      </w:r>
      <w:r w:rsidRPr="00580AFD">
        <w:t xml:space="preserve"> 21, </w:t>
      </w:r>
      <w:r w:rsidR="00781A79">
        <w:t xml:space="preserve">ss. </w:t>
      </w:r>
      <w:r w:rsidRPr="00580AFD">
        <w:t>1.</w:t>
      </w:r>
    </w:p>
    <w:p w:rsidR="001F48DD" w:rsidRDefault="001F48DD" w:rsidP="009F3710">
      <w:pPr>
        <w:spacing w:before="120" w:after="120"/>
        <w:ind w:left="1138" w:hanging="1138"/>
        <w:jc w:val="both"/>
      </w:pPr>
      <w:r>
        <w:lastRenderedPageBreak/>
        <w:t xml:space="preserve">Beck, N. (2006) </w:t>
      </w:r>
      <w:r w:rsidR="00605043">
        <w:t>“Time-</w:t>
      </w:r>
      <w:r>
        <w:t>Series</w:t>
      </w:r>
      <w:r w:rsidR="00605043">
        <w:t xml:space="preserve"> – </w:t>
      </w:r>
      <w:r>
        <w:t>Cross</w:t>
      </w:r>
      <w:r w:rsidR="00605043">
        <w:t>-</w:t>
      </w:r>
      <w:r>
        <w:t>Section Method”, The Oxford Handbook of Political Methodology</w:t>
      </w:r>
      <w:r w:rsidR="00605043">
        <w:t>, Chapter 20, NewYork Oxford University Press, s</w:t>
      </w:r>
      <w:r w:rsidR="00781A79">
        <w:t>s</w:t>
      </w:r>
      <w:r w:rsidR="00605043">
        <w:t>.</w:t>
      </w:r>
      <w:r w:rsidR="00781A79">
        <w:t xml:space="preserve"> </w:t>
      </w:r>
      <w:r w:rsidR="00605043">
        <w:t>475-493.</w:t>
      </w:r>
    </w:p>
    <w:p w:rsidR="0035410E" w:rsidRDefault="00DE5B1E" w:rsidP="009F3710">
      <w:pPr>
        <w:spacing w:before="120" w:after="120"/>
        <w:ind w:left="1134" w:hanging="1134"/>
        <w:jc w:val="both"/>
      </w:pPr>
      <w:r>
        <w:t>Bella, G, Massidda, C. a</w:t>
      </w:r>
      <w:r w:rsidR="0035410E">
        <w:t>nd Etzo, I. (2010) “A Panel Estimation of The Relationship between Income, Electric Power Consumption and CO</w:t>
      </w:r>
      <w:r w:rsidR="0035410E">
        <w:rPr>
          <w:vertAlign w:val="subscript"/>
        </w:rPr>
        <w:t>2</w:t>
      </w:r>
      <w:r w:rsidR="0035410E">
        <w:t xml:space="preserve"> Emissions”, MPRA (Munich Personal RePEc Arhive)</w:t>
      </w:r>
      <w:r w:rsidR="0035410E" w:rsidRPr="00702035">
        <w:rPr>
          <w:rFonts w:ascii="CMR12" w:hAnsi="CMR12" w:cs="CMR12"/>
          <w:color w:val="808080"/>
          <w:sz w:val="29"/>
          <w:szCs w:val="29"/>
        </w:rPr>
        <w:t xml:space="preserve"> </w:t>
      </w:r>
      <w:r w:rsidR="0035410E" w:rsidRPr="00702035">
        <w:t>Online at http:</w:t>
      </w:r>
      <w:r w:rsidR="0035410E">
        <w:t>//mpra.ub.uni-muenchen.de/26077.</w:t>
      </w:r>
    </w:p>
    <w:p w:rsidR="0035410E" w:rsidRDefault="003C1C9C" w:rsidP="009F3710">
      <w:pPr>
        <w:pStyle w:val="bolukcizgisi"/>
        <w:spacing w:before="120" w:after="120"/>
        <w:ind w:left="1080" w:hanging="1080"/>
      </w:pPr>
      <w:r w:rsidRPr="003C1C9C">
        <w:t>Birleşmiş Milletler İklim Değişikliği Çerçeve Sözleşmesi Taraflar Konferansı 16 [BMİDÇS TK 16] (2011), Report of the Conference of the Parties on its sixteenth session, held in Cancun from 29 November to 1</w:t>
      </w:r>
      <w:r>
        <w:t>0 December 2010.</w:t>
      </w:r>
    </w:p>
    <w:p w:rsidR="003C1C9C" w:rsidRDefault="00DE5B1E" w:rsidP="009F3710">
      <w:pPr>
        <w:spacing w:before="120" w:after="120"/>
        <w:ind w:left="1134" w:hanging="1134"/>
        <w:jc w:val="both"/>
      </w:pPr>
      <w:r>
        <w:t>Brajer, V</w:t>
      </w:r>
      <w:proofErr w:type="gramStart"/>
      <w:r>
        <w:t>.,</w:t>
      </w:r>
      <w:proofErr w:type="gramEnd"/>
      <w:r>
        <w:t xml:space="preserve"> Mead, R.W. and</w:t>
      </w:r>
      <w:r w:rsidR="0035410E" w:rsidRPr="004E2316">
        <w:t xml:space="preserve"> Xiao, F. (2011) “Searching for an Environmental Kuznets Curve in China’s Air Pollution”, </w:t>
      </w:r>
      <w:r w:rsidR="0035410E" w:rsidRPr="004E2316">
        <w:rPr>
          <w:i/>
        </w:rPr>
        <w:t>China Economic Review</w:t>
      </w:r>
      <w:r w:rsidR="0035410E" w:rsidRPr="00C25075">
        <w:rPr>
          <w:i/>
        </w:rPr>
        <w:t xml:space="preserve"> 22,</w:t>
      </w:r>
      <w:r w:rsidR="0035410E" w:rsidRPr="004E2316">
        <w:t xml:space="preserve"> </w:t>
      </w:r>
      <w:r w:rsidR="00C9585B">
        <w:t xml:space="preserve">ss. </w:t>
      </w:r>
      <w:r w:rsidR="0035410E" w:rsidRPr="004E2316">
        <w:t>383-397.</w:t>
      </w:r>
      <w:r w:rsidR="003C1C9C" w:rsidRPr="003C1C9C">
        <w:t xml:space="preserve"> </w:t>
      </w:r>
    </w:p>
    <w:p w:rsidR="001D3C76" w:rsidRDefault="001D3C76" w:rsidP="009F3710">
      <w:pPr>
        <w:spacing w:before="120" w:after="120"/>
        <w:ind w:left="1134" w:hanging="1134"/>
        <w:jc w:val="both"/>
      </w:pPr>
      <w:r>
        <w:t xml:space="preserve">Breitung J. (2000) “The Local Power of Some Unit Root Tests for Panel Data”, </w:t>
      </w:r>
      <w:r w:rsidR="001337AD" w:rsidRPr="001337AD">
        <w:rPr>
          <w:i/>
        </w:rPr>
        <w:t>in B. Baltagi (ed.), Nonstationary Panels, Panel Cointegration, and Dynamic Panels, Advances in Econometrics, 15,</w:t>
      </w:r>
      <w:r w:rsidR="001337AD">
        <w:t xml:space="preserve"> </w:t>
      </w:r>
      <w:r w:rsidR="00C9585B">
        <w:t xml:space="preserve">ss. </w:t>
      </w:r>
      <w:r w:rsidR="001337AD">
        <w:t>161-178.</w:t>
      </w:r>
    </w:p>
    <w:p w:rsidR="004C2E63" w:rsidRPr="000906E4" w:rsidRDefault="004C2E63" w:rsidP="009F3710">
      <w:pPr>
        <w:spacing w:before="120" w:after="120"/>
        <w:ind w:left="1170" w:hanging="1170"/>
        <w:jc w:val="both"/>
      </w:pPr>
      <w:r w:rsidRPr="000906E4">
        <w:t xml:space="preserve">Breuer, B. Robert McNown, R. and Wallace, M. (2001). “Misleading Inference form Panel Unit Root Tests with an Illustration from Purchasing Power Parity” </w:t>
      </w:r>
      <w:r w:rsidRPr="000906E4">
        <w:rPr>
          <w:i/>
        </w:rPr>
        <w:t xml:space="preserve">Review of International Economics 9, </w:t>
      </w:r>
      <w:r w:rsidR="00C9585B" w:rsidRPr="00C9585B">
        <w:t>ss.</w:t>
      </w:r>
      <w:r w:rsidR="00C9585B">
        <w:t xml:space="preserve"> </w:t>
      </w:r>
      <w:r w:rsidRPr="000906E4">
        <w:t xml:space="preserve">482-493. </w:t>
      </w:r>
    </w:p>
    <w:p w:rsidR="001D3C76" w:rsidRDefault="001D3C76" w:rsidP="009F3710">
      <w:pPr>
        <w:spacing w:before="120" w:after="120"/>
        <w:ind w:left="1134" w:hanging="1134"/>
        <w:jc w:val="both"/>
      </w:pPr>
      <w:r>
        <w:t>Breuer</w:t>
      </w:r>
      <w:r w:rsidR="00BD6CC6">
        <w:t>,</w:t>
      </w:r>
      <w:r>
        <w:t xml:space="preserve"> </w:t>
      </w:r>
      <w:r w:rsidR="00BD6CC6">
        <w:t>J.</w:t>
      </w:r>
      <w:r>
        <w:t xml:space="preserve">B. Mcnown R. </w:t>
      </w:r>
      <w:r w:rsidR="000906E4">
        <w:t>a</w:t>
      </w:r>
      <w:r>
        <w:t xml:space="preserve">nd Wallace M. (2002) “Series-Specific Unit Root Test with Panel Data”, </w:t>
      </w:r>
      <w:r w:rsidRPr="004C2E63">
        <w:rPr>
          <w:i/>
        </w:rPr>
        <w:t>Oxford Bullet</w:t>
      </w:r>
      <w:r w:rsidR="004C2E63" w:rsidRPr="004C2E63">
        <w:rPr>
          <w:i/>
        </w:rPr>
        <w:t xml:space="preserve">in of Economics and Statistics </w:t>
      </w:r>
      <w:r w:rsidRPr="004C2E63">
        <w:rPr>
          <w:i/>
        </w:rPr>
        <w:t>64,</w:t>
      </w:r>
      <w:r>
        <w:t xml:space="preserve"> </w:t>
      </w:r>
      <w:r w:rsidR="00381E5F">
        <w:t xml:space="preserve">ss. </w:t>
      </w:r>
      <w:r>
        <w:t>527-546.</w:t>
      </w:r>
    </w:p>
    <w:p w:rsidR="00885E51" w:rsidRPr="00C31D56" w:rsidRDefault="00885E51" w:rsidP="009F3710">
      <w:pPr>
        <w:autoSpaceDE w:val="0"/>
        <w:autoSpaceDN w:val="0"/>
        <w:adjustRightInd w:val="0"/>
        <w:spacing w:before="120" w:after="120"/>
        <w:ind w:left="1134" w:hanging="1134"/>
        <w:jc w:val="both"/>
      </w:pPr>
      <w:r w:rsidRPr="00C31D56">
        <w:t>B</w:t>
      </w:r>
      <w:r>
        <w:t>reusch, T.</w:t>
      </w:r>
      <w:r w:rsidRPr="00C31D56">
        <w:t>S. and P</w:t>
      </w:r>
      <w:r>
        <w:t>agan, A.</w:t>
      </w:r>
      <w:r w:rsidRPr="00C31D56">
        <w:t>R. (1980) “The Lagrange Multiplier Test and Its Applications to Model</w:t>
      </w:r>
      <w:r>
        <w:t xml:space="preserve"> S</w:t>
      </w:r>
      <w:r w:rsidRPr="00C31D56">
        <w:t>peciﬁcation Tests in Econometri</w:t>
      </w:r>
      <w:r>
        <w:t xml:space="preserve">cs”, </w:t>
      </w:r>
      <w:r w:rsidRPr="00885E51">
        <w:rPr>
          <w:i/>
        </w:rPr>
        <w:t>Review of Economic Studies 47,</w:t>
      </w:r>
      <w:r w:rsidRPr="00C31D56">
        <w:t xml:space="preserve"> </w:t>
      </w:r>
      <w:r w:rsidR="00381E5F">
        <w:t xml:space="preserve">ss. </w:t>
      </w:r>
      <w:r w:rsidRPr="00C31D56">
        <w:t>239-</w:t>
      </w:r>
      <w:r w:rsidR="002A38A3">
        <w:t>2</w:t>
      </w:r>
      <w:r w:rsidRPr="00C31D56">
        <w:t>53.</w:t>
      </w:r>
    </w:p>
    <w:p w:rsidR="009B3ACC" w:rsidRDefault="009B3ACC" w:rsidP="009F3710">
      <w:pPr>
        <w:spacing w:before="120" w:after="120"/>
        <w:ind w:left="1134" w:hanging="1134"/>
        <w:jc w:val="both"/>
      </w:pPr>
      <w:r>
        <w:t>Bruvoll, A</w:t>
      </w:r>
      <w:proofErr w:type="gramStart"/>
      <w:r>
        <w:t>.,</w:t>
      </w:r>
      <w:proofErr w:type="gramEnd"/>
      <w:r>
        <w:t xml:space="preserve"> and Bodil, M. L. (2004) “Greenhouse Gas Emissions in Norway: Do Carbon Taxes Work?, </w:t>
      </w:r>
      <w:r w:rsidRPr="00D33D81">
        <w:rPr>
          <w:i/>
        </w:rPr>
        <w:t>Energy Policy, 32,</w:t>
      </w:r>
      <w:r>
        <w:t xml:space="preserve"> </w:t>
      </w:r>
      <w:r w:rsidR="00381E5F">
        <w:t xml:space="preserve">ss. </w:t>
      </w:r>
      <w:r>
        <w:t>493-505.</w:t>
      </w:r>
    </w:p>
    <w:p w:rsidR="001D3C76" w:rsidRDefault="001D3C76" w:rsidP="009F3710">
      <w:pPr>
        <w:spacing w:before="120" w:after="120"/>
        <w:ind w:left="1134" w:hanging="1134"/>
        <w:jc w:val="both"/>
      </w:pPr>
      <w:r>
        <w:t xml:space="preserve">Choi I. (2001) “Unit Roots Tests for Panel Data” </w:t>
      </w:r>
      <w:r w:rsidRPr="001D3C76">
        <w:rPr>
          <w:i/>
        </w:rPr>
        <w:t xml:space="preserve">Journal of </w:t>
      </w:r>
      <w:r w:rsidR="00D33D81">
        <w:rPr>
          <w:i/>
        </w:rPr>
        <w:t>International Money and Finance,</w:t>
      </w:r>
      <w:r w:rsidRPr="001D3C76">
        <w:rPr>
          <w:i/>
        </w:rPr>
        <w:t xml:space="preserve"> 20,</w:t>
      </w:r>
      <w:r>
        <w:t xml:space="preserve"> </w:t>
      </w:r>
      <w:r w:rsidR="00381E5F">
        <w:t xml:space="preserve">ss. </w:t>
      </w:r>
      <w:r>
        <w:t>229-272.</w:t>
      </w:r>
    </w:p>
    <w:p w:rsidR="002F452F" w:rsidRDefault="00DE5B1E" w:rsidP="009F3710">
      <w:pPr>
        <w:spacing w:before="120" w:after="120"/>
        <w:ind w:left="1134" w:hanging="1134"/>
        <w:jc w:val="both"/>
      </w:pPr>
      <w:r>
        <w:t>Cole, M.A</w:t>
      </w:r>
      <w:proofErr w:type="gramStart"/>
      <w:r>
        <w:t>.,</w:t>
      </w:r>
      <w:proofErr w:type="gramEnd"/>
      <w:r>
        <w:t xml:space="preserve"> Rayner, A.J. and</w:t>
      </w:r>
      <w:r w:rsidR="002F452F">
        <w:t xml:space="preserve"> Bates, M. (1997) “The Environmental Kuznets Curve: An Empirical Analysis”, </w:t>
      </w:r>
      <w:r w:rsidR="002F452F" w:rsidRPr="002F452F">
        <w:rPr>
          <w:i/>
        </w:rPr>
        <w:t>Environment and Develeopment Economics, 2,</w:t>
      </w:r>
      <w:r w:rsidR="002F452F">
        <w:t xml:space="preserve"> </w:t>
      </w:r>
      <w:r w:rsidR="00381E5F">
        <w:t xml:space="preserve">ss. </w:t>
      </w:r>
      <w:r w:rsidR="002F452F">
        <w:t>401-416.</w:t>
      </w:r>
    </w:p>
    <w:p w:rsidR="00B2442A" w:rsidRDefault="00B2442A" w:rsidP="009F3710">
      <w:pPr>
        <w:spacing w:before="120" w:after="120"/>
        <w:ind w:left="1134" w:hanging="1134"/>
        <w:jc w:val="both"/>
      </w:pPr>
      <w:r>
        <w:t>Copeland, B.R. and Taylor, S. (2003) “Trade and Environment: Theory and Evidence”, Princeton Series in International Economics. Princeton and Oxford: Princeton University Press.</w:t>
      </w:r>
    </w:p>
    <w:p w:rsidR="00013C57" w:rsidRDefault="000F437C" w:rsidP="009F3710">
      <w:pPr>
        <w:pStyle w:val="kutu1"/>
        <w:spacing w:before="120" w:after="120" w:afterAutospacing="0"/>
        <w:ind w:left="1080" w:right="74" w:hanging="1080"/>
        <w:rPr>
          <w:rFonts w:ascii="Times New Roman" w:hAnsi="Times New Roman" w:cs="Times New Roman"/>
          <w:sz w:val="24"/>
          <w:szCs w:val="24"/>
        </w:rPr>
      </w:pPr>
      <w:r>
        <w:rPr>
          <w:rFonts w:ascii="Times New Roman" w:hAnsi="Times New Roman" w:cs="Times New Roman"/>
          <w:sz w:val="24"/>
          <w:szCs w:val="24"/>
        </w:rPr>
        <w:t xml:space="preserve">Çabuk, S.Ö. (2011) </w:t>
      </w:r>
      <w:r w:rsidR="00013C57" w:rsidRPr="000F437C">
        <w:rPr>
          <w:rFonts w:ascii="Times New Roman" w:hAnsi="Times New Roman" w:cs="Times New Roman"/>
          <w:i/>
          <w:sz w:val="24"/>
          <w:szCs w:val="24"/>
        </w:rPr>
        <w:t>Küresel Isınmaya Yol Açan Sera Gazı Emisyonlarındaki Artış ile Mücadelede İktisadi Araçların Rolünün Değerlendirilmesi</w:t>
      </w:r>
      <w:r w:rsidR="008229AB" w:rsidRPr="000F437C">
        <w:rPr>
          <w:rFonts w:ascii="Times New Roman" w:hAnsi="Times New Roman" w:cs="Times New Roman"/>
          <w:i/>
          <w:sz w:val="24"/>
          <w:szCs w:val="24"/>
        </w:rPr>
        <w:t>: Enerji Sektörü Örneği</w:t>
      </w:r>
      <w:r>
        <w:rPr>
          <w:rFonts w:ascii="Times New Roman" w:hAnsi="Times New Roman" w:cs="Times New Roman"/>
          <w:i/>
          <w:sz w:val="24"/>
          <w:szCs w:val="24"/>
        </w:rPr>
        <w:t xml:space="preserve">, </w:t>
      </w:r>
      <w:r>
        <w:rPr>
          <w:rFonts w:ascii="Times New Roman" w:hAnsi="Times New Roman" w:cs="Times New Roman"/>
          <w:sz w:val="24"/>
          <w:szCs w:val="24"/>
        </w:rPr>
        <w:t xml:space="preserve">Yayınlanmış Doktora Tezi, </w:t>
      </w:r>
      <w:r w:rsidR="00013C57">
        <w:rPr>
          <w:rFonts w:ascii="Times New Roman" w:hAnsi="Times New Roman" w:cs="Times New Roman"/>
          <w:sz w:val="24"/>
          <w:szCs w:val="24"/>
        </w:rPr>
        <w:t xml:space="preserve">Ankara Üniversitesi, Sosyal Bilimler Enstitüsü, Siyaset Bilimi ve Kamu Yönetimi </w:t>
      </w:r>
      <w:r>
        <w:rPr>
          <w:rFonts w:ascii="Times New Roman" w:hAnsi="Times New Roman" w:cs="Times New Roman"/>
          <w:sz w:val="24"/>
          <w:szCs w:val="24"/>
        </w:rPr>
        <w:t xml:space="preserve">Anabilim Dalı: </w:t>
      </w:r>
      <w:r w:rsidR="00013C57">
        <w:rPr>
          <w:rFonts w:ascii="Times New Roman" w:hAnsi="Times New Roman" w:cs="Times New Roman"/>
          <w:sz w:val="24"/>
          <w:szCs w:val="24"/>
        </w:rPr>
        <w:t>Ankara.</w:t>
      </w:r>
    </w:p>
    <w:p w:rsidR="003E1F59" w:rsidRPr="003C1C9C" w:rsidRDefault="003E1F59" w:rsidP="009F3710">
      <w:pPr>
        <w:spacing w:before="120" w:after="120"/>
        <w:ind w:left="1134" w:hanging="1134"/>
        <w:jc w:val="both"/>
      </w:pPr>
      <w:r>
        <w:t xml:space="preserve">Çelikkol H. ve Özkan, N. (2011) “Karbon Piyasaları ve Türkiye Perspektifi” Dumlupınar Üniversitesi, Sosyal Bilimler Dergisi 31, </w:t>
      </w:r>
      <w:r w:rsidR="00381E5F">
        <w:t xml:space="preserve">ss. </w:t>
      </w:r>
      <w:r>
        <w:t>203-222.</w:t>
      </w:r>
    </w:p>
    <w:p w:rsidR="000F6E5F" w:rsidRDefault="000F6E5F" w:rsidP="009F3710">
      <w:pPr>
        <w:pStyle w:val="kutu1"/>
        <w:spacing w:before="120" w:after="120" w:afterAutospacing="0"/>
        <w:ind w:left="1080" w:right="74" w:hanging="1080"/>
        <w:rPr>
          <w:rFonts w:ascii="Times New Roman" w:hAnsi="Times New Roman" w:cs="Times New Roman"/>
          <w:sz w:val="24"/>
          <w:szCs w:val="24"/>
        </w:rPr>
      </w:pPr>
      <w:bookmarkStart w:id="195" w:name="OLE_LINK60"/>
      <w:bookmarkStart w:id="196" w:name="OLE_LINK59"/>
      <w:r>
        <w:rPr>
          <w:rFonts w:ascii="Times New Roman" w:hAnsi="Times New Roman" w:cs="Times New Roman"/>
          <w:sz w:val="24"/>
          <w:szCs w:val="24"/>
        </w:rPr>
        <w:t>Çılgın</w:t>
      </w:r>
      <w:r w:rsidR="004C4A8B">
        <w:rPr>
          <w:rFonts w:ascii="Times New Roman" w:hAnsi="Times New Roman" w:cs="Times New Roman"/>
          <w:sz w:val="24"/>
          <w:szCs w:val="24"/>
        </w:rPr>
        <w:t>,</w:t>
      </w:r>
      <w:r>
        <w:rPr>
          <w:rFonts w:ascii="Times New Roman" w:hAnsi="Times New Roman" w:cs="Times New Roman"/>
          <w:sz w:val="24"/>
          <w:szCs w:val="24"/>
        </w:rPr>
        <w:t xml:space="preserve"> Y</w:t>
      </w:r>
      <w:r w:rsidR="004C4A8B">
        <w:rPr>
          <w:rFonts w:ascii="Times New Roman" w:hAnsi="Times New Roman" w:cs="Times New Roman"/>
          <w:sz w:val="24"/>
          <w:szCs w:val="24"/>
        </w:rPr>
        <w:t>.</w:t>
      </w:r>
      <w:r>
        <w:rPr>
          <w:rFonts w:ascii="Times New Roman" w:hAnsi="Times New Roman" w:cs="Times New Roman"/>
          <w:sz w:val="24"/>
          <w:szCs w:val="24"/>
        </w:rPr>
        <w:t xml:space="preserve"> G. (2006) </w:t>
      </w:r>
      <w:bookmarkEnd w:id="195"/>
      <w:bookmarkEnd w:id="196"/>
      <w:r w:rsidRPr="000F437C">
        <w:rPr>
          <w:rFonts w:ascii="Times New Roman" w:hAnsi="Times New Roman" w:cs="Times New Roman"/>
          <w:i/>
          <w:sz w:val="24"/>
          <w:szCs w:val="24"/>
        </w:rPr>
        <w:t xml:space="preserve">Türkiye’de Küresel Isınmaya Yol Açan </w:t>
      </w:r>
      <w:r w:rsidR="003463A8" w:rsidRPr="000F437C">
        <w:rPr>
          <w:rFonts w:ascii="Times New Roman" w:hAnsi="Times New Roman" w:cs="Times New Roman"/>
          <w:i/>
          <w:sz w:val="24"/>
          <w:szCs w:val="24"/>
        </w:rPr>
        <w:t>Sera Gazı</w:t>
      </w:r>
      <w:r w:rsidRPr="000F437C">
        <w:rPr>
          <w:rFonts w:ascii="Times New Roman" w:hAnsi="Times New Roman" w:cs="Times New Roman"/>
          <w:i/>
          <w:sz w:val="24"/>
          <w:szCs w:val="24"/>
        </w:rPr>
        <w:t xml:space="preserve"> Emisyonlarındaki Artış ile Mücadelede İktisadi Araçların Rolü</w:t>
      </w:r>
      <w:r w:rsidRPr="008229AB">
        <w:rPr>
          <w:rFonts w:ascii="Times New Roman" w:hAnsi="Times New Roman" w:cs="Times New Roman"/>
          <w:sz w:val="24"/>
          <w:szCs w:val="24"/>
        </w:rPr>
        <w:t>,</w:t>
      </w:r>
      <w:r>
        <w:rPr>
          <w:rFonts w:ascii="Times New Roman" w:hAnsi="Times New Roman" w:cs="Times New Roman"/>
          <w:sz w:val="24"/>
          <w:szCs w:val="24"/>
        </w:rPr>
        <w:t xml:space="preserve"> </w:t>
      </w:r>
      <w:r w:rsidR="000F437C">
        <w:rPr>
          <w:rFonts w:ascii="Times New Roman" w:hAnsi="Times New Roman" w:cs="Times New Roman"/>
          <w:sz w:val="24"/>
          <w:szCs w:val="24"/>
        </w:rPr>
        <w:t xml:space="preserve">Yayınlanmış Yüksek Lisans Tezi, </w:t>
      </w:r>
      <w:r>
        <w:rPr>
          <w:rFonts w:ascii="Times New Roman" w:hAnsi="Times New Roman" w:cs="Times New Roman"/>
          <w:sz w:val="24"/>
          <w:szCs w:val="24"/>
        </w:rPr>
        <w:t>Ankara Üniversitesi</w:t>
      </w:r>
      <w:r w:rsidR="000F437C">
        <w:rPr>
          <w:rFonts w:ascii="Times New Roman" w:hAnsi="Times New Roman" w:cs="Times New Roman"/>
          <w:sz w:val="24"/>
          <w:szCs w:val="24"/>
        </w:rPr>
        <w:t xml:space="preserve"> </w:t>
      </w:r>
      <w:r>
        <w:rPr>
          <w:rFonts w:ascii="Times New Roman" w:hAnsi="Times New Roman" w:cs="Times New Roman"/>
          <w:sz w:val="24"/>
          <w:szCs w:val="24"/>
        </w:rPr>
        <w:t>Sosyal Çevre Bilimleri Anabilim Dalı</w:t>
      </w:r>
      <w:r w:rsidR="000F437C">
        <w:rPr>
          <w:rFonts w:ascii="Times New Roman" w:hAnsi="Times New Roman" w:cs="Times New Roman"/>
          <w:sz w:val="24"/>
          <w:szCs w:val="24"/>
        </w:rPr>
        <w:t xml:space="preserve">: </w:t>
      </w:r>
      <w:r>
        <w:rPr>
          <w:rFonts w:ascii="Times New Roman" w:hAnsi="Times New Roman" w:cs="Times New Roman"/>
          <w:sz w:val="24"/>
          <w:szCs w:val="24"/>
        </w:rPr>
        <w:t>Ankara.</w:t>
      </w:r>
    </w:p>
    <w:p w:rsidR="004C4A8B" w:rsidRDefault="00B602A1" w:rsidP="009F3710">
      <w:pPr>
        <w:pStyle w:val="kutu1"/>
        <w:spacing w:before="120" w:after="120" w:afterAutospacing="0"/>
        <w:ind w:left="1080" w:right="74" w:hanging="1080"/>
        <w:rPr>
          <w:rFonts w:ascii="Times New Roman" w:hAnsi="Times New Roman" w:cs="Times New Roman"/>
          <w:sz w:val="24"/>
          <w:szCs w:val="24"/>
        </w:rPr>
      </w:pPr>
      <w:r>
        <w:rPr>
          <w:rFonts w:ascii="Times New Roman" w:hAnsi="Times New Roman" w:cs="Times New Roman"/>
          <w:sz w:val="24"/>
          <w:szCs w:val="24"/>
        </w:rPr>
        <w:lastRenderedPageBreak/>
        <w:t>Çınar, S. (2011) “Gelir ve CO</w:t>
      </w:r>
      <w:r w:rsidRPr="00D534FD">
        <w:rPr>
          <w:rFonts w:ascii="Times New Roman" w:hAnsi="Times New Roman" w:cs="Times New Roman"/>
          <w:sz w:val="24"/>
          <w:szCs w:val="24"/>
          <w:vertAlign w:val="subscript"/>
        </w:rPr>
        <w:t>2</w:t>
      </w:r>
      <w:r>
        <w:rPr>
          <w:rFonts w:ascii="Times New Roman" w:hAnsi="Times New Roman" w:cs="Times New Roman"/>
          <w:sz w:val="24"/>
          <w:szCs w:val="24"/>
        </w:rPr>
        <w:t xml:space="preserve"> Emisyonu İlişkisi: Panel Birim Kök ve Eşbütünleşme Testi”, </w:t>
      </w:r>
      <w:r w:rsidRPr="00153756">
        <w:rPr>
          <w:rFonts w:ascii="Times New Roman" w:hAnsi="Times New Roman" w:cs="Times New Roman"/>
          <w:i/>
          <w:sz w:val="24"/>
          <w:szCs w:val="24"/>
        </w:rPr>
        <w:t>Uludağ Üniversitesi, İktisadi ve İdari Bilimler Fakültesi Dergisi</w:t>
      </w:r>
      <w:r>
        <w:rPr>
          <w:rFonts w:ascii="Times New Roman" w:hAnsi="Times New Roman" w:cs="Times New Roman"/>
          <w:sz w:val="24"/>
          <w:szCs w:val="24"/>
        </w:rPr>
        <w:t>, (Uludağ Journal of Economy and Society) Cilt/</w:t>
      </w:r>
      <w:proofErr w:type="gramStart"/>
      <w:r>
        <w:rPr>
          <w:rFonts w:ascii="Times New Roman" w:hAnsi="Times New Roman" w:cs="Times New Roman"/>
          <w:sz w:val="24"/>
          <w:szCs w:val="24"/>
        </w:rPr>
        <w:t>Vol.XXX</w:t>
      </w:r>
      <w:proofErr w:type="gramEnd"/>
      <w:r>
        <w:rPr>
          <w:rFonts w:ascii="Times New Roman" w:hAnsi="Times New Roman" w:cs="Times New Roman"/>
          <w:sz w:val="24"/>
          <w:szCs w:val="24"/>
        </w:rPr>
        <w:t>, Sayı/Nu.2 s</w:t>
      </w:r>
      <w:r w:rsidR="00381E5F">
        <w:rPr>
          <w:rFonts w:ascii="Times New Roman" w:hAnsi="Times New Roman" w:cs="Times New Roman"/>
          <w:sz w:val="24"/>
          <w:szCs w:val="24"/>
        </w:rPr>
        <w:t>s</w:t>
      </w:r>
      <w:r>
        <w:rPr>
          <w:rFonts w:ascii="Times New Roman" w:hAnsi="Times New Roman" w:cs="Times New Roman"/>
          <w:sz w:val="24"/>
          <w:szCs w:val="24"/>
        </w:rPr>
        <w:t>.</w:t>
      </w:r>
      <w:r w:rsidR="00381E5F">
        <w:rPr>
          <w:rFonts w:ascii="Times New Roman" w:hAnsi="Times New Roman" w:cs="Times New Roman"/>
          <w:sz w:val="24"/>
          <w:szCs w:val="24"/>
        </w:rPr>
        <w:t xml:space="preserve"> </w:t>
      </w:r>
      <w:r>
        <w:rPr>
          <w:rFonts w:ascii="Times New Roman" w:hAnsi="Times New Roman" w:cs="Times New Roman"/>
          <w:sz w:val="24"/>
          <w:szCs w:val="24"/>
        </w:rPr>
        <w:t>71-83</w:t>
      </w:r>
      <w:r w:rsidR="008D399A">
        <w:rPr>
          <w:rFonts w:ascii="Times New Roman" w:hAnsi="Times New Roman" w:cs="Times New Roman"/>
          <w:sz w:val="24"/>
          <w:szCs w:val="24"/>
        </w:rPr>
        <w:t>.</w:t>
      </w:r>
    </w:p>
    <w:p w:rsidR="0067302D" w:rsidRDefault="0067302D" w:rsidP="009F3710">
      <w:pPr>
        <w:pStyle w:val="kutu1"/>
        <w:spacing w:before="120" w:after="120" w:afterAutospacing="0"/>
        <w:ind w:left="1080" w:right="74" w:hanging="1080"/>
        <w:rPr>
          <w:rFonts w:ascii="Times New Roman" w:hAnsi="Times New Roman" w:cs="Times New Roman"/>
          <w:sz w:val="24"/>
          <w:szCs w:val="24"/>
        </w:rPr>
      </w:pPr>
      <w:r>
        <w:rPr>
          <w:rFonts w:ascii="Times New Roman" w:hAnsi="Times New Roman" w:cs="Times New Roman"/>
          <w:sz w:val="24"/>
          <w:szCs w:val="24"/>
        </w:rPr>
        <w:t>Çınar, 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Yılmazer, M. ve Fazlılar, T.A. (2012) “Kirlilik Yaratan Sektörlerin Ticareti ve Çevre: Gelişmiş ve Gelişmekte Olan Ülkeler Karşılaştırması” </w:t>
      </w:r>
      <w:r w:rsidRPr="0067302D">
        <w:rPr>
          <w:rFonts w:ascii="Times New Roman" w:hAnsi="Times New Roman" w:cs="Times New Roman"/>
          <w:i/>
          <w:sz w:val="24"/>
          <w:szCs w:val="24"/>
        </w:rPr>
        <w:t>Doğuş Üniversitesi Dergisi 13,</w:t>
      </w:r>
      <w:r>
        <w:rPr>
          <w:rFonts w:ascii="Times New Roman" w:hAnsi="Times New Roman" w:cs="Times New Roman"/>
          <w:sz w:val="24"/>
          <w:szCs w:val="24"/>
        </w:rPr>
        <w:t xml:space="preserve"> </w:t>
      </w:r>
      <w:r w:rsidR="00381E5F">
        <w:rPr>
          <w:rFonts w:ascii="Times New Roman" w:hAnsi="Times New Roman" w:cs="Times New Roman"/>
          <w:sz w:val="24"/>
          <w:szCs w:val="24"/>
        </w:rPr>
        <w:t xml:space="preserve">ss. </w:t>
      </w:r>
      <w:r>
        <w:rPr>
          <w:rFonts w:ascii="Times New Roman" w:hAnsi="Times New Roman" w:cs="Times New Roman"/>
          <w:sz w:val="24"/>
          <w:szCs w:val="24"/>
        </w:rPr>
        <w:t>212-226.</w:t>
      </w:r>
    </w:p>
    <w:p w:rsidR="00137003" w:rsidRPr="002F6B40" w:rsidRDefault="00137003" w:rsidP="009F3710">
      <w:pPr>
        <w:pStyle w:val="NormalWeb"/>
        <w:spacing w:before="120" w:beforeAutospacing="0" w:after="120" w:afterAutospacing="0"/>
        <w:ind w:left="1134" w:hanging="1134"/>
        <w:rPr>
          <w:rFonts w:ascii="Times New Roman" w:hAnsi="Times New Roman" w:cs="Times New Roman"/>
          <w:color w:val="auto"/>
          <w:sz w:val="24"/>
          <w:szCs w:val="24"/>
        </w:rPr>
      </w:pPr>
      <w:r w:rsidRPr="002F6B40">
        <w:rPr>
          <w:rFonts w:ascii="Times New Roman" w:hAnsi="Times New Roman" w:cs="Times New Roman"/>
          <w:color w:val="auto"/>
          <w:sz w:val="24"/>
          <w:szCs w:val="24"/>
        </w:rPr>
        <w:t>Ç</w:t>
      </w:r>
      <w:r>
        <w:rPr>
          <w:rFonts w:ascii="Times New Roman" w:hAnsi="Times New Roman" w:cs="Times New Roman"/>
          <w:color w:val="auto"/>
          <w:sz w:val="24"/>
          <w:szCs w:val="24"/>
        </w:rPr>
        <w:t>OB,</w:t>
      </w:r>
      <w:r w:rsidRPr="002F6B40">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2008) Kyoto Protokolü Esneklik </w:t>
      </w:r>
      <w:r w:rsidRPr="002F6B40">
        <w:rPr>
          <w:rFonts w:ascii="Times New Roman" w:hAnsi="Times New Roman" w:cs="Times New Roman"/>
          <w:color w:val="auto"/>
          <w:sz w:val="24"/>
          <w:szCs w:val="24"/>
        </w:rPr>
        <w:t>Mekanizmaları ve Diğer Uluslar arası Emisyon</w:t>
      </w:r>
      <w:r>
        <w:rPr>
          <w:rFonts w:ascii="Times New Roman" w:hAnsi="Times New Roman" w:cs="Times New Roman"/>
          <w:color w:val="auto"/>
          <w:sz w:val="24"/>
          <w:szCs w:val="24"/>
        </w:rPr>
        <w:t xml:space="preserve"> Ticareti Sistemleri, </w:t>
      </w:r>
      <w:r w:rsidRPr="002F6B40">
        <w:rPr>
          <w:rFonts w:ascii="Times New Roman" w:hAnsi="Times New Roman" w:cs="Times New Roman"/>
          <w:color w:val="auto"/>
          <w:sz w:val="24"/>
          <w:szCs w:val="24"/>
        </w:rPr>
        <w:t>Özel İhtisas Komisyonu Raporu</w:t>
      </w:r>
      <w:r>
        <w:rPr>
          <w:rFonts w:ascii="Times New Roman" w:hAnsi="Times New Roman" w:cs="Times New Roman"/>
          <w:color w:val="auto"/>
          <w:sz w:val="24"/>
          <w:szCs w:val="24"/>
        </w:rPr>
        <w:t>, Ankara.</w:t>
      </w:r>
      <w:r w:rsidRPr="002F6B40">
        <w:rPr>
          <w:rFonts w:ascii="Times New Roman" w:hAnsi="Times New Roman" w:cs="Times New Roman"/>
          <w:color w:val="auto"/>
          <w:sz w:val="24"/>
          <w:szCs w:val="24"/>
        </w:rPr>
        <w:t xml:space="preserve"> www.iklim.cevreo</w:t>
      </w:r>
      <w:r>
        <w:rPr>
          <w:rFonts w:ascii="Times New Roman" w:hAnsi="Times New Roman" w:cs="Times New Roman"/>
          <w:color w:val="auto"/>
          <w:sz w:val="24"/>
          <w:szCs w:val="24"/>
        </w:rPr>
        <w:t>rman.gov.tr/belgeler/03.pdf, (17.01.2013</w:t>
      </w:r>
      <w:r w:rsidRPr="002F6B40">
        <w:rPr>
          <w:rFonts w:ascii="Times New Roman" w:hAnsi="Times New Roman" w:cs="Times New Roman"/>
          <w:color w:val="auto"/>
          <w:sz w:val="24"/>
          <w:szCs w:val="24"/>
        </w:rPr>
        <w:t>).</w:t>
      </w:r>
    </w:p>
    <w:p w:rsidR="008B5E7C" w:rsidRDefault="008B5E7C" w:rsidP="009F3710">
      <w:pPr>
        <w:spacing w:before="120" w:after="120"/>
        <w:ind w:left="1134" w:hanging="1134"/>
        <w:jc w:val="both"/>
      </w:pPr>
      <w:r w:rsidRPr="00587DF3">
        <w:t>D</w:t>
      </w:r>
      <w:r w:rsidR="0065681D">
        <w:t>eacon</w:t>
      </w:r>
      <w:r w:rsidR="00DE5B1E">
        <w:t>, Robert and</w:t>
      </w:r>
      <w:r w:rsidRPr="00587DF3">
        <w:t xml:space="preserve"> Catherine S. N</w:t>
      </w:r>
      <w:r w:rsidR="0065681D">
        <w:t>orman</w:t>
      </w:r>
      <w:r w:rsidRPr="00587DF3">
        <w:t xml:space="preserve"> (2004), “Does the Environmental Kuznets Curve Describe How Individual Countries Behave?”, UCSB Working Papers.</w:t>
      </w:r>
    </w:p>
    <w:p w:rsidR="008B5E7C" w:rsidRPr="000F6E5F" w:rsidRDefault="008B5E7C" w:rsidP="009F3710">
      <w:pPr>
        <w:spacing w:before="120" w:after="120"/>
        <w:ind w:left="1134" w:hanging="1134"/>
        <w:jc w:val="both"/>
      </w:pPr>
      <w:r w:rsidRPr="007C16A9">
        <w:t xml:space="preserve">Dinda, S. (2004) “Environmental Kuznets Curve Hypothesis: A Survey”, </w:t>
      </w:r>
      <w:r>
        <w:rPr>
          <w:i/>
        </w:rPr>
        <w:t>Ecological Economic</w:t>
      </w:r>
      <w:r w:rsidRPr="00C25075">
        <w:rPr>
          <w:i/>
        </w:rPr>
        <w:t xml:space="preserve"> 49,</w:t>
      </w:r>
      <w:r w:rsidRPr="007C16A9">
        <w:t xml:space="preserve"> </w:t>
      </w:r>
      <w:r w:rsidR="00381E5F">
        <w:t xml:space="preserve">ss. </w:t>
      </w:r>
      <w:r w:rsidRPr="007C16A9">
        <w:t>431-455.</w:t>
      </w:r>
    </w:p>
    <w:p w:rsidR="00E7661F" w:rsidRPr="00AE79B7" w:rsidRDefault="00E7661F" w:rsidP="009F3710">
      <w:pPr>
        <w:pStyle w:val="bolukcizgisi"/>
        <w:spacing w:before="120" w:after="120"/>
        <w:ind w:left="1080" w:hanging="1080"/>
      </w:pPr>
      <w:r w:rsidRPr="00AE79B7">
        <w:t xml:space="preserve">Dişbudak, K. (2008) </w:t>
      </w:r>
      <w:r w:rsidRPr="00D3744B">
        <w:rPr>
          <w:i/>
        </w:rPr>
        <w:t>Avrupa Birliği’nde Tarım-Çevre İlişkisi ve Türkiye’nin Uyumu,</w:t>
      </w:r>
      <w:r w:rsidRPr="00AE79B7">
        <w:t xml:space="preserve"> </w:t>
      </w:r>
      <w:r w:rsidR="00D3744B" w:rsidRPr="00AE79B7">
        <w:t xml:space="preserve">AB Uzmanlık Tezi, </w:t>
      </w:r>
      <w:r w:rsidRPr="00AE79B7">
        <w:t>T.C. Tarım ve Köyişleri Bakanlığı, Dış İlişkiler ve Avrupa Birliği Koordinasyon D</w:t>
      </w:r>
      <w:r w:rsidR="00D3744B">
        <w:t xml:space="preserve">airesi Başkanlığı: </w:t>
      </w:r>
      <w:r w:rsidRPr="00AE79B7">
        <w:t>Ankara.</w:t>
      </w:r>
    </w:p>
    <w:p w:rsidR="006750C6" w:rsidRPr="00AE79B7" w:rsidRDefault="00DE5B1E" w:rsidP="009F3710">
      <w:pPr>
        <w:pStyle w:val="bolukcizgisi"/>
        <w:spacing w:before="120" w:after="120"/>
        <w:ind w:left="1080" w:hanging="1080"/>
        <w:rPr>
          <w:rStyle w:val="FontStyle246"/>
          <w:sz w:val="24"/>
          <w:szCs w:val="24"/>
        </w:rPr>
      </w:pPr>
      <w:r>
        <w:rPr>
          <w:rStyle w:val="FontStyle246"/>
          <w:sz w:val="24"/>
          <w:szCs w:val="24"/>
        </w:rPr>
        <w:t>Doğan, S. v</w:t>
      </w:r>
      <w:r w:rsidR="006750C6" w:rsidRPr="00AE79B7">
        <w:rPr>
          <w:rStyle w:val="FontStyle246"/>
          <w:sz w:val="24"/>
          <w:szCs w:val="24"/>
        </w:rPr>
        <w:t xml:space="preserve">e Tüzer, M. (2011) “Küresel İklim Değişikliği ve Potansiyel Etkileri” </w:t>
      </w:r>
      <w:r w:rsidR="006750C6" w:rsidRPr="00AE79B7">
        <w:rPr>
          <w:rStyle w:val="FontStyle246"/>
          <w:i/>
          <w:sz w:val="24"/>
          <w:szCs w:val="24"/>
        </w:rPr>
        <w:t>C.Ü. İktisadi ve İdari Bilimler D</w:t>
      </w:r>
      <w:r w:rsidR="00753178" w:rsidRPr="00AE79B7">
        <w:rPr>
          <w:rStyle w:val="FontStyle246"/>
          <w:i/>
          <w:sz w:val="24"/>
          <w:szCs w:val="24"/>
        </w:rPr>
        <w:t>ergisi,</w:t>
      </w:r>
      <w:r w:rsidR="00753178" w:rsidRPr="00AE79B7">
        <w:rPr>
          <w:rStyle w:val="FontStyle246"/>
          <w:sz w:val="24"/>
          <w:szCs w:val="24"/>
        </w:rPr>
        <w:t xml:space="preserve"> Cilt 12, Sayı 1</w:t>
      </w:r>
      <w:r w:rsidR="00AE79B7">
        <w:rPr>
          <w:rStyle w:val="FontStyle246"/>
          <w:sz w:val="24"/>
          <w:szCs w:val="24"/>
        </w:rPr>
        <w:t>.</w:t>
      </w:r>
    </w:p>
    <w:p w:rsidR="0044255F" w:rsidRPr="00AE79B7" w:rsidRDefault="0044255F" w:rsidP="009F3710">
      <w:pPr>
        <w:spacing w:before="120" w:after="120"/>
        <w:ind w:left="1134" w:hanging="1134"/>
        <w:jc w:val="both"/>
      </w:pPr>
      <w:r w:rsidRPr="00AE79B7">
        <w:t>DPT (2000) İklim Değişikliği Özel İhtisas Komisyonu Raporu, Ankara.</w:t>
      </w:r>
    </w:p>
    <w:p w:rsidR="003D75FA" w:rsidRDefault="003D75FA" w:rsidP="009F3710">
      <w:pPr>
        <w:spacing w:before="120" w:after="120"/>
        <w:ind w:left="1134" w:hanging="1134"/>
        <w:jc w:val="both"/>
      </w:pPr>
      <w:r w:rsidRPr="00AE79B7">
        <w:t>Duru, B. (2008) “Kyoto Protokolü’nden Halkların Protokolüne”</w:t>
      </w:r>
      <w:r w:rsidR="00F57E50" w:rsidRPr="00AE79B7">
        <w:t>, Mülkiye, CXXXII, s.259, ss.</w:t>
      </w:r>
      <w:r w:rsidR="00381E5F">
        <w:t xml:space="preserve"> </w:t>
      </w:r>
      <w:r w:rsidR="00F57E50" w:rsidRPr="00AE79B7">
        <w:t>205-214</w:t>
      </w:r>
    </w:p>
    <w:p w:rsidR="001C3F1E" w:rsidRPr="00AB2747" w:rsidRDefault="001C3F1E" w:rsidP="009F3710">
      <w:pPr>
        <w:pStyle w:val="bolukcizgisi"/>
        <w:spacing w:before="120" w:after="120"/>
        <w:ind w:left="1080" w:hanging="1080"/>
        <w:rPr>
          <w:bCs/>
        </w:rPr>
      </w:pPr>
      <w:r w:rsidRPr="00AB2747">
        <w:rPr>
          <w:bCs/>
        </w:rPr>
        <w:t>EC (2009) “The EU Emission Trading Scheme”, European Commission, 2009 Edition, Belgium.</w:t>
      </w:r>
    </w:p>
    <w:p w:rsidR="001457AE" w:rsidRPr="00AE79B7" w:rsidRDefault="001457AE" w:rsidP="009F3710">
      <w:pPr>
        <w:pStyle w:val="bolukcizgisi"/>
        <w:spacing w:before="120" w:after="120"/>
        <w:ind w:left="1080" w:hanging="1080"/>
      </w:pPr>
      <w:r w:rsidRPr="00AE79B7">
        <w:t xml:space="preserve">EEA (2004) Impact of Europe’s </w:t>
      </w:r>
      <w:r w:rsidR="00D33D81">
        <w:t>Changing Climate: An Indicator-B</w:t>
      </w:r>
      <w:r w:rsidRPr="00AE79B7">
        <w:t>ased Assesment, Copenhagen, European Enviromental Agency, s</w:t>
      </w:r>
      <w:r w:rsidR="00D33D81">
        <w:t>s</w:t>
      </w:r>
      <w:r w:rsidRPr="00AE79B7">
        <w:t>.67.</w:t>
      </w:r>
    </w:p>
    <w:p w:rsidR="00550C98" w:rsidRPr="00AE79B7" w:rsidRDefault="00550C98" w:rsidP="009F3710">
      <w:pPr>
        <w:pStyle w:val="bolukcizgisi"/>
        <w:spacing w:before="120" w:after="120"/>
        <w:ind w:left="1080" w:hanging="1080"/>
      </w:pPr>
      <w:r w:rsidRPr="00AE79B7">
        <w:t>Ellerman, A.D. and Harrison, J.D. (2003) “Emission Trading in the U.S</w:t>
      </w:r>
      <w:proofErr w:type="gramStart"/>
      <w:r w:rsidRPr="00AE79B7">
        <w:t>.:</w:t>
      </w:r>
      <w:proofErr w:type="gramEnd"/>
      <w:r w:rsidRPr="00AE79B7">
        <w:t xml:space="preserve"> Experience, Lessons, and Consideration for Greenhouse Gases” </w:t>
      </w:r>
      <w:r w:rsidR="000839E7" w:rsidRPr="00AE79B7">
        <w:t>Pew Center on Global Climate Change, Arlington, USA.</w:t>
      </w:r>
    </w:p>
    <w:p w:rsidR="003E1F59" w:rsidRDefault="003E1F59" w:rsidP="009F3710">
      <w:pPr>
        <w:pStyle w:val="bolukcizgisi"/>
        <w:spacing w:before="120" w:after="120"/>
        <w:ind w:left="1080" w:hanging="1080"/>
      </w:pPr>
      <w:r>
        <w:t xml:space="preserve">Ellerman, A.D. (2008) “The EU Emission Trading Scheme: A Prototype Global System?”, </w:t>
      </w:r>
      <w:r w:rsidR="00675CD0">
        <w:t>Harvard Kennedy School, John F. Kennedy School of Goverment, Discussion Paper 08-02.</w:t>
      </w:r>
    </w:p>
    <w:p w:rsidR="00CB7E39" w:rsidRPr="001457AE" w:rsidRDefault="00CB7E39" w:rsidP="009F3710">
      <w:pPr>
        <w:pStyle w:val="bolukcizgisi"/>
        <w:spacing w:before="120" w:after="120"/>
        <w:ind w:left="1080" w:hanging="1080"/>
      </w:pPr>
      <w:r>
        <w:t xml:space="preserve">Engin, B. (2010) “İklim değişikliği ile Mücadelede Uluslararası İşbirliğinin Önemi”, </w:t>
      </w:r>
      <w:r w:rsidRPr="00CB7E39">
        <w:rPr>
          <w:i/>
        </w:rPr>
        <w:t>Sosyal Bilimler Dergisi 2,</w:t>
      </w:r>
      <w:r>
        <w:t xml:space="preserve"> </w:t>
      </w:r>
      <w:r w:rsidR="00381E5F">
        <w:t xml:space="preserve">ss. </w:t>
      </w:r>
      <w:r>
        <w:t>71-82.</w:t>
      </w:r>
    </w:p>
    <w:p w:rsidR="00424ADD" w:rsidRDefault="006F232D" w:rsidP="009F3710">
      <w:pPr>
        <w:pStyle w:val="Default"/>
        <w:spacing w:before="120" w:after="120"/>
        <w:ind w:left="1080" w:hanging="1080"/>
        <w:jc w:val="both"/>
        <w:rPr>
          <w:rFonts w:ascii="Times New Roman" w:hAnsi="Times New Roman" w:cs="Times New Roman"/>
          <w:sz w:val="24"/>
          <w:szCs w:val="24"/>
          <w:lang w:val="da-DK"/>
        </w:rPr>
      </w:pPr>
      <w:r w:rsidRPr="00424ADD">
        <w:rPr>
          <w:rFonts w:ascii="Times New Roman" w:hAnsi="Times New Roman" w:cs="Times New Roman"/>
          <w:sz w:val="24"/>
          <w:szCs w:val="24"/>
          <w:lang w:val="da-DK"/>
        </w:rPr>
        <w:t>EPA</w:t>
      </w:r>
      <w:r w:rsidR="002B3C08">
        <w:rPr>
          <w:rFonts w:ascii="Times New Roman" w:hAnsi="Times New Roman" w:cs="Times New Roman"/>
          <w:sz w:val="24"/>
          <w:szCs w:val="24"/>
          <w:lang w:val="da-DK"/>
        </w:rPr>
        <w:t>,</w:t>
      </w:r>
      <w:r w:rsidRPr="00424ADD">
        <w:rPr>
          <w:rFonts w:ascii="Times New Roman" w:hAnsi="Times New Roman" w:cs="Times New Roman"/>
          <w:sz w:val="24"/>
          <w:szCs w:val="24"/>
          <w:lang w:val="da-DK"/>
        </w:rPr>
        <w:t xml:space="preserve"> (2010)  Methane and Nitrous Oxide Emissions From Natural Sources, </w:t>
      </w:r>
      <w:r w:rsidR="002B3C08" w:rsidRPr="002B3C08">
        <w:rPr>
          <w:rFonts w:ascii="Times New Roman" w:hAnsi="Times New Roman" w:cs="Times New Roman"/>
          <w:i/>
          <w:sz w:val="24"/>
          <w:szCs w:val="24"/>
          <w:lang w:val="da-DK"/>
        </w:rPr>
        <w:t>United States Environmental Protection Agency</w:t>
      </w:r>
      <w:r w:rsidR="002B3C08">
        <w:rPr>
          <w:rFonts w:ascii="Times New Roman" w:hAnsi="Times New Roman" w:cs="Times New Roman"/>
          <w:sz w:val="24"/>
          <w:szCs w:val="24"/>
          <w:lang w:val="da-DK"/>
        </w:rPr>
        <w:t xml:space="preserve">, </w:t>
      </w:r>
      <w:r w:rsidR="00424ADD" w:rsidRPr="00424ADD">
        <w:rPr>
          <w:rFonts w:ascii="Times New Roman" w:hAnsi="Times New Roman" w:cs="Times New Roman"/>
          <w:sz w:val="24"/>
          <w:szCs w:val="24"/>
          <w:lang w:val="da-DK"/>
        </w:rPr>
        <w:t>Washington, DC</w:t>
      </w:r>
      <w:r w:rsidR="002B3C08">
        <w:rPr>
          <w:rFonts w:ascii="Times New Roman" w:hAnsi="Times New Roman" w:cs="Times New Roman"/>
          <w:sz w:val="24"/>
          <w:szCs w:val="24"/>
          <w:lang w:val="da-DK"/>
        </w:rPr>
        <w:t>.</w:t>
      </w:r>
      <w:r w:rsidR="00424ADD" w:rsidRPr="00424ADD">
        <w:rPr>
          <w:rFonts w:ascii="Times New Roman" w:hAnsi="Times New Roman" w:cs="Times New Roman"/>
          <w:sz w:val="24"/>
          <w:szCs w:val="24"/>
          <w:lang w:val="da-DK"/>
        </w:rPr>
        <w:t xml:space="preserve"> </w:t>
      </w:r>
    </w:p>
    <w:p w:rsidR="00D20677" w:rsidRDefault="00D20677" w:rsidP="009F3710">
      <w:pPr>
        <w:pStyle w:val="Default"/>
        <w:spacing w:before="120" w:after="120"/>
        <w:ind w:left="1134" w:hanging="1134"/>
        <w:jc w:val="both"/>
        <w:rPr>
          <w:rFonts w:ascii="Times New Roman" w:hAnsi="Times New Roman" w:cs="Times New Roman"/>
          <w:sz w:val="24"/>
          <w:szCs w:val="24"/>
          <w:lang w:val="da-DK"/>
        </w:rPr>
      </w:pPr>
      <w:r>
        <w:rPr>
          <w:rFonts w:ascii="Times New Roman" w:hAnsi="Times New Roman" w:cs="Times New Roman"/>
          <w:sz w:val="24"/>
          <w:szCs w:val="24"/>
          <w:lang w:val="da-DK"/>
        </w:rPr>
        <w:t xml:space="preserve">Eskeland, G.S. </w:t>
      </w:r>
      <w:r w:rsidR="00D33D81">
        <w:rPr>
          <w:rFonts w:ascii="Times New Roman" w:hAnsi="Times New Roman" w:cs="Times New Roman"/>
          <w:sz w:val="24"/>
          <w:szCs w:val="24"/>
          <w:lang w:val="da-DK"/>
        </w:rPr>
        <w:t>and</w:t>
      </w:r>
      <w:r>
        <w:rPr>
          <w:rFonts w:ascii="Times New Roman" w:hAnsi="Times New Roman" w:cs="Times New Roman"/>
          <w:sz w:val="24"/>
          <w:szCs w:val="24"/>
          <w:lang w:val="da-DK"/>
        </w:rPr>
        <w:t xml:space="preserve"> Harrison, A.E. (2003) </w:t>
      </w:r>
      <w:r w:rsidRPr="00D20677">
        <w:rPr>
          <w:rFonts w:ascii="Times New Roman" w:hAnsi="Times New Roman" w:cs="Times New Roman"/>
          <w:sz w:val="24"/>
          <w:szCs w:val="24"/>
          <w:lang w:val="da-DK"/>
        </w:rPr>
        <w:t>“</w:t>
      </w:r>
      <w:r w:rsidR="00846DE4">
        <w:rPr>
          <w:rFonts w:ascii="Times New Roman" w:hAnsi="Times New Roman" w:cs="Times New Roman"/>
          <w:sz w:val="24"/>
          <w:szCs w:val="24"/>
          <w:lang w:val="da-DK"/>
        </w:rPr>
        <w:t>Moving to Greener Pastures? Multinationals and T</w:t>
      </w:r>
      <w:r w:rsidRPr="00D20677">
        <w:rPr>
          <w:rFonts w:ascii="Times New Roman" w:hAnsi="Times New Roman" w:cs="Times New Roman"/>
          <w:sz w:val="24"/>
          <w:szCs w:val="24"/>
          <w:lang w:val="da-DK"/>
        </w:rPr>
        <w:t xml:space="preserve">he </w:t>
      </w:r>
      <w:r w:rsidR="00846DE4">
        <w:rPr>
          <w:rFonts w:ascii="Times New Roman" w:hAnsi="Times New Roman" w:cs="Times New Roman"/>
          <w:sz w:val="24"/>
          <w:szCs w:val="24"/>
          <w:lang w:val="da-DK"/>
        </w:rPr>
        <w:t>P</w:t>
      </w:r>
      <w:r w:rsidRPr="00D20677">
        <w:rPr>
          <w:rFonts w:ascii="Times New Roman" w:hAnsi="Times New Roman" w:cs="Times New Roman"/>
          <w:sz w:val="24"/>
          <w:szCs w:val="24"/>
          <w:lang w:val="da-DK"/>
        </w:rPr>
        <w:t xml:space="preserve">ollution </w:t>
      </w:r>
      <w:r w:rsidR="00846DE4">
        <w:rPr>
          <w:rFonts w:ascii="Times New Roman" w:hAnsi="Times New Roman" w:cs="Times New Roman"/>
          <w:sz w:val="24"/>
          <w:szCs w:val="24"/>
          <w:lang w:val="da-DK"/>
        </w:rPr>
        <w:t>H</w:t>
      </w:r>
      <w:r w:rsidRPr="00D20677">
        <w:rPr>
          <w:rFonts w:ascii="Times New Roman" w:hAnsi="Times New Roman" w:cs="Times New Roman"/>
          <w:sz w:val="24"/>
          <w:szCs w:val="24"/>
          <w:lang w:val="da-DK"/>
        </w:rPr>
        <w:t xml:space="preserve">aven </w:t>
      </w:r>
      <w:r w:rsidR="00846DE4">
        <w:rPr>
          <w:rFonts w:ascii="Times New Roman" w:hAnsi="Times New Roman" w:cs="Times New Roman"/>
          <w:sz w:val="24"/>
          <w:szCs w:val="24"/>
          <w:lang w:val="da-DK"/>
        </w:rPr>
        <w:t>H</w:t>
      </w:r>
      <w:r w:rsidRPr="00D20677">
        <w:rPr>
          <w:rFonts w:ascii="Times New Roman" w:hAnsi="Times New Roman" w:cs="Times New Roman"/>
          <w:sz w:val="24"/>
          <w:szCs w:val="24"/>
          <w:lang w:val="da-DK"/>
        </w:rPr>
        <w:t>ypothesis”</w:t>
      </w:r>
      <w:r>
        <w:rPr>
          <w:rFonts w:ascii="Times New Roman" w:hAnsi="Times New Roman" w:cs="Times New Roman"/>
          <w:sz w:val="24"/>
          <w:szCs w:val="24"/>
          <w:lang w:val="da-DK"/>
        </w:rPr>
        <w:t>,</w:t>
      </w:r>
      <w:r w:rsidRPr="00D20677">
        <w:rPr>
          <w:rFonts w:ascii="Times New Roman" w:hAnsi="Times New Roman" w:cs="Times New Roman"/>
          <w:sz w:val="24"/>
          <w:szCs w:val="24"/>
          <w:lang w:val="da-DK"/>
        </w:rPr>
        <w:t xml:space="preserve"> </w:t>
      </w:r>
      <w:r w:rsidRPr="00D20677">
        <w:rPr>
          <w:rFonts w:ascii="Times New Roman" w:hAnsi="Times New Roman" w:cs="Times New Roman"/>
          <w:i/>
          <w:sz w:val="24"/>
          <w:szCs w:val="24"/>
          <w:lang w:val="da-DK"/>
        </w:rPr>
        <w:t>Journal of Development Economics 70,</w:t>
      </w:r>
      <w:r w:rsidRPr="00D20677">
        <w:rPr>
          <w:rFonts w:ascii="Times New Roman" w:hAnsi="Times New Roman" w:cs="Times New Roman"/>
          <w:sz w:val="24"/>
          <w:szCs w:val="24"/>
          <w:lang w:val="da-DK"/>
        </w:rPr>
        <w:t xml:space="preserve"> </w:t>
      </w:r>
      <w:r w:rsidR="00381E5F">
        <w:rPr>
          <w:rFonts w:ascii="Times New Roman" w:hAnsi="Times New Roman" w:cs="Times New Roman"/>
          <w:sz w:val="24"/>
          <w:szCs w:val="24"/>
          <w:lang w:val="da-DK"/>
        </w:rPr>
        <w:t xml:space="preserve">ss. </w:t>
      </w:r>
      <w:r w:rsidRPr="00D20677">
        <w:rPr>
          <w:rFonts w:ascii="Times New Roman" w:hAnsi="Times New Roman" w:cs="Times New Roman"/>
          <w:sz w:val="24"/>
          <w:szCs w:val="24"/>
          <w:lang w:val="da-DK"/>
        </w:rPr>
        <w:t>1-23.</w:t>
      </w:r>
    </w:p>
    <w:p w:rsidR="00921E0E" w:rsidRDefault="00921E0E" w:rsidP="009F3710">
      <w:pPr>
        <w:spacing w:before="120" w:after="120"/>
        <w:ind w:left="1134" w:hanging="1134"/>
        <w:jc w:val="both"/>
      </w:pPr>
      <w:r w:rsidRPr="00852771">
        <w:t>FAO, (1990). Forest Resources Assessment, Global Synthesis, FAO Forestry Paper, Rome.</w:t>
      </w:r>
    </w:p>
    <w:p w:rsidR="00921E0E" w:rsidRPr="00921E0E" w:rsidRDefault="00921E0E" w:rsidP="009F3710">
      <w:pPr>
        <w:spacing w:before="120" w:after="120"/>
        <w:ind w:left="1134" w:hanging="1134"/>
        <w:jc w:val="both"/>
      </w:pPr>
      <w:r>
        <w:lastRenderedPageBreak/>
        <w:t>FAO</w:t>
      </w:r>
      <w:r w:rsidRPr="0089525F">
        <w:t>, (2001) Global Forest Resources Assesment 2000, ISSN 0258-6150, FAO Forestry Paper:140.</w:t>
      </w:r>
    </w:p>
    <w:p w:rsidR="003437A8" w:rsidRPr="00733E13" w:rsidRDefault="003437A8" w:rsidP="009F3710">
      <w:pPr>
        <w:pStyle w:val="bolukcizgisi"/>
        <w:spacing w:before="120" w:after="120"/>
        <w:ind w:left="1080" w:hanging="1080"/>
        <w:rPr>
          <w:bCs/>
        </w:rPr>
      </w:pPr>
      <w:r w:rsidRPr="00733E13">
        <w:rPr>
          <w:bCs/>
        </w:rPr>
        <w:t xml:space="preserve">Field, B. </w:t>
      </w:r>
      <w:r w:rsidR="00695357">
        <w:rPr>
          <w:bCs/>
        </w:rPr>
        <w:t xml:space="preserve">C. </w:t>
      </w:r>
      <w:r w:rsidRPr="00733E13">
        <w:rPr>
          <w:bCs/>
        </w:rPr>
        <w:t>and Field M.</w:t>
      </w:r>
      <w:r w:rsidR="00733E13" w:rsidRPr="00733E13">
        <w:rPr>
          <w:bCs/>
        </w:rPr>
        <w:t xml:space="preserve"> K.</w:t>
      </w:r>
      <w:r w:rsidRPr="00733E13">
        <w:rPr>
          <w:bCs/>
        </w:rPr>
        <w:t xml:space="preserve"> (2002) </w:t>
      </w:r>
      <w:r w:rsidRPr="00733E13">
        <w:rPr>
          <w:bCs/>
          <w:i/>
        </w:rPr>
        <w:t>Enviromental Economics</w:t>
      </w:r>
      <w:r w:rsidR="00733E13" w:rsidRPr="00733E13">
        <w:rPr>
          <w:bCs/>
          <w:i/>
        </w:rPr>
        <w:t>: An Introduction</w:t>
      </w:r>
      <w:r w:rsidRPr="00733E13">
        <w:rPr>
          <w:bCs/>
        </w:rPr>
        <w:t>, Boston, Mc Graw Hill.</w:t>
      </w:r>
    </w:p>
    <w:p w:rsidR="008B5E7C" w:rsidRDefault="008B5E7C" w:rsidP="009F3710">
      <w:pPr>
        <w:autoSpaceDE w:val="0"/>
        <w:autoSpaceDN w:val="0"/>
        <w:adjustRightInd w:val="0"/>
        <w:spacing w:before="120" w:after="120"/>
        <w:ind w:left="1134" w:hanging="1134"/>
        <w:jc w:val="both"/>
      </w:pPr>
      <w:r w:rsidRPr="00EF2793">
        <w:t>Frankel J</w:t>
      </w:r>
      <w:r>
        <w:t>.A. and</w:t>
      </w:r>
      <w:r w:rsidRPr="00EF2793">
        <w:t xml:space="preserve"> Romer</w:t>
      </w:r>
      <w:r>
        <w:t>,</w:t>
      </w:r>
      <w:r w:rsidRPr="00EF2793">
        <w:t xml:space="preserve"> D.</w:t>
      </w:r>
      <w:r>
        <w:t xml:space="preserve"> (1999)</w:t>
      </w:r>
      <w:r w:rsidRPr="00EF2793">
        <w:t xml:space="preserve"> </w:t>
      </w:r>
      <w:r>
        <w:t>“</w:t>
      </w:r>
      <w:r w:rsidRPr="00EF2793">
        <w:t>Does trade cause growth?</w:t>
      </w:r>
      <w:r>
        <w:t>”</w:t>
      </w:r>
      <w:r w:rsidRPr="00EF2793">
        <w:t xml:space="preserve"> </w:t>
      </w:r>
      <w:r w:rsidRPr="00EF2793">
        <w:rPr>
          <w:i/>
        </w:rPr>
        <w:t xml:space="preserve">American Economic Review 89, </w:t>
      </w:r>
      <w:r>
        <w:t xml:space="preserve">3, </w:t>
      </w:r>
      <w:r w:rsidR="00381E5F">
        <w:t xml:space="preserve">ss. </w:t>
      </w:r>
      <w:r w:rsidRPr="00EF2793">
        <w:t>379</w:t>
      </w:r>
      <w:r>
        <w:t>-3</w:t>
      </w:r>
      <w:r w:rsidRPr="00EF2793">
        <w:t>99.</w:t>
      </w:r>
    </w:p>
    <w:p w:rsidR="00C9358C" w:rsidRPr="004E2316" w:rsidRDefault="00C9358C" w:rsidP="009F3710">
      <w:pPr>
        <w:autoSpaceDE w:val="0"/>
        <w:autoSpaceDN w:val="0"/>
        <w:adjustRightInd w:val="0"/>
        <w:spacing w:before="120" w:after="120"/>
        <w:ind w:left="1134" w:hanging="1134"/>
        <w:jc w:val="both"/>
      </w:pPr>
      <w:r>
        <w:t>Frees, E.W. (2004) Longitudinal and Panel Data: Analysis and Applications for the Social Scien</w:t>
      </w:r>
      <w:r w:rsidR="00910D64">
        <w:t>ces, Cambridge University Press, New York.</w:t>
      </w:r>
    </w:p>
    <w:p w:rsidR="00DF493D" w:rsidRDefault="00DF493D" w:rsidP="009F3710">
      <w:pPr>
        <w:pStyle w:val="ListeParagraf"/>
        <w:tabs>
          <w:tab w:val="left" w:pos="1134"/>
        </w:tabs>
        <w:spacing w:before="120" w:after="120"/>
        <w:ind w:left="1134" w:hanging="1134"/>
        <w:jc w:val="both"/>
        <w:rPr>
          <w:bCs/>
        </w:rPr>
      </w:pPr>
      <w:r>
        <w:rPr>
          <w:bCs/>
        </w:rPr>
        <w:t xml:space="preserve">Freestone, D. and Streck, C. (2005) </w:t>
      </w:r>
      <w:r w:rsidR="00AD02F6">
        <w:rPr>
          <w:bCs/>
        </w:rPr>
        <w:t>“</w:t>
      </w:r>
      <w:r>
        <w:rPr>
          <w:bCs/>
        </w:rPr>
        <w:t>Legal Aspect of Implementing the Kyoto Protocol Mechanism</w:t>
      </w:r>
      <w:r w:rsidR="00AD02F6">
        <w:rPr>
          <w:bCs/>
        </w:rPr>
        <w:t>”</w:t>
      </w:r>
      <w:r>
        <w:rPr>
          <w:bCs/>
        </w:rPr>
        <w:t>, Oxford University Press, New York.</w:t>
      </w:r>
    </w:p>
    <w:p w:rsidR="00207203" w:rsidRDefault="00AD02F6" w:rsidP="009F3710">
      <w:pPr>
        <w:pStyle w:val="ListeParagraf"/>
        <w:tabs>
          <w:tab w:val="left" w:pos="1134"/>
        </w:tabs>
        <w:spacing w:before="120" w:after="120"/>
        <w:ind w:left="1134" w:hanging="1134"/>
        <w:jc w:val="both"/>
        <w:rPr>
          <w:bCs/>
        </w:rPr>
      </w:pPr>
      <w:r>
        <w:rPr>
          <w:bCs/>
        </w:rPr>
        <w:t xml:space="preserve">Fodha, M. </w:t>
      </w:r>
      <w:r w:rsidR="00D33D81">
        <w:rPr>
          <w:bCs/>
        </w:rPr>
        <w:t xml:space="preserve">and </w:t>
      </w:r>
      <w:r>
        <w:rPr>
          <w:bCs/>
        </w:rPr>
        <w:t>Zaghdoud</w:t>
      </w:r>
      <w:r w:rsidR="00207203">
        <w:rPr>
          <w:bCs/>
        </w:rPr>
        <w:t>, O. (2010)</w:t>
      </w:r>
      <w:r>
        <w:rPr>
          <w:bCs/>
        </w:rPr>
        <w:t xml:space="preserve"> “Economic Growth and Pollutant Emissions in Tunisia: An Emprical Analysis of the Envrironmental Kuznets Curve”, </w:t>
      </w:r>
      <w:r w:rsidRPr="00D33D81">
        <w:rPr>
          <w:bCs/>
          <w:i/>
        </w:rPr>
        <w:t>Energy Policy 38,</w:t>
      </w:r>
      <w:r>
        <w:rPr>
          <w:bCs/>
        </w:rPr>
        <w:t xml:space="preserve"> </w:t>
      </w:r>
      <w:r w:rsidR="00381E5F">
        <w:rPr>
          <w:bCs/>
        </w:rPr>
        <w:t xml:space="preserve">ss. </w:t>
      </w:r>
      <w:r>
        <w:rPr>
          <w:bCs/>
        </w:rPr>
        <w:t>1150-1156.</w:t>
      </w:r>
    </w:p>
    <w:p w:rsidR="009C01A3" w:rsidRDefault="008B5E7C" w:rsidP="009F3710">
      <w:pPr>
        <w:autoSpaceDE w:val="0"/>
        <w:autoSpaceDN w:val="0"/>
        <w:adjustRightInd w:val="0"/>
        <w:spacing w:before="120" w:after="120"/>
        <w:ind w:left="1134" w:hanging="1134"/>
        <w:jc w:val="both"/>
      </w:pPr>
      <w:r w:rsidRPr="009920F6">
        <w:t>Greening, L.A</w:t>
      </w:r>
      <w:proofErr w:type="gramStart"/>
      <w:r w:rsidRPr="009920F6">
        <w:t>.,</w:t>
      </w:r>
      <w:proofErr w:type="gramEnd"/>
      <w:r w:rsidRPr="009920F6">
        <w:t xml:space="preserve"> Davis, W.B., </w:t>
      </w:r>
      <w:r w:rsidR="00D33D81">
        <w:t xml:space="preserve">and </w:t>
      </w:r>
      <w:r w:rsidRPr="009920F6">
        <w:t xml:space="preserve">Schipper, L., </w:t>
      </w:r>
      <w:r>
        <w:t>(</w:t>
      </w:r>
      <w:r w:rsidRPr="009920F6">
        <w:t>1998</w:t>
      </w:r>
      <w:r>
        <w:t>)</w:t>
      </w:r>
      <w:r w:rsidRPr="009920F6">
        <w:t xml:space="preserve"> </w:t>
      </w:r>
      <w:r>
        <w:t>“</w:t>
      </w:r>
      <w:r w:rsidRPr="009920F6">
        <w:t>Decomposition of</w:t>
      </w:r>
      <w:r>
        <w:t xml:space="preserve"> Aggregate Carbon Intensity for The M</w:t>
      </w:r>
      <w:r w:rsidRPr="009920F6">
        <w:t>anuf</w:t>
      </w:r>
      <w:r>
        <w:t>acturing S</w:t>
      </w:r>
      <w:r w:rsidRPr="009920F6">
        <w:t>ector:</w:t>
      </w:r>
      <w:r>
        <w:t xml:space="preserve"> Comparison of Declining T</w:t>
      </w:r>
      <w:r w:rsidRPr="009920F6">
        <w:t>rends</w:t>
      </w:r>
      <w:r>
        <w:t xml:space="preserve"> from 10 OECD Countries for The P</w:t>
      </w:r>
      <w:r w:rsidRPr="009920F6">
        <w:t>eriod 1971–1991</w:t>
      </w:r>
      <w:r>
        <w:t>”</w:t>
      </w:r>
      <w:r w:rsidRPr="009920F6">
        <w:t xml:space="preserve">. </w:t>
      </w:r>
      <w:r w:rsidRPr="00F34A01">
        <w:rPr>
          <w:i/>
        </w:rPr>
        <w:t>Energy Economics 20</w:t>
      </w:r>
      <w:r w:rsidRPr="009920F6">
        <w:t xml:space="preserve">, </w:t>
      </w:r>
      <w:r w:rsidR="00381E5F">
        <w:t xml:space="preserve">ss. </w:t>
      </w:r>
      <w:r w:rsidRPr="009920F6">
        <w:t>43–65.</w:t>
      </w:r>
    </w:p>
    <w:p w:rsidR="008E2A2E" w:rsidRDefault="008457DA" w:rsidP="009F3710">
      <w:pPr>
        <w:autoSpaceDE w:val="0"/>
        <w:autoSpaceDN w:val="0"/>
        <w:adjustRightInd w:val="0"/>
        <w:spacing w:before="120" w:after="120"/>
        <w:ind w:left="1134" w:hanging="1134"/>
        <w:jc w:val="both"/>
      </w:pPr>
      <w:r>
        <w:t>Greene</w:t>
      </w:r>
      <w:r w:rsidR="00E433E9">
        <w:t>, W</w:t>
      </w:r>
      <w:r w:rsidR="00E433E9" w:rsidRPr="00E433E9">
        <w:t>. H</w:t>
      </w:r>
      <w:proofErr w:type="gramStart"/>
      <w:r w:rsidR="00E433E9" w:rsidRPr="00E433E9">
        <w:t>.</w:t>
      </w:r>
      <w:r w:rsidR="00E433E9">
        <w:t>,</w:t>
      </w:r>
      <w:proofErr w:type="gramEnd"/>
      <w:r w:rsidR="00CB1F28">
        <w:t xml:space="preserve"> (2003</w:t>
      </w:r>
      <w:r w:rsidR="00E433E9" w:rsidRPr="00E433E9">
        <w:t>), Econometric Analysis, Fifth Edition, New York: Prentice- Hall International, Inc.</w:t>
      </w:r>
    </w:p>
    <w:p w:rsidR="008B5E7C" w:rsidRDefault="008B5E7C" w:rsidP="009F3710">
      <w:pPr>
        <w:spacing w:before="120" w:after="120"/>
        <w:ind w:left="1134" w:hanging="1134"/>
        <w:jc w:val="both"/>
      </w:pPr>
      <w:r w:rsidRPr="00010D39">
        <w:t>Grossman, G.M</w:t>
      </w:r>
      <w:proofErr w:type="gramStart"/>
      <w:r w:rsidRPr="00010D39">
        <w:t>.,</w:t>
      </w:r>
      <w:proofErr w:type="gramEnd"/>
      <w:r w:rsidRPr="00010D39">
        <w:t xml:space="preserve"> Kruger, A.B., </w:t>
      </w:r>
      <w:r>
        <w:t>(</w:t>
      </w:r>
      <w:r w:rsidRPr="00010D39">
        <w:t>1995</w:t>
      </w:r>
      <w:r>
        <w:t>)</w:t>
      </w:r>
      <w:r w:rsidRPr="00010D39">
        <w:t xml:space="preserve"> </w:t>
      </w:r>
      <w:r>
        <w:t>“Economic G</w:t>
      </w:r>
      <w:r w:rsidRPr="00010D39">
        <w:t>ro</w:t>
      </w:r>
      <w:r>
        <w:t xml:space="preserve">wth and </w:t>
      </w:r>
      <w:r w:rsidR="000955F7">
        <w:t>t</w:t>
      </w:r>
      <w:r>
        <w:t>he Environment”.</w:t>
      </w:r>
      <w:r w:rsidRPr="00010D39">
        <w:t xml:space="preserve"> </w:t>
      </w:r>
      <w:r w:rsidRPr="00010D39">
        <w:rPr>
          <w:i/>
        </w:rPr>
        <w:t>Quarterly Journal of Economics</w:t>
      </w:r>
      <w:r w:rsidRPr="00CF3961">
        <w:rPr>
          <w:i/>
        </w:rPr>
        <w:t xml:space="preserve"> 110</w:t>
      </w:r>
      <w:r w:rsidRPr="00010D39">
        <w:t xml:space="preserve"> (2), </w:t>
      </w:r>
      <w:r w:rsidR="00381E5F">
        <w:t xml:space="preserve">ss. </w:t>
      </w:r>
      <w:r w:rsidRPr="00010D39">
        <w:t>353–377.</w:t>
      </w:r>
    </w:p>
    <w:p w:rsidR="000C61BB" w:rsidRDefault="000C61BB" w:rsidP="009F3710">
      <w:pPr>
        <w:pStyle w:val="GvdeMetniGirintisi"/>
        <w:spacing w:before="120" w:after="120" w:line="240" w:lineRule="auto"/>
        <w:ind w:left="1134" w:hanging="1134"/>
      </w:pPr>
      <w:r w:rsidRPr="000C61BB">
        <w:t xml:space="preserve">Goulder, L.H. (1995) “Enviromental Taxation and the Double Divident: A Reader’s Guide”, </w:t>
      </w:r>
      <w:r w:rsidRPr="00D33D81">
        <w:rPr>
          <w:i/>
        </w:rPr>
        <w:t>Intarnational Tax and Public Finance,</w:t>
      </w:r>
      <w:r w:rsidRPr="000C61BB">
        <w:t xml:space="preserve"> Kluwer Academic Publishers, s.2, ss.</w:t>
      </w:r>
      <w:r w:rsidR="00381E5F">
        <w:t xml:space="preserve"> </w:t>
      </w:r>
      <w:r w:rsidRPr="000C61BB">
        <w:t>157-183.</w:t>
      </w:r>
    </w:p>
    <w:p w:rsidR="00B60B0C" w:rsidRDefault="00B60B0C" w:rsidP="009F3710">
      <w:pPr>
        <w:pStyle w:val="GvdeMetniGirintisi"/>
        <w:spacing w:before="120" w:after="120" w:line="240" w:lineRule="auto"/>
        <w:ind w:left="1134" w:hanging="1134"/>
      </w:pPr>
      <w:r>
        <w:t>Göçer, İ. (2013</w:t>
      </w:r>
      <w:r w:rsidR="003820CF">
        <w:t>a</w:t>
      </w:r>
      <w:r>
        <w:t xml:space="preserve">) “Küresel Ekonomik Krizin Etkileri: Panel Veri Analizi”, </w:t>
      </w:r>
      <w:r w:rsidRPr="00B60B0C">
        <w:rPr>
          <w:i/>
        </w:rPr>
        <w:t>Balıkesir Üniversitesi Sosyal Bilimler Enstitüsü Dergisi, 16,</w:t>
      </w:r>
      <w:r>
        <w:t xml:space="preserve"> </w:t>
      </w:r>
      <w:r w:rsidR="00D03AB9">
        <w:t xml:space="preserve">ss. </w:t>
      </w:r>
      <w:r>
        <w:t>163-188.</w:t>
      </w:r>
    </w:p>
    <w:p w:rsidR="003820CF" w:rsidRDefault="003820CF" w:rsidP="003820CF">
      <w:pPr>
        <w:pStyle w:val="GvdeMetniGirintisi"/>
        <w:spacing w:before="120" w:after="120" w:line="240" w:lineRule="auto"/>
        <w:ind w:left="1134" w:hanging="1134"/>
      </w:pPr>
      <w:r>
        <w:t>Göçer, İ. (2013</w:t>
      </w:r>
      <w:r w:rsidR="006B6022">
        <w:t>b</w:t>
      </w:r>
      <w:r>
        <w:t>) “Ekonomik Analizlerde</w:t>
      </w:r>
      <w:r w:rsidR="006B6022">
        <w:t xml:space="preserve"> İstatistiksel Verilerin Yeri ve Önemi</w:t>
      </w:r>
      <w:r>
        <w:t xml:space="preserve">”, </w:t>
      </w:r>
      <w:r w:rsidR="006B6022">
        <w:t>Resmi İstatistiklerde İdari Kayıtların Önemi ve Ekonomik Analizlerde İstatistiksel Veriler: TUİK Paneli, 17.12.2013 Aydın</w:t>
      </w:r>
      <w:r>
        <w:t>.</w:t>
      </w:r>
    </w:p>
    <w:p w:rsidR="0057130D" w:rsidRDefault="00FB0E0B" w:rsidP="009F3710">
      <w:pPr>
        <w:pStyle w:val="GvdeMetniGirintisi"/>
        <w:spacing w:before="120" w:after="120" w:line="240" w:lineRule="auto"/>
        <w:ind w:left="1134" w:hanging="1134"/>
      </w:pPr>
      <w:r>
        <w:t>Gujarati, D.</w:t>
      </w:r>
      <w:r w:rsidR="0057130D">
        <w:t xml:space="preserve"> N. </w:t>
      </w:r>
      <w:r w:rsidR="00061A17">
        <w:t>(1999</w:t>
      </w:r>
      <w:r w:rsidR="0057130D">
        <w:t>)</w:t>
      </w:r>
      <w:r w:rsidR="00F40A92">
        <w:t xml:space="preserve"> Temel Ekonometri, Çev. Ümit Şen</w:t>
      </w:r>
      <w:r w:rsidR="0057130D">
        <w:t>esen, Gülay Günlük Senesen, Literatür Yayıncılık, 7. Basım, Eylül</w:t>
      </w:r>
      <w:r w:rsidR="00061A17">
        <w:t xml:space="preserve"> 2010</w:t>
      </w:r>
      <w:r w:rsidR="0057130D">
        <w:t>, İstanbul.</w:t>
      </w:r>
    </w:p>
    <w:p w:rsidR="00736360" w:rsidRPr="00736360" w:rsidRDefault="00736360" w:rsidP="009F3710">
      <w:pPr>
        <w:autoSpaceDE w:val="0"/>
        <w:autoSpaceDN w:val="0"/>
        <w:adjustRightInd w:val="0"/>
        <w:spacing w:before="120" w:after="120"/>
        <w:ind w:left="1170" w:hanging="1170"/>
        <w:jc w:val="both"/>
        <w:rPr>
          <w:color w:val="FF0000"/>
        </w:rPr>
      </w:pPr>
      <w:r w:rsidRPr="008B1647">
        <w:t>Güloğlu, B. ve İspir, S. (2009) “Yeni Gelişmeler Işığında Türkiye’de Satın Alma Gücü Paritesi Önsavının Panel Birim Kök Sınaması”, Pamukkale Üniversitesi İİBF Salı Seminerleri.</w:t>
      </w:r>
    </w:p>
    <w:p w:rsidR="00D87D24" w:rsidRPr="00D87D24" w:rsidRDefault="00D87D24" w:rsidP="009F3710">
      <w:pPr>
        <w:tabs>
          <w:tab w:val="left" w:pos="1134"/>
        </w:tabs>
        <w:spacing w:before="120" w:after="120"/>
        <w:ind w:left="1134" w:hanging="1134"/>
        <w:jc w:val="both"/>
        <w:rPr>
          <w:bCs/>
        </w:rPr>
      </w:pPr>
      <w:r w:rsidRPr="00D87D24">
        <w:rPr>
          <w:bCs/>
        </w:rPr>
        <w:t>G</w:t>
      </w:r>
      <w:r>
        <w:rPr>
          <w:bCs/>
        </w:rPr>
        <w:t>üloğlu</w:t>
      </w:r>
      <w:r w:rsidR="00D33D81">
        <w:rPr>
          <w:bCs/>
        </w:rPr>
        <w:t xml:space="preserve">, B. and </w:t>
      </w:r>
      <w:r w:rsidRPr="00D87D24">
        <w:rPr>
          <w:bCs/>
        </w:rPr>
        <w:t>İ</w:t>
      </w:r>
      <w:r>
        <w:rPr>
          <w:bCs/>
        </w:rPr>
        <w:t>vrendi</w:t>
      </w:r>
      <w:r w:rsidRPr="00D87D24">
        <w:rPr>
          <w:bCs/>
        </w:rPr>
        <w:t xml:space="preserve">, M. (2008) </w:t>
      </w:r>
      <w:r w:rsidR="00FD48DE">
        <w:rPr>
          <w:bCs/>
        </w:rPr>
        <w:t>“</w:t>
      </w:r>
      <w:r w:rsidRPr="00D87D24">
        <w:rPr>
          <w:bCs/>
        </w:rPr>
        <w:t>Output fluctuations: transitory or permanent? the case of Latin America</w:t>
      </w:r>
      <w:r w:rsidR="00FD48DE">
        <w:rPr>
          <w:bCs/>
        </w:rPr>
        <w:t xml:space="preserve">”, </w:t>
      </w:r>
      <w:r w:rsidR="00FD48DE" w:rsidRPr="00FD48DE">
        <w:rPr>
          <w:bCs/>
          <w:i/>
        </w:rPr>
        <w:t>Applied Economic Letters 17,</w:t>
      </w:r>
      <w:r w:rsidRPr="00D87D24">
        <w:rPr>
          <w:bCs/>
        </w:rPr>
        <w:t xml:space="preserve"> 4, </w:t>
      </w:r>
      <w:r w:rsidR="00D03AB9">
        <w:rPr>
          <w:bCs/>
        </w:rPr>
        <w:t xml:space="preserve">ss. </w:t>
      </w:r>
      <w:r w:rsidRPr="00D87D24">
        <w:rPr>
          <w:bCs/>
        </w:rPr>
        <w:t>381-386.</w:t>
      </w:r>
    </w:p>
    <w:p w:rsidR="00252601" w:rsidRDefault="00252601" w:rsidP="009F3710">
      <w:pPr>
        <w:pStyle w:val="GvdeMetniGirintisi"/>
        <w:spacing w:before="120" w:after="120" w:line="240" w:lineRule="auto"/>
        <w:ind w:left="1134" w:hanging="1134"/>
      </w:pPr>
      <w:r>
        <w:t>Güriş, S</w:t>
      </w:r>
      <w:proofErr w:type="gramStart"/>
      <w:r>
        <w:t>.,</w:t>
      </w:r>
      <w:proofErr w:type="gramEnd"/>
      <w:r>
        <w:t xml:space="preserve"> Çağlayan, E. </w:t>
      </w:r>
      <w:r w:rsidR="008279EC">
        <w:t>v</w:t>
      </w:r>
      <w:r>
        <w:t>e Güriş, B., (2011) “Eviews ile Temel Ekonometri”, Der Yayınları, Cağaloğlu - İstanbul.</w:t>
      </w:r>
    </w:p>
    <w:p w:rsidR="00FC00B3" w:rsidRDefault="00FC00B3" w:rsidP="009F3710">
      <w:pPr>
        <w:pStyle w:val="GvdeMetniGirintisi"/>
        <w:spacing w:before="120" w:after="120" w:line="240" w:lineRule="auto"/>
        <w:ind w:left="1134" w:hanging="1134"/>
      </w:pPr>
      <w:r>
        <w:t xml:space="preserve">Hadri K. (2000) “Testing for Stationarity in Hetetogenous Panels” Econometrics Journal, 3, </w:t>
      </w:r>
      <w:r w:rsidR="00D03AB9">
        <w:t xml:space="preserve">ss. </w:t>
      </w:r>
      <w:r>
        <w:t>148-161.</w:t>
      </w:r>
    </w:p>
    <w:p w:rsidR="0011735B" w:rsidRPr="0011735B" w:rsidRDefault="0011735B" w:rsidP="009F3710">
      <w:pPr>
        <w:pStyle w:val="GvdeMetniGirintisi"/>
        <w:spacing w:before="120" w:after="120" w:line="240" w:lineRule="auto"/>
        <w:ind w:left="1134" w:hanging="1134"/>
      </w:pPr>
      <w:r>
        <w:t>Halicioglu, F (2009) “An Econometric Study of CO</w:t>
      </w:r>
      <w:r>
        <w:rPr>
          <w:vertAlign w:val="subscript"/>
        </w:rPr>
        <w:t>2</w:t>
      </w:r>
      <w:r>
        <w:t xml:space="preserve"> Emissions, Energy Consumption, Income and Foreign Trade in Turkey”, Energy Policy 37, </w:t>
      </w:r>
      <w:r w:rsidR="00D03AB9">
        <w:t xml:space="preserve">ss. </w:t>
      </w:r>
      <w:r>
        <w:t>1156-1164.</w:t>
      </w:r>
    </w:p>
    <w:p w:rsidR="004862C0" w:rsidRDefault="004862C0" w:rsidP="009F3710">
      <w:pPr>
        <w:spacing w:before="120" w:after="120"/>
        <w:ind w:left="1134" w:hanging="1134"/>
        <w:jc w:val="both"/>
      </w:pPr>
      <w:r>
        <w:lastRenderedPageBreak/>
        <w:t xml:space="preserve">Halkos, G.E. (2003) “Environmental Kuznets Curve for Sulfur: Evidence Using GMM Estimation and Random Coefficient Panel Data Models”, </w:t>
      </w:r>
      <w:r w:rsidRPr="004862C0">
        <w:rPr>
          <w:i/>
        </w:rPr>
        <w:t>Envrionment and Development Economics, 4,</w:t>
      </w:r>
      <w:r>
        <w:t xml:space="preserve"> </w:t>
      </w:r>
      <w:r w:rsidR="00D03AB9">
        <w:t xml:space="preserve">ss. </w:t>
      </w:r>
      <w:r>
        <w:t>581-601</w:t>
      </w:r>
    </w:p>
    <w:p w:rsidR="008B5E7C" w:rsidRPr="000C61BB" w:rsidRDefault="008B5E7C" w:rsidP="009F3710">
      <w:pPr>
        <w:spacing w:before="120" w:after="120"/>
        <w:ind w:left="1134" w:hanging="1134"/>
        <w:jc w:val="both"/>
      </w:pPr>
      <w:r w:rsidRPr="00580AFD">
        <w:t xml:space="preserve">Hamilton, C. </w:t>
      </w:r>
      <w:r w:rsidR="00D33D81">
        <w:t>and</w:t>
      </w:r>
      <w:r w:rsidRPr="00580AFD">
        <w:t xml:space="preserve"> Turton, H. (2002) “Determinant of Emissions Growt in OECD Countries”, </w:t>
      </w:r>
      <w:r>
        <w:rPr>
          <w:i/>
        </w:rPr>
        <w:t>Energy Policy</w:t>
      </w:r>
      <w:r w:rsidRPr="00133357">
        <w:rPr>
          <w:i/>
        </w:rPr>
        <w:t xml:space="preserve"> 30,</w:t>
      </w:r>
      <w:r w:rsidRPr="00580AFD">
        <w:t xml:space="preserve"> </w:t>
      </w:r>
      <w:r w:rsidR="00D03AB9">
        <w:t xml:space="preserve">ss. </w:t>
      </w:r>
      <w:r w:rsidRPr="00580AFD">
        <w:t>63-71.</w:t>
      </w:r>
    </w:p>
    <w:p w:rsidR="00D66164" w:rsidRDefault="00D66164" w:rsidP="009F3710">
      <w:pPr>
        <w:autoSpaceDE w:val="0"/>
        <w:autoSpaceDN w:val="0"/>
        <w:adjustRightInd w:val="0"/>
        <w:spacing w:before="120" w:after="120"/>
        <w:ind w:left="1134" w:hanging="1134"/>
        <w:jc w:val="both"/>
      </w:pPr>
      <w:r w:rsidRPr="00D66164">
        <w:t xml:space="preserve">Hansen, J. (2004) </w:t>
      </w:r>
      <w:r>
        <w:t>“</w:t>
      </w:r>
      <w:r w:rsidRPr="00D66164">
        <w:t xml:space="preserve">Defusing the Global Warming Time Bomb”, </w:t>
      </w:r>
      <w:r w:rsidR="00255CCF">
        <w:rPr>
          <w:i/>
        </w:rPr>
        <w:t>Scientific American 290</w:t>
      </w:r>
      <w:r w:rsidRPr="00255CCF">
        <w:rPr>
          <w:i/>
        </w:rPr>
        <w:t>,</w:t>
      </w:r>
      <w:r w:rsidR="00255CCF">
        <w:t xml:space="preserve"> </w:t>
      </w:r>
      <w:r w:rsidR="00363341">
        <w:t xml:space="preserve">n.3, </w:t>
      </w:r>
      <w:r w:rsidR="00D03AB9">
        <w:t xml:space="preserve">ss. </w:t>
      </w:r>
      <w:r w:rsidRPr="00D66164">
        <w:t>68-77.</w:t>
      </w:r>
    </w:p>
    <w:p w:rsidR="005052FF" w:rsidRDefault="008B5E7C" w:rsidP="009F3710">
      <w:pPr>
        <w:spacing w:before="120" w:after="120"/>
        <w:ind w:left="1134" w:hanging="1134"/>
        <w:jc w:val="both"/>
      </w:pPr>
      <w:r w:rsidRPr="00590C37">
        <w:t>Harbaugh, W.T</w:t>
      </w:r>
      <w:proofErr w:type="gramStart"/>
      <w:r w:rsidRPr="00590C37">
        <w:t>.,</w:t>
      </w:r>
      <w:proofErr w:type="gramEnd"/>
      <w:r w:rsidRPr="00590C37">
        <w:t xml:space="preserve"> L</w:t>
      </w:r>
      <w:r w:rsidR="00D33D81">
        <w:t xml:space="preserve">evinson, A. and </w:t>
      </w:r>
      <w:r>
        <w:t>Wilson, D.W., (2002)</w:t>
      </w:r>
      <w:r w:rsidRPr="00590C37">
        <w:t xml:space="preserve"> </w:t>
      </w:r>
      <w:r>
        <w:t>“Reexamining The Empirical Evidence for An Environmental Kuznets C</w:t>
      </w:r>
      <w:r w:rsidRPr="00590C37">
        <w:t>urve</w:t>
      </w:r>
      <w:r>
        <w:t>”</w:t>
      </w:r>
      <w:r w:rsidRPr="00590C37">
        <w:t xml:space="preserve">. </w:t>
      </w:r>
      <w:r w:rsidRPr="00590C37">
        <w:rPr>
          <w:i/>
        </w:rPr>
        <w:t>The Review of Economics and Statistics</w:t>
      </w:r>
      <w:r w:rsidRPr="00850048">
        <w:rPr>
          <w:i/>
        </w:rPr>
        <w:t xml:space="preserve"> 84</w:t>
      </w:r>
      <w:r w:rsidRPr="00590C37">
        <w:t xml:space="preserve"> (3), </w:t>
      </w:r>
      <w:r w:rsidR="00D03AB9">
        <w:t xml:space="preserve">ss. </w:t>
      </w:r>
      <w:r w:rsidRPr="00590C37">
        <w:t>541–551.</w:t>
      </w:r>
    </w:p>
    <w:p w:rsidR="00EE51A5" w:rsidRDefault="00EE51A5" w:rsidP="009F3710">
      <w:pPr>
        <w:spacing w:before="120" w:after="120"/>
        <w:ind w:left="1134" w:hanging="1134"/>
        <w:jc w:val="both"/>
      </w:pPr>
      <w:r w:rsidRPr="00964253">
        <w:t>Herring, H. (2006) “Energy Efficiency – A Critical View”</w:t>
      </w:r>
      <w:r>
        <w:t>,</w:t>
      </w:r>
      <w:r w:rsidRPr="00964253">
        <w:t xml:space="preserve"> </w:t>
      </w:r>
      <w:r w:rsidRPr="00964253">
        <w:rPr>
          <w:i/>
        </w:rPr>
        <w:t>Energy 31,</w:t>
      </w:r>
      <w:r w:rsidRPr="00964253">
        <w:t xml:space="preserve"> </w:t>
      </w:r>
      <w:r w:rsidR="00D03AB9">
        <w:t xml:space="preserve">ss. </w:t>
      </w:r>
      <w:r w:rsidRPr="00964253">
        <w:t>10-20.</w:t>
      </w:r>
    </w:p>
    <w:p w:rsidR="005052FF" w:rsidRDefault="005052FF" w:rsidP="009F3710">
      <w:pPr>
        <w:spacing w:before="120" w:after="120"/>
        <w:ind w:left="1134" w:hanging="1134"/>
        <w:jc w:val="both"/>
      </w:pPr>
      <w:r>
        <w:t>Hsiao, C. (2003) “Analysis of Panel Data”, Second Edition, Econometric Society Monograph 36, New York: Cambridge University Press.</w:t>
      </w:r>
    </w:p>
    <w:p w:rsidR="005052FF" w:rsidRDefault="005052FF" w:rsidP="009F3710">
      <w:pPr>
        <w:spacing w:before="120" w:after="120"/>
        <w:ind w:left="1134" w:hanging="1134"/>
        <w:jc w:val="both"/>
      </w:pPr>
      <w:r>
        <w:t xml:space="preserve">Hsiao, C. (2005) </w:t>
      </w:r>
      <w:r w:rsidR="00CA46A5">
        <w:t>Why Panel Data? Institute of Economic Policy Research University of Southern California, IEPR Working Paper 05.33.</w:t>
      </w:r>
    </w:p>
    <w:p w:rsidR="001C4519" w:rsidRPr="00964253" w:rsidRDefault="001C4519" w:rsidP="009F3710">
      <w:pPr>
        <w:spacing w:before="120" w:after="120"/>
        <w:ind w:left="1134" w:hanging="1134"/>
        <w:jc w:val="both"/>
      </w:pPr>
      <w:r>
        <w:t xml:space="preserve">Hotunluoğlu, H. </w:t>
      </w:r>
      <w:r w:rsidR="00EC76E7">
        <w:t>v</w:t>
      </w:r>
      <w:r>
        <w:t xml:space="preserve">e </w:t>
      </w:r>
      <w:r w:rsidRPr="001C4519">
        <w:t>Tekeli R.</w:t>
      </w:r>
      <w:r>
        <w:t>(2007)</w:t>
      </w:r>
      <w:r w:rsidRPr="001C4519">
        <w:t xml:space="preserve"> </w:t>
      </w:r>
      <w:r>
        <w:t>“</w:t>
      </w:r>
      <w:r w:rsidRPr="001C4519">
        <w:t>Karbon Vergisinin Ekonomik Analizi ve Etkileri: Karbon Vergisinin Emisyon Azaltıcı Etkisi Var mı?</w:t>
      </w:r>
      <w:r>
        <w:t>”</w:t>
      </w:r>
      <w:r w:rsidRPr="001C4519">
        <w:t>,</w:t>
      </w:r>
      <w:r>
        <w:t xml:space="preserve"> </w:t>
      </w:r>
      <w:r>
        <w:rPr>
          <w:i/>
        </w:rPr>
        <w:t xml:space="preserve">Sosyoekonomi Dergisi </w:t>
      </w:r>
      <w:proofErr w:type="gramStart"/>
      <w:r w:rsidRPr="001C4519">
        <w:rPr>
          <w:i/>
        </w:rPr>
        <w:t>2</w:t>
      </w:r>
      <w:r>
        <w:t xml:space="preserve"> ,6</w:t>
      </w:r>
      <w:proofErr w:type="gramEnd"/>
      <w:r>
        <w:t xml:space="preserve">, </w:t>
      </w:r>
      <w:r w:rsidR="00D03AB9">
        <w:t xml:space="preserve">ss. </w:t>
      </w:r>
      <w:r>
        <w:t>107-126</w:t>
      </w:r>
      <w:r w:rsidRPr="001C4519">
        <w:t>.</w:t>
      </w:r>
    </w:p>
    <w:p w:rsidR="0044255F" w:rsidRDefault="0044255F" w:rsidP="009F3710">
      <w:pPr>
        <w:pStyle w:val="GvdeMetniGirintisi"/>
        <w:spacing w:before="120" w:after="120" w:line="240" w:lineRule="auto"/>
        <w:ind w:left="1080" w:hanging="1080"/>
      </w:pPr>
      <w:r w:rsidRPr="00494877">
        <w:t>IEA (2003) “Key World Energy Statistics 2003”, International Energy Agency, (IEA) OECD/IEA, Paris.</w:t>
      </w:r>
    </w:p>
    <w:p w:rsidR="009C3FB4" w:rsidRDefault="009C3FB4" w:rsidP="009F3710">
      <w:pPr>
        <w:pStyle w:val="GvdeMetniGirintisi"/>
        <w:spacing w:before="120" w:after="120" w:line="240" w:lineRule="auto"/>
        <w:ind w:left="1080" w:hanging="1080"/>
      </w:pPr>
      <w:r>
        <w:t>Im, K.S</w:t>
      </w:r>
      <w:proofErr w:type="gramStart"/>
      <w:r>
        <w:t>.,</w:t>
      </w:r>
      <w:proofErr w:type="gramEnd"/>
      <w:r>
        <w:t xml:space="preserve"> Pesaran, M. H. and Shin, Y. (1997). “Testing for Unit Roots in Heterogeneous Panels”, </w:t>
      </w:r>
      <w:r w:rsidRPr="009C3FB4">
        <w:rPr>
          <w:i/>
        </w:rPr>
        <w:t>Mimeo, Department of Applied Economics,</w:t>
      </w:r>
      <w:r>
        <w:t xml:space="preserve"> University of Cambridge.</w:t>
      </w:r>
    </w:p>
    <w:p w:rsidR="00890264" w:rsidRDefault="006064B0" w:rsidP="009F3710">
      <w:pPr>
        <w:pStyle w:val="GvdeMetniGirintisi"/>
        <w:spacing w:before="120" w:after="120" w:line="240" w:lineRule="auto"/>
        <w:ind w:left="1080" w:hanging="1080"/>
      </w:pPr>
      <w:r>
        <w:t>Im K</w:t>
      </w:r>
      <w:r w:rsidR="00890264">
        <w:t>.S</w:t>
      </w:r>
      <w:proofErr w:type="gramStart"/>
      <w:r w:rsidR="00890264">
        <w:t>.,</w:t>
      </w:r>
      <w:proofErr w:type="gramEnd"/>
      <w:r w:rsidR="00890264">
        <w:t xml:space="preserve"> Pesa</w:t>
      </w:r>
      <w:r>
        <w:t xml:space="preserve">ran </w:t>
      </w:r>
      <w:r w:rsidR="00890264">
        <w:t>M.</w:t>
      </w:r>
      <w:r>
        <w:t>H. and Shin Y. (</w:t>
      </w:r>
      <w:r w:rsidR="00890264">
        <w:t>2003</w:t>
      </w:r>
      <w:r>
        <w:t xml:space="preserve">) “Testing for Unit Roots in Heterogenous Panels” </w:t>
      </w:r>
      <w:r w:rsidR="00890264" w:rsidRPr="00890264">
        <w:rPr>
          <w:i/>
        </w:rPr>
        <w:t>Journal of Econometrics 115,</w:t>
      </w:r>
      <w:r w:rsidR="00890264">
        <w:t xml:space="preserve"> </w:t>
      </w:r>
      <w:r w:rsidR="00D03AB9">
        <w:t xml:space="preserve">ss. </w:t>
      </w:r>
      <w:r w:rsidR="00890264">
        <w:t xml:space="preserve">53-57. </w:t>
      </w:r>
    </w:p>
    <w:p w:rsidR="002D13E1" w:rsidRDefault="002D13E1" w:rsidP="009F3710">
      <w:pPr>
        <w:spacing w:before="120" w:after="120"/>
        <w:ind w:left="1134" w:hanging="1134"/>
        <w:jc w:val="both"/>
      </w:pPr>
      <w:r>
        <w:t xml:space="preserve">IPCC, (1996) </w:t>
      </w:r>
      <w:r w:rsidR="00E43FC3">
        <w:t>Climate Change 1995, The Science of Climate Change. Contribution of Working Group I to the Second Assessment Report of the Intergovermental Panel on Climate Change, Houghton J, T</w:t>
      </w:r>
      <w:proofErr w:type="gramStart"/>
      <w:r w:rsidR="00E43FC3">
        <w:t>.,</w:t>
      </w:r>
      <w:proofErr w:type="gramEnd"/>
      <w:r w:rsidR="00E43FC3">
        <w:t xml:space="preserve"> vd. Cambridge University Press, New York.</w:t>
      </w:r>
    </w:p>
    <w:p w:rsidR="0044255F" w:rsidRPr="00133E97" w:rsidRDefault="0044255F" w:rsidP="009F3710">
      <w:pPr>
        <w:spacing w:before="120" w:after="120"/>
        <w:ind w:left="1134" w:hanging="1134"/>
        <w:jc w:val="both"/>
      </w:pPr>
      <w:r w:rsidRPr="00133E97">
        <w:t>IPCC (2001</w:t>
      </w:r>
      <w:r w:rsidR="00921E0E">
        <w:t>a</w:t>
      </w:r>
      <w:r w:rsidRPr="00133E97">
        <w:t>) “Climate Change 2001: Synthesis Report”, TAR, Cambridge University Press, UK. ss: 398.</w:t>
      </w:r>
    </w:p>
    <w:p w:rsidR="0044255F" w:rsidRDefault="0044255F" w:rsidP="009F3710">
      <w:pPr>
        <w:pStyle w:val="GvdeMetniGirintisi"/>
        <w:spacing w:before="120" w:after="120" w:line="240" w:lineRule="auto"/>
        <w:ind w:left="1080" w:hanging="1080"/>
      </w:pPr>
      <w:r w:rsidRPr="00133E97">
        <w:t>IPCC (2001b) “Climate Change:  The Scientific Basis - Summary for Policy Makers”, Contribution of the  Working Group I to the Third Assessment Report, Editors:  J.T. Houghton et al</w:t>
      </w:r>
      <w:proofErr w:type="gramStart"/>
      <w:r w:rsidRPr="00133E97">
        <w:t>..,</w:t>
      </w:r>
      <w:proofErr w:type="gramEnd"/>
      <w:r w:rsidRPr="00133E97">
        <w:t xml:space="preserve"> Cambridge University Pres, Cambridge.</w:t>
      </w:r>
    </w:p>
    <w:p w:rsidR="00921E0E" w:rsidRPr="00133E97" w:rsidRDefault="00921E0E" w:rsidP="009F3710">
      <w:pPr>
        <w:spacing w:before="120" w:after="120"/>
        <w:ind w:left="1134" w:hanging="1134"/>
        <w:jc w:val="both"/>
      </w:pPr>
      <w:r>
        <w:t>IPCC, (2001c) Climate Change 2001: Mitigation - Contribution of Working Group III to the Third Assessment Report of the Intergovernmental Panel on Climate Change (IPCC). (Metz, B</w:t>
      </w:r>
      <w:proofErr w:type="gramStart"/>
      <w:r>
        <w:t>.,</w:t>
      </w:r>
      <w:proofErr w:type="gramEnd"/>
      <w:r>
        <w:t xml:space="preserve"> et al., eds). Cambridge University Press, Cambridge.</w:t>
      </w:r>
    </w:p>
    <w:p w:rsidR="0044255F" w:rsidRPr="0069506E" w:rsidRDefault="0044255F" w:rsidP="009F3710">
      <w:pPr>
        <w:spacing w:before="120" w:after="120"/>
        <w:ind w:left="1134" w:hanging="1134"/>
        <w:jc w:val="both"/>
        <w:rPr>
          <w:lang w:val="en-GB"/>
        </w:rPr>
      </w:pPr>
      <w:r w:rsidRPr="0069506E">
        <w:rPr>
          <w:lang w:val="en-GB"/>
        </w:rPr>
        <w:t>IPCC (2007) “Climate change 2007: Mitigation.”, Contribution of Working group III to the Fourth Assessment Report of the Intergovernmental Panel on Climate Change [B. Metz, O. R. Davidson, P. R. Bosch, R. Dave, L. A. Meyer (eds)], Cambridge University Press, Cambridge, United Kingdom and New York, NY, USA.</w:t>
      </w:r>
    </w:p>
    <w:p w:rsidR="0044255F" w:rsidRPr="00415582" w:rsidRDefault="0044255F" w:rsidP="009F3710">
      <w:pPr>
        <w:pStyle w:val="GvdeMetniGirintisi"/>
        <w:spacing w:before="120" w:after="120" w:line="240" w:lineRule="auto"/>
        <w:ind w:left="1080" w:hanging="1080"/>
      </w:pPr>
      <w:r w:rsidRPr="00415582">
        <w:lastRenderedPageBreak/>
        <w:t xml:space="preserve">IPCC (2007a) “The Physical Science Basis”, Contribution </w:t>
      </w:r>
      <w:proofErr w:type="gramStart"/>
      <w:r w:rsidRPr="00415582">
        <w:t>of  Working</w:t>
      </w:r>
      <w:proofErr w:type="gramEnd"/>
      <w:r w:rsidRPr="00415582">
        <w:t xml:space="preserve"> Group I to the Fourth Assessment Report of the Intergovernmental Panel on Climate Change, Cambridge University Press, Cambridge, United Kingdom and NewYork.</w:t>
      </w:r>
    </w:p>
    <w:p w:rsidR="00FE39D1" w:rsidRPr="00C84B5E" w:rsidRDefault="00FE39D1" w:rsidP="009F3710">
      <w:pPr>
        <w:pStyle w:val="GvdeMetniGirintisi"/>
        <w:spacing w:before="120" w:after="120" w:line="240" w:lineRule="auto"/>
        <w:ind w:left="1080" w:hanging="1080"/>
        <w:rPr>
          <w:color w:val="FF0000"/>
        </w:rPr>
      </w:pPr>
      <w:r>
        <w:t>IPCC (2013</w:t>
      </w:r>
      <w:r w:rsidRPr="00415582">
        <w:t>)</w:t>
      </w:r>
      <w:r>
        <w:t xml:space="preserve"> “Climate Change 2013</w:t>
      </w:r>
      <w:r w:rsidR="00624559">
        <w:t>: The Physical Science Basis</w:t>
      </w:r>
      <w:r>
        <w:t xml:space="preserve">”, Working Group I Contribution to the IPCC Fift Assesment Reoort (AR5), </w:t>
      </w:r>
      <w:r w:rsidR="00624559">
        <w:t>Twelfth Session, Stockholm, 23-26 Septemper.</w:t>
      </w:r>
    </w:p>
    <w:p w:rsidR="00D020BB" w:rsidRDefault="00D020BB" w:rsidP="009F3710">
      <w:pPr>
        <w:pStyle w:val="GvdeMetniGirintisi"/>
        <w:spacing w:before="120" w:after="120" w:line="240" w:lineRule="auto"/>
        <w:ind w:left="1080" w:hanging="1080"/>
      </w:pPr>
      <w:r>
        <w:t>İDEP (2011) İklim Değişikliği Ulusal Eylem Planı 2011-2020, Çevre ve Şehircilik Bakanlığı, Temmuz 2011, Ankara.</w:t>
      </w:r>
    </w:p>
    <w:p w:rsidR="008B5E7C" w:rsidRDefault="008B5E7C" w:rsidP="009F3710">
      <w:pPr>
        <w:spacing w:before="120" w:after="120"/>
        <w:ind w:left="1134" w:hanging="1134"/>
        <w:jc w:val="both"/>
      </w:pPr>
      <w:r w:rsidRPr="004E2316">
        <w:t>Jaunky, V.C. (2011) “The CO</w:t>
      </w:r>
      <w:r w:rsidRPr="004E2316">
        <w:rPr>
          <w:vertAlign w:val="subscript"/>
        </w:rPr>
        <w:t>2</w:t>
      </w:r>
      <w:r w:rsidRPr="004E2316">
        <w:t xml:space="preserve"> Emissions-Income Nexus: Evidence from Rich Countries”, </w:t>
      </w:r>
      <w:r>
        <w:rPr>
          <w:i/>
        </w:rPr>
        <w:t>Energy Policy</w:t>
      </w:r>
      <w:r w:rsidRPr="00CF3961">
        <w:rPr>
          <w:i/>
        </w:rPr>
        <w:t xml:space="preserve"> 39,</w:t>
      </w:r>
      <w:r w:rsidRPr="004E2316">
        <w:t xml:space="preserve"> </w:t>
      </w:r>
      <w:r w:rsidR="00D03AB9">
        <w:t xml:space="preserve">ss. </w:t>
      </w:r>
      <w:r w:rsidRPr="004E2316">
        <w:t xml:space="preserve">1228-1240. </w:t>
      </w:r>
    </w:p>
    <w:p w:rsidR="00710C52" w:rsidRDefault="00710C52" w:rsidP="009F3710">
      <w:pPr>
        <w:spacing w:before="120" w:after="120"/>
        <w:ind w:left="1134" w:hanging="1134"/>
        <w:jc w:val="both"/>
      </w:pPr>
      <w:r>
        <w:t xml:space="preserve">Karaca, C. (2012) “Ülkeler Tarafından Uygulanan Çevre Politikalarının Uluslararası Doğrudan Yatırımlar Üzerindeki Etkileri: Kirlilik Sığınağı Hipotezinin Test Edilmesi” </w:t>
      </w:r>
      <w:r w:rsidRPr="00710C52">
        <w:rPr>
          <w:i/>
        </w:rPr>
        <w:t>İ.Ü. Siyasal Bilgiler Fakültesi Dergisi 47,</w:t>
      </w:r>
      <w:r>
        <w:t xml:space="preserve"> </w:t>
      </w:r>
      <w:r w:rsidR="00D03AB9">
        <w:t xml:space="preserve">ss. </w:t>
      </w:r>
      <w:r>
        <w:t>181-200.</w:t>
      </w:r>
    </w:p>
    <w:p w:rsidR="00330784" w:rsidRPr="003206FC" w:rsidRDefault="00330784" w:rsidP="009F3710">
      <w:pPr>
        <w:pStyle w:val="GvdeMetniGirintisi"/>
        <w:spacing w:before="120" w:after="120" w:line="240" w:lineRule="auto"/>
        <w:ind w:left="1080" w:hanging="1080"/>
      </w:pPr>
      <w:r>
        <w:t>Karakaya, E. (2008) “AB Emisyon Ticareti Sistemi EU ETS”, Birleşmiş Milletler Kalkınma Programı (UNDP) ve ÇOB, Türkiye ve İklim Değişikliği Çalıştayı, 30 Ekim, Ankara.</w:t>
      </w:r>
    </w:p>
    <w:p w:rsidR="004052AD" w:rsidRPr="004052AD" w:rsidRDefault="004052AD" w:rsidP="009F3710">
      <w:pPr>
        <w:autoSpaceDE w:val="0"/>
        <w:autoSpaceDN w:val="0"/>
        <w:adjustRightInd w:val="0"/>
        <w:spacing w:before="120" w:after="120"/>
        <w:ind w:left="1134" w:hanging="1134"/>
        <w:jc w:val="both"/>
        <w:rPr>
          <w:lang w:val="sv-SE"/>
        </w:rPr>
      </w:pPr>
      <w:r w:rsidRPr="00DF7EF2">
        <w:t>Karakaya, E. ve Özçağ, M. (2003)  “Türkiye Açısından Kyoto Protokolü'nün Değerlendirilmesi ve Ayrıştırma (Decomposition) Yöntemi İle CO</w:t>
      </w:r>
      <w:r w:rsidRPr="00D534FD">
        <w:rPr>
          <w:vertAlign w:val="subscript"/>
        </w:rPr>
        <w:t>2</w:t>
      </w:r>
      <w:r w:rsidRPr="00DF7EF2">
        <w:t xml:space="preserve"> Emisyonu Belirleyicilerinin Analizi”,VII. </w:t>
      </w:r>
      <w:r w:rsidRPr="00DF7EF2">
        <w:rPr>
          <w:lang w:val="sv-SE"/>
        </w:rPr>
        <w:t xml:space="preserve">ODTÜ İktisat Konferansı, Ankara </w:t>
      </w:r>
      <w:hyperlink r:id="rId52" w:history="1">
        <w:r w:rsidRPr="0065681D">
          <w:rPr>
            <w:rStyle w:val="Kpr"/>
            <w:color w:val="auto"/>
            <w:u w:val="none"/>
            <w:lang w:val="sv-SE"/>
          </w:rPr>
          <w:t>http://www.econturk.org/Turkiyeekonomisi/odtu_paper.pdf</w:t>
        </w:r>
      </w:hyperlink>
    </w:p>
    <w:p w:rsidR="006A5C70" w:rsidRDefault="004274F5" w:rsidP="009F3710">
      <w:pPr>
        <w:pStyle w:val="GvdeMetniGirintisi"/>
        <w:spacing w:before="120" w:after="120" w:line="240" w:lineRule="auto"/>
        <w:ind w:left="1080" w:hanging="1080"/>
      </w:pPr>
      <w:r w:rsidRPr="003206FC">
        <w:t xml:space="preserve">Karakaya E. ve </w:t>
      </w:r>
      <w:r w:rsidR="006A5C70" w:rsidRPr="003206FC">
        <w:t xml:space="preserve">Özçağ M. </w:t>
      </w:r>
      <w:r w:rsidRPr="003206FC">
        <w:t>(2004)</w:t>
      </w:r>
      <w:r w:rsidR="006A5C70" w:rsidRPr="003206FC">
        <w:t>,</w:t>
      </w:r>
      <w:r w:rsidRPr="003206FC">
        <w:t xml:space="preserve"> </w:t>
      </w:r>
      <w:r w:rsidR="006A5C70" w:rsidRPr="003206FC">
        <w:t>“Sürdürülebilir Kalkınma ve İklim Değişikliği: Uygulanabile</w:t>
      </w:r>
      <w:r w:rsidRPr="003206FC">
        <w:t>cek İktisadi Araçların Analizi”</w:t>
      </w:r>
      <w:r w:rsidR="006A5C70" w:rsidRPr="003206FC">
        <w:t>,</w:t>
      </w:r>
      <w:r w:rsidRPr="003206FC">
        <w:t xml:space="preserve"> </w:t>
      </w:r>
      <w:r w:rsidR="006A5C70" w:rsidRPr="003206FC">
        <w:t>Kırgızistan-Türkiye Manas Ünive</w:t>
      </w:r>
      <w:r w:rsidRPr="003206FC">
        <w:t xml:space="preserve">rsitesi, I. Maliye Konferansı, </w:t>
      </w:r>
      <w:r w:rsidR="006A5C70" w:rsidRPr="003206FC">
        <w:t>Geçiş E</w:t>
      </w:r>
      <w:r w:rsidRPr="003206FC">
        <w:t>konomilerinde Mali Politikalar</w:t>
      </w:r>
      <w:r w:rsidR="006A5C70" w:rsidRPr="003206FC">
        <w:t>,</w:t>
      </w:r>
      <w:r w:rsidRPr="003206FC">
        <w:t xml:space="preserve"> Yazılı.</w:t>
      </w:r>
    </w:p>
    <w:p w:rsidR="008B5E7C" w:rsidRDefault="008B5E7C" w:rsidP="009F3710">
      <w:pPr>
        <w:autoSpaceDE w:val="0"/>
        <w:autoSpaceDN w:val="0"/>
        <w:adjustRightInd w:val="0"/>
        <w:spacing w:before="120" w:after="120"/>
        <w:ind w:left="1134" w:hanging="1134"/>
        <w:jc w:val="both"/>
      </w:pPr>
      <w:r>
        <w:t xml:space="preserve">Karanfil, F. (2009) “Enerji-Büyüme-Çevre: Türkiye Üçgenin Neresinde?”, </w:t>
      </w:r>
      <w:r w:rsidR="00F35F88">
        <w:rPr>
          <w:i/>
        </w:rPr>
        <w:t>Uluslar A</w:t>
      </w:r>
      <w:r w:rsidRPr="000744B5">
        <w:rPr>
          <w:i/>
        </w:rPr>
        <w:t>rası İlişkiler,</w:t>
      </w:r>
      <w:r>
        <w:t xml:space="preserve"> Cilt 5</w:t>
      </w:r>
      <w:r w:rsidRPr="000744B5">
        <w:t xml:space="preserve">, Sayı </w:t>
      </w:r>
      <w:r>
        <w:t>20, s</w:t>
      </w:r>
      <w:r w:rsidR="00D03AB9">
        <w:t>s</w:t>
      </w:r>
      <w:r>
        <w:t>. 1-26.</w:t>
      </w:r>
    </w:p>
    <w:p w:rsidR="00641736" w:rsidRDefault="00641736" w:rsidP="009F3710">
      <w:pPr>
        <w:autoSpaceDE w:val="0"/>
        <w:autoSpaceDN w:val="0"/>
        <w:adjustRightInd w:val="0"/>
        <w:spacing w:before="120" w:after="120"/>
        <w:ind w:left="1134" w:hanging="1134"/>
        <w:jc w:val="both"/>
      </w:pPr>
      <w:r>
        <w:t xml:space="preserve">Kavak, K. (2005) </w:t>
      </w:r>
      <w:r w:rsidRPr="00F35F88">
        <w:rPr>
          <w:i/>
        </w:rPr>
        <w:t>Dünyada ve Türkiye’de Enerji Verimliliği ve Türk Sanayiinde Enerji Verimliliğinin İncelenmesi,</w:t>
      </w:r>
      <w:r>
        <w:t xml:space="preserve"> </w:t>
      </w:r>
      <w:r w:rsidR="00F35F88">
        <w:t xml:space="preserve">DPT Uzmanlık Tezi, </w:t>
      </w:r>
      <w:r>
        <w:t>İktisadi Sektörler v</w:t>
      </w:r>
      <w:r w:rsidR="00F35F88">
        <w:t xml:space="preserve">e Koordinasyon Genel Müdürlüğü: </w:t>
      </w:r>
      <w:r>
        <w:t>Ankara.</w:t>
      </w:r>
    </w:p>
    <w:p w:rsidR="008B5E7C" w:rsidRDefault="008B5E7C" w:rsidP="009F3710">
      <w:pPr>
        <w:spacing w:before="120" w:after="120"/>
        <w:ind w:left="1134" w:hanging="1134"/>
        <w:jc w:val="both"/>
      </w:pPr>
      <w:r>
        <w:t>Kaygusuz, K. (2009) “Energy and E</w:t>
      </w:r>
      <w:r w:rsidRPr="00B14C49">
        <w:t xml:space="preserve">nvironmental </w:t>
      </w:r>
      <w:r>
        <w:t>Issues Relating to Greenhouse Gas Emissions for Sustainable D</w:t>
      </w:r>
      <w:r w:rsidRPr="00B14C49">
        <w:t>evelopment in Turkey</w:t>
      </w:r>
      <w:r>
        <w:t xml:space="preserve">”. </w:t>
      </w:r>
      <w:r w:rsidRPr="00B14C49">
        <w:rPr>
          <w:i/>
        </w:rPr>
        <w:t>Renewable and Sustainable Energy Reviews 13</w:t>
      </w:r>
      <w:r w:rsidRPr="00D03AB9">
        <w:t xml:space="preserve">,  </w:t>
      </w:r>
      <w:r w:rsidR="00D03AB9" w:rsidRPr="00D03AB9">
        <w:t>ss.</w:t>
      </w:r>
      <w:r w:rsidR="00D03AB9">
        <w:rPr>
          <w:sz w:val="16"/>
          <w:szCs w:val="16"/>
        </w:rPr>
        <w:t xml:space="preserve"> </w:t>
      </w:r>
      <w:r w:rsidRPr="00B14C49">
        <w:t>253–270</w:t>
      </w:r>
      <w:r>
        <w:t>.</w:t>
      </w:r>
    </w:p>
    <w:p w:rsidR="00AE1248" w:rsidRPr="00AE1248" w:rsidRDefault="00AE1248" w:rsidP="009F3710">
      <w:pPr>
        <w:autoSpaceDE w:val="0"/>
        <w:autoSpaceDN w:val="0"/>
        <w:adjustRightInd w:val="0"/>
        <w:spacing w:before="120" w:after="120"/>
        <w:ind w:left="1134" w:hanging="1134"/>
        <w:jc w:val="both"/>
      </w:pPr>
      <w:r w:rsidRPr="00AE1248">
        <w:t>Keating, M. (1993) Yeryüzü Zirvesinde Değişimin Gündemi</w:t>
      </w:r>
      <w:r w:rsidR="00FF791E">
        <w:t>: Gündem 21 ve Diğer Rio Anlaşmalarının Poğüler Metinleri</w:t>
      </w:r>
      <w:r w:rsidRPr="00AE1248">
        <w:t xml:space="preserve">, </w:t>
      </w:r>
      <w:r w:rsidR="00FF791E">
        <w:t xml:space="preserve">Türkiye Çevre Vakfı: </w:t>
      </w:r>
      <w:r w:rsidRPr="00AE1248">
        <w:t>UNEP Türkiye Komitesi Yayını, s.127, Ankara.</w:t>
      </w:r>
    </w:p>
    <w:p w:rsidR="004C2D19" w:rsidRDefault="004C2D19" w:rsidP="009F3710">
      <w:pPr>
        <w:spacing w:before="120" w:after="120"/>
        <w:ind w:left="1134" w:hanging="1134"/>
        <w:jc w:val="both"/>
      </w:pPr>
      <w:r>
        <w:t>Keleş, R</w:t>
      </w:r>
      <w:proofErr w:type="gramStart"/>
      <w:r>
        <w:t>.,</w:t>
      </w:r>
      <w:proofErr w:type="gramEnd"/>
      <w:r>
        <w:t xml:space="preserve"> Hamamcı, C. ve Çoban, A. (2012) Çevre Politikası(7. Baskı), İmge Kitabevi Yayınları, Ankara.</w:t>
      </w:r>
    </w:p>
    <w:p w:rsidR="0044255F" w:rsidRPr="007E2EC6" w:rsidRDefault="0044255F" w:rsidP="009F3710">
      <w:pPr>
        <w:pStyle w:val="GvdeMetniGirintisi"/>
        <w:spacing w:before="120" w:after="120" w:line="240" w:lineRule="auto"/>
        <w:ind w:left="1080" w:hanging="1080"/>
      </w:pPr>
      <w:r w:rsidRPr="007E2EC6">
        <w:t>Keleş, R. ve Hamamcı, C. (2002) “Çevrebilim”, İmge Kitabevi, 4. Baskı, Ankara.</w:t>
      </w:r>
    </w:p>
    <w:p w:rsidR="006750C6" w:rsidRDefault="006750C6" w:rsidP="009F3710">
      <w:pPr>
        <w:pStyle w:val="bolukcizgisi"/>
        <w:spacing w:before="120" w:after="120"/>
        <w:ind w:left="1080" w:hanging="1080"/>
      </w:pPr>
      <w:r w:rsidRPr="006750C6">
        <w:t xml:space="preserve">Korkmaz, K. (2007) </w:t>
      </w:r>
      <w:r w:rsidRPr="006750C6">
        <w:rPr>
          <w:i/>
        </w:rPr>
        <w:t>“Küresel Isınma ve Tarımsal Uygulamalara Etkisi”</w:t>
      </w:r>
      <w:r w:rsidRPr="006750C6">
        <w:t xml:space="preserve"> </w:t>
      </w:r>
      <w:r w:rsidRPr="00211BD2">
        <w:rPr>
          <w:i/>
        </w:rPr>
        <w:t>Alatarım Dergisi, 6</w:t>
      </w:r>
      <w:r w:rsidR="00211BD2">
        <w:rPr>
          <w:i/>
        </w:rPr>
        <w:t>,</w:t>
      </w:r>
      <w:r w:rsidRPr="006750C6">
        <w:t xml:space="preserve"> (2): </w:t>
      </w:r>
      <w:r w:rsidR="003C70B6">
        <w:t xml:space="preserve">ss. </w:t>
      </w:r>
      <w:r w:rsidRPr="006750C6">
        <w:t>43-49</w:t>
      </w:r>
      <w:r w:rsidR="00F35F88">
        <w:t>.</w:t>
      </w:r>
    </w:p>
    <w:p w:rsidR="001B337F" w:rsidRDefault="001B337F" w:rsidP="009F3710">
      <w:pPr>
        <w:pStyle w:val="bolukcizgisi"/>
        <w:spacing w:before="120" w:after="120"/>
        <w:ind w:left="1080" w:hanging="1080"/>
      </w:pPr>
      <w:r>
        <w:t xml:space="preserve">Kovancılar, B. (2001) “Küresel Isınma Sorununun Çözümünde Karbon Vergisi ve Etkinliği”, </w:t>
      </w:r>
      <w:r w:rsidRPr="00211BD2">
        <w:rPr>
          <w:i/>
        </w:rPr>
        <w:t>Yönetim ve Ekonomi 8,</w:t>
      </w:r>
      <w:r>
        <w:t xml:space="preserve"> 2, </w:t>
      </w:r>
      <w:r w:rsidR="003C70B6">
        <w:t xml:space="preserve">ss. </w:t>
      </w:r>
      <w:r>
        <w:t>7-19.</w:t>
      </w:r>
    </w:p>
    <w:p w:rsidR="00797B2D" w:rsidRDefault="00797B2D" w:rsidP="009F3710">
      <w:pPr>
        <w:autoSpaceDE w:val="0"/>
        <w:autoSpaceDN w:val="0"/>
        <w:adjustRightInd w:val="0"/>
        <w:spacing w:before="120" w:after="120"/>
        <w:ind w:left="1134" w:hanging="1134"/>
        <w:jc w:val="both"/>
      </w:pPr>
      <w:r>
        <w:lastRenderedPageBreak/>
        <w:t>Lal, R</w:t>
      </w:r>
      <w:proofErr w:type="gramStart"/>
      <w:r>
        <w:t>.,</w:t>
      </w:r>
      <w:proofErr w:type="gramEnd"/>
      <w:r>
        <w:t xml:space="preserve"> (2003) “Offsetting Global CO</w:t>
      </w:r>
      <w:r w:rsidRPr="00AB106A">
        <w:rPr>
          <w:vertAlign w:val="subscript"/>
        </w:rPr>
        <w:t>2</w:t>
      </w:r>
      <w:r w:rsidRPr="006C26C2">
        <w:t xml:space="preserve"> </w:t>
      </w:r>
      <w:r>
        <w:t xml:space="preserve">Emissions by Restoration of Degraded Soils and Intensification of World Agriculture and Forestry”.  </w:t>
      </w:r>
      <w:r w:rsidRPr="0031688C">
        <w:rPr>
          <w:i/>
        </w:rPr>
        <w:t>Land Degredation and Development 14,</w:t>
      </w:r>
      <w:r>
        <w:t xml:space="preserve"> 3, </w:t>
      </w:r>
      <w:r w:rsidR="003C70B6">
        <w:t xml:space="preserve">ss. </w:t>
      </w:r>
      <w:r>
        <w:t xml:space="preserve">309-322. </w:t>
      </w:r>
    </w:p>
    <w:p w:rsidR="008B5E7C" w:rsidRDefault="008B5E7C" w:rsidP="009F3710">
      <w:pPr>
        <w:autoSpaceDE w:val="0"/>
        <w:autoSpaceDN w:val="0"/>
        <w:adjustRightInd w:val="0"/>
        <w:spacing w:before="120" w:after="120"/>
        <w:ind w:left="1134" w:hanging="1134"/>
        <w:jc w:val="both"/>
      </w:pPr>
      <w:r>
        <w:t>Lean, H. H. and Smyth, R. (2010). “CO</w:t>
      </w:r>
      <w:r w:rsidRPr="00AB106A">
        <w:rPr>
          <w:vertAlign w:val="subscript"/>
        </w:rPr>
        <w:t>2</w:t>
      </w:r>
      <w:r>
        <w:t xml:space="preserve"> Emissions, Electricity Consumption and Output in ASEAN”. </w:t>
      </w:r>
      <w:r>
        <w:rPr>
          <w:i/>
          <w:iCs/>
        </w:rPr>
        <w:t>Applied Energ</w:t>
      </w:r>
      <w:r w:rsidRPr="000B0548">
        <w:rPr>
          <w:i/>
          <w:iCs/>
        </w:rPr>
        <w:t xml:space="preserve"> 87,</w:t>
      </w:r>
      <w:r>
        <w:t xml:space="preserve"> 1858-1864.</w:t>
      </w:r>
    </w:p>
    <w:p w:rsidR="00ED264A" w:rsidRDefault="00ED264A" w:rsidP="009F3710">
      <w:pPr>
        <w:autoSpaceDE w:val="0"/>
        <w:autoSpaceDN w:val="0"/>
        <w:adjustRightInd w:val="0"/>
        <w:spacing w:before="120" w:after="120"/>
        <w:ind w:left="1134" w:hanging="1134"/>
        <w:jc w:val="both"/>
      </w:pPr>
      <w:r>
        <w:t>Lee, C.C</w:t>
      </w:r>
      <w:proofErr w:type="gramStart"/>
      <w:r>
        <w:t>.,</w:t>
      </w:r>
      <w:proofErr w:type="gramEnd"/>
      <w:r>
        <w:t xml:space="preserve"> Chiu, Y.B. and Sun, C.H. (2009) “The Environmental Kuznets Curve Hypothesis for Water Pollution: Do Re</w:t>
      </w:r>
      <w:r w:rsidR="00207203">
        <w:t xml:space="preserve">gions Matter?”,  </w:t>
      </w:r>
      <w:r w:rsidR="00207203" w:rsidRPr="00207203">
        <w:rPr>
          <w:i/>
        </w:rPr>
        <w:t xml:space="preserve">Energy Policy </w:t>
      </w:r>
      <w:r w:rsidRPr="00207203">
        <w:rPr>
          <w:i/>
        </w:rPr>
        <w:t>38,</w:t>
      </w:r>
      <w:r>
        <w:t xml:space="preserve"> </w:t>
      </w:r>
      <w:r w:rsidR="003C70B6">
        <w:t xml:space="preserve">ss. </w:t>
      </w:r>
      <w:r>
        <w:t>12-23.</w:t>
      </w:r>
    </w:p>
    <w:p w:rsidR="00A1244E" w:rsidRDefault="00FA5793" w:rsidP="009F3710">
      <w:pPr>
        <w:autoSpaceDE w:val="0"/>
        <w:autoSpaceDN w:val="0"/>
        <w:adjustRightInd w:val="0"/>
        <w:spacing w:before="120" w:after="120"/>
        <w:ind w:left="1134" w:hanging="1134"/>
        <w:jc w:val="both"/>
      </w:pPr>
      <w:r>
        <w:t>Levin A. Lin C. a</w:t>
      </w:r>
      <w:r w:rsidR="00A1244E">
        <w:t xml:space="preserve">nd Chu J. (2002) “Unit Roots Tests in Panel Data: Asymptotic and Finite Sample Properties”, </w:t>
      </w:r>
      <w:r w:rsidR="00A1244E" w:rsidRPr="00FA5793">
        <w:rPr>
          <w:i/>
        </w:rPr>
        <w:t>Journal of Econometrics,</w:t>
      </w:r>
      <w:r w:rsidR="00A1244E">
        <w:t xml:space="preserve"> </w:t>
      </w:r>
      <w:r w:rsidR="003C70B6">
        <w:t xml:space="preserve">ss. </w:t>
      </w:r>
      <w:r w:rsidR="00A1244E">
        <w:t xml:space="preserve">108, </w:t>
      </w:r>
      <w:r w:rsidR="00AD37C4">
        <w:t>1-24.</w:t>
      </w:r>
    </w:p>
    <w:p w:rsidR="008B5E7C" w:rsidRDefault="008B5E7C" w:rsidP="009F3710">
      <w:pPr>
        <w:spacing w:before="120" w:after="120"/>
        <w:ind w:left="1134" w:hanging="1134"/>
        <w:jc w:val="both"/>
      </w:pPr>
      <w:r>
        <w:t>Lise, W. (2006) “Decomposition of</w:t>
      </w:r>
      <w:r w:rsidRPr="008206C9">
        <w:t xml:space="preserve"> </w:t>
      </w:r>
      <w:r w:rsidRPr="004E2316">
        <w:t>CO</w:t>
      </w:r>
      <w:r w:rsidRPr="004E2316">
        <w:rPr>
          <w:vertAlign w:val="subscript"/>
        </w:rPr>
        <w:t>2</w:t>
      </w:r>
      <w:r>
        <w:t xml:space="preserve"> Emissions over 1980-2003 in Turkey” </w:t>
      </w:r>
      <w:r w:rsidRPr="008206C9">
        <w:rPr>
          <w:i/>
        </w:rPr>
        <w:t>Energy Policy</w:t>
      </w:r>
      <w:r w:rsidRPr="00CF3961">
        <w:rPr>
          <w:i/>
        </w:rPr>
        <w:t xml:space="preserve"> 34,</w:t>
      </w:r>
      <w:r w:rsidRPr="008206C9">
        <w:t xml:space="preserve"> </w:t>
      </w:r>
      <w:r w:rsidR="003C70B6">
        <w:t xml:space="preserve">ss. </w:t>
      </w:r>
      <w:r w:rsidRPr="008206C9">
        <w:t>1841</w:t>
      </w:r>
      <w:r w:rsidRPr="008206C9">
        <w:rPr>
          <w:rFonts w:hint="eastAsia"/>
        </w:rPr>
        <w:t>–</w:t>
      </w:r>
      <w:r w:rsidRPr="008206C9">
        <w:t>1852</w:t>
      </w:r>
      <w:r>
        <w:t>.</w:t>
      </w:r>
    </w:p>
    <w:p w:rsidR="00530E04" w:rsidRPr="00EB2BD7" w:rsidRDefault="00530E04" w:rsidP="009F3710">
      <w:pPr>
        <w:spacing w:before="120" w:after="120"/>
        <w:ind w:left="1170" w:hanging="1170"/>
        <w:jc w:val="both"/>
      </w:pPr>
      <w:r>
        <w:t>Luintel, K</w:t>
      </w:r>
      <w:r w:rsidRPr="00EB2BD7">
        <w:t>. (2001) “Heterogen</w:t>
      </w:r>
      <w:r>
        <w:t>e</w:t>
      </w:r>
      <w:r w:rsidRPr="00EB2BD7">
        <w:t xml:space="preserve">ous Panel Unit Root Tests and Purchasing Power Parity” </w:t>
      </w:r>
      <w:r w:rsidRPr="00530E04">
        <w:rPr>
          <w:i/>
        </w:rPr>
        <w:t>The Manchester School 69,</w:t>
      </w:r>
      <w:r w:rsidRPr="00EB2BD7">
        <w:t xml:space="preserve"> </w:t>
      </w:r>
      <w:r w:rsidR="003C70B6">
        <w:t xml:space="preserve">ss. </w:t>
      </w:r>
      <w:r w:rsidRPr="00EB2BD7">
        <w:t xml:space="preserve">42-56.  </w:t>
      </w:r>
    </w:p>
    <w:p w:rsidR="00AD37C4" w:rsidRPr="006750C6" w:rsidRDefault="00AD37C4" w:rsidP="009F3710">
      <w:pPr>
        <w:spacing w:before="120" w:after="120"/>
        <w:ind w:left="1134" w:hanging="1134"/>
        <w:jc w:val="both"/>
      </w:pPr>
      <w:r>
        <w:t xml:space="preserve">Maddala G.S. and Wu S. (1999) “A Comparative Study of Unit Root Tests with Panel Data and A New Simple Test”, </w:t>
      </w:r>
      <w:r w:rsidRPr="00AD37C4">
        <w:rPr>
          <w:i/>
        </w:rPr>
        <w:t xml:space="preserve">Oxford Bulletin of Economics and Statistics, 61, </w:t>
      </w:r>
      <w:r w:rsidR="003C70B6" w:rsidRPr="003C70B6">
        <w:t>ss.</w:t>
      </w:r>
      <w:r w:rsidR="003C70B6">
        <w:rPr>
          <w:i/>
        </w:rPr>
        <w:t xml:space="preserve"> </w:t>
      </w:r>
      <w:r>
        <w:t>631-652.</w:t>
      </w:r>
    </w:p>
    <w:p w:rsidR="0044255F" w:rsidRDefault="0044255F" w:rsidP="009F3710">
      <w:pPr>
        <w:pStyle w:val="bolukcizgisi"/>
        <w:spacing w:before="120" w:after="120"/>
        <w:ind w:left="1080" w:hanging="1080"/>
      </w:pPr>
      <w:r w:rsidRPr="005A63C9">
        <w:t>Madra, Ö. (2007) “Küresel Isınma ve İklim Krizi”, İdil Yayıncılık, İstanbul, ISBN:978-9944-93-6.</w:t>
      </w:r>
    </w:p>
    <w:p w:rsidR="008B5E7C" w:rsidRDefault="008B5E7C" w:rsidP="009F3710">
      <w:pPr>
        <w:spacing w:before="120" w:after="120"/>
        <w:ind w:left="1134" w:hanging="1134"/>
        <w:jc w:val="both"/>
      </w:pPr>
      <w:r w:rsidRPr="00580AFD">
        <w:t xml:space="preserve">Magnani, E. (2001) “The Environmental Kuznets Curve: Development Path or Policy Result?”, </w:t>
      </w:r>
      <w:r w:rsidRPr="00580AFD">
        <w:rPr>
          <w:i/>
        </w:rPr>
        <w:t>Encironmental Modelling &amp; Software,</w:t>
      </w:r>
      <w:r w:rsidRPr="00931AFF">
        <w:rPr>
          <w:i/>
        </w:rPr>
        <w:t xml:space="preserve"> 16,</w:t>
      </w:r>
      <w:r w:rsidRPr="00580AFD">
        <w:t xml:space="preserve"> </w:t>
      </w:r>
      <w:r w:rsidR="003C70B6">
        <w:t xml:space="preserve">ss. </w:t>
      </w:r>
      <w:r w:rsidRPr="00580AFD">
        <w:t>157-165</w:t>
      </w:r>
      <w:r w:rsidR="009213AB">
        <w:t>.</w:t>
      </w:r>
    </w:p>
    <w:p w:rsidR="00E50F6E" w:rsidRDefault="00E50F6E" w:rsidP="009F3710">
      <w:pPr>
        <w:spacing w:before="120" w:after="120"/>
        <w:ind w:left="1134" w:hanging="1134"/>
        <w:jc w:val="both"/>
      </w:pPr>
      <w:r>
        <w:t xml:space="preserve">Marrero, G.A. (2010) “ Greenhouse Gases Emissions, Growt and The Energy mix in Europe” </w:t>
      </w:r>
      <w:r w:rsidRPr="00E50F6E">
        <w:rPr>
          <w:i/>
        </w:rPr>
        <w:t>Energy Economics 32,</w:t>
      </w:r>
      <w:r>
        <w:t xml:space="preserve"> ss.1356-1363.</w:t>
      </w:r>
    </w:p>
    <w:p w:rsidR="0044255F" w:rsidRDefault="00CF3091" w:rsidP="009F3710">
      <w:pPr>
        <w:pStyle w:val="GvdeMetniGirintisi"/>
        <w:spacing w:before="120" w:after="120" w:line="240" w:lineRule="auto"/>
        <w:ind w:left="1134" w:hanging="1134"/>
      </w:pPr>
      <w:r>
        <w:t xml:space="preserve">Mercan, M. (2013) </w:t>
      </w:r>
      <w:r w:rsidR="0044255F" w:rsidRPr="00CF3091">
        <w:rPr>
          <w:i/>
        </w:rPr>
        <w:t>Türkiye İçin Alternatif Mitigasyon Politikası Uygulamalarının Ekonomik Analizi: Genel Denge Analizi,</w:t>
      </w:r>
      <w:r w:rsidR="0044255F" w:rsidRPr="00153C4A">
        <w:t xml:space="preserve"> Adnan Menderes Üniversitesi Sosyal Bil</w:t>
      </w:r>
      <w:r w:rsidR="008229AB">
        <w:t>imler</w:t>
      </w:r>
      <w:r w:rsidR="0044255F" w:rsidRPr="00153C4A">
        <w:t xml:space="preserve"> Ens</w:t>
      </w:r>
      <w:r w:rsidR="008229AB">
        <w:t>titüsü,</w:t>
      </w:r>
      <w:r w:rsidR="0044255F" w:rsidRPr="00153C4A">
        <w:t xml:space="preserve"> Yayımla</w:t>
      </w:r>
      <w:r w:rsidR="008229AB">
        <w:t>nmamış Doktora Tezi, Aydın.</w:t>
      </w:r>
    </w:p>
    <w:p w:rsidR="008B5E7C" w:rsidRDefault="00CF3091" w:rsidP="009F3710">
      <w:pPr>
        <w:spacing w:before="120" w:after="120"/>
        <w:ind w:left="1134" w:hanging="1134"/>
        <w:jc w:val="both"/>
      </w:pPr>
      <w:r>
        <w:t>Mielnik, O. a</w:t>
      </w:r>
      <w:r w:rsidR="008B5E7C">
        <w:t>nd Goldemberg, J. (2002) “Foreign Direct Investment and Decoupling between E</w:t>
      </w:r>
      <w:r w:rsidR="008B5E7C" w:rsidRPr="009D3490">
        <w:t>nergy and</w:t>
      </w:r>
      <w:r w:rsidR="008B5E7C">
        <w:t xml:space="preserve"> Gross Domestic Product in Developing C</w:t>
      </w:r>
      <w:r w:rsidR="008B5E7C" w:rsidRPr="00992925">
        <w:t>ountries</w:t>
      </w:r>
      <w:r w:rsidR="008B5E7C">
        <w:t xml:space="preserve">” </w:t>
      </w:r>
      <w:r w:rsidR="008B5E7C" w:rsidRPr="00992925">
        <w:rPr>
          <w:i/>
        </w:rPr>
        <w:t>Energy Policy 30,</w:t>
      </w:r>
      <w:r w:rsidR="008B5E7C" w:rsidRPr="00992925">
        <w:t xml:space="preserve"> </w:t>
      </w:r>
      <w:r w:rsidR="003C70B6">
        <w:t xml:space="preserve">ss. </w:t>
      </w:r>
      <w:r w:rsidR="008B5E7C" w:rsidRPr="00992925">
        <w:t>87–89</w:t>
      </w:r>
      <w:r w:rsidR="008B5E7C">
        <w:t>.</w:t>
      </w:r>
    </w:p>
    <w:p w:rsidR="00F2089D" w:rsidRDefault="00F2089D" w:rsidP="009F3710">
      <w:pPr>
        <w:spacing w:before="120" w:after="120"/>
        <w:ind w:left="1134" w:hanging="1134"/>
        <w:jc w:val="both"/>
      </w:pPr>
      <w:r>
        <w:t xml:space="preserve">Narayan, P.K. and Narayan, S. (2010) “Carbon Dioxide Emissions and Economic Growt: Panel Data Evidence from Developing Countries”, </w:t>
      </w:r>
      <w:r w:rsidRPr="00F2089D">
        <w:rPr>
          <w:i/>
        </w:rPr>
        <w:t xml:space="preserve">Energy Policy 38, </w:t>
      </w:r>
      <w:r w:rsidR="003C70B6" w:rsidRPr="003C70B6">
        <w:t>ss.</w:t>
      </w:r>
      <w:r w:rsidR="003C70B6">
        <w:rPr>
          <w:i/>
        </w:rPr>
        <w:t xml:space="preserve"> </w:t>
      </w:r>
      <w:r>
        <w:t>661-666.</w:t>
      </w:r>
    </w:p>
    <w:p w:rsidR="008B5E7C" w:rsidRPr="007F1C38" w:rsidRDefault="00860C5D" w:rsidP="009F3710">
      <w:pPr>
        <w:spacing w:before="120" w:after="120"/>
        <w:ind w:left="1134" w:hanging="1134"/>
        <w:jc w:val="both"/>
      </w:pPr>
      <w:r>
        <w:t>Narin, M. (2013) “Kyoto Protokolü Esneklik Mekanizması: Emisyon Ticareti”, International Confe</w:t>
      </w:r>
      <w:r w:rsidR="007F1C38">
        <w:t>rence on Eurasian Economies 2013,</w:t>
      </w:r>
      <w:r w:rsidR="007F1C38" w:rsidRPr="007F1C38">
        <w:rPr>
          <w:b/>
          <w:bCs/>
          <w:color w:val="000000"/>
          <w:sz w:val="27"/>
          <w:szCs w:val="27"/>
        </w:rPr>
        <w:t xml:space="preserve"> </w:t>
      </w:r>
      <w:r w:rsidR="007F1C38" w:rsidRPr="007F1C38">
        <w:t>17-18 September 2013 – St. Petersburg, RUSSIA</w:t>
      </w:r>
      <w:r w:rsidR="007F1C38">
        <w:t>.</w:t>
      </w:r>
    </w:p>
    <w:p w:rsidR="001350D2" w:rsidRPr="001350D2" w:rsidRDefault="001350D2" w:rsidP="009F3710">
      <w:pPr>
        <w:spacing w:before="120" w:after="120"/>
        <w:ind w:left="1134" w:hanging="1134"/>
        <w:jc w:val="both"/>
      </w:pPr>
      <w:r w:rsidRPr="001350D2">
        <w:t xml:space="preserve">Neale, J. (2008) </w:t>
      </w:r>
      <w:r w:rsidRPr="003315BD">
        <w:rPr>
          <w:i/>
        </w:rPr>
        <w:t>Stop Global Warming: Change the World</w:t>
      </w:r>
      <w:r w:rsidRPr="001350D2">
        <w:t>, Londra, Bookmarks, s.36</w:t>
      </w:r>
    </w:p>
    <w:p w:rsidR="0044255F" w:rsidRDefault="00F35F88" w:rsidP="009F3710">
      <w:pPr>
        <w:pStyle w:val="GvdeMetniGirintisi"/>
        <w:spacing w:before="120" w:after="120" w:line="240" w:lineRule="auto"/>
        <w:ind w:left="1134" w:hanging="1134"/>
      </w:pPr>
      <w:bookmarkStart w:id="197" w:name="OLE_LINK57"/>
      <w:bookmarkStart w:id="198" w:name="OLE_LINK58"/>
      <w:r>
        <w:t xml:space="preserve">Özçağ, M. (2011) </w:t>
      </w:r>
      <w:r w:rsidR="0044255F" w:rsidRPr="00F35F88">
        <w:rPr>
          <w:i/>
        </w:rPr>
        <w:t>İnsan Kaynaklı İklim Değişikliği ve Ekonomik Büyüme Türkiye</w:t>
      </w:r>
      <w:r w:rsidRPr="00F35F88">
        <w:rPr>
          <w:i/>
        </w:rPr>
        <w:t xml:space="preserve"> Üzerine Bir Analiz</w:t>
      </w:r>
      <w:r w:rsidR="0044255F" w:rsidRPr="00F35F88">
        <w:rPr>
          <w:i/>
        </w:rPr>
        <w:t>,</w:t>
      </w:r>
      <w:r w:rsidR="0044255F" w:rsidRPr="00842DDA">
        <w:t xml:space="preserve"> </w:t>
      </w:r>
      <w:r>
        <w:t>Yayın</w:t>
      </w:r>
      <w:r w:rsidRPr="00842DDA">
        <w:t>lan</w:t>
      </w:r>
      <w:r>
        <w:t xml:space="preserve">mamış Doktora Tezi, </w:t>
      </w:r>
      <w:r w:rsidR="0044255F" w:rsidRPr="00842DDA">
        <w:t>Adnan Menderes Üniversitesi</w:t>
      </w:r>
      <w:r w:rsidR="00013C57">
        <w:t>,</w:t>
      </w:r>
      <w:r w:rsidR="0044255F" w:rsidRPr="00842DDA">
        <w:t xml:space="preserve"> Sosyal Bil</w:t>
      </w:r>
      <w:r w:rsidR="00013C57">
        <w:t>imler</w:t>
      </w:r>
      <w:r w:rsidR="0044255F" w:rsidRPr="00842DDA">
        <w:t xml:space="preserve"> Ens</w:t>
      </w:r>
      <w:r>
        <w:t xml:space="preserve">titüsü: </w:t>
      </w:r>
      <w:r w:rsidR="00013C57">
        <w:t>Aydın.</w:t>
      </w:r>
    </w:p>
    <w:p w:rsidR="008B5E7C" w:rsidRDefault="00CF3091" w:rsidP="009F3710">
      <w:pPr>
        <w:spacing w:before="120" w:after="120"/>
        <w:ind w:left="1134" w:hanging="1134"/>
        <w:jc w:val="both"/>
      </w:pPr>
      <w:r>
        <w:t>Öztürk, İ. and</w:t>
      </w:r>
      <w:r w:rsidR="008B5E7C" w:rsidRPr="004A204A">
        <w:t xml:space="preserve"> Acaravci, A. (2012) “The Long-run and Cau</w:t>
      </w:r>
      <w:r w:rsidR="008B5E7C">
        <w:t>sal Analysis of Energy, Growt, O</w:t>
      </w:r>
      <w:r w:rsidR="008B5E7C" w:rsidRPr="004A204A">
        <w:t xml:space="preserve">pennes and Financial Development on Carbon Emission in Turkey”, </w:t>
      </w:r>
      <w:r w:rsidR="008B5E7C" w:rsidRPr="004A204A">
        <w:rPr>
          <w:i/>
        </w:rPr>
        <w:t>Energy Economics,</w:t>
      </w:r>
      <w:r w:rsidR="008B5E7C" w:rsidRPr="004A204A">
        <w:t xml:space="preserve"> online, 31 August.</w:t>
      </w:r>
    </w:p>
    <w:p w:rsidR="00A13584" w:rsidRPr="00842DDA" w:rsidRDefault="00A13584" w:rsidP="009F3710">
      <w:pPr>
        <w:pStyle w:val="GvdeMetniGirintisi"/>
        <w:spacing w:before="120" w:after="120" w:line="240" w:lineRule="auto"/>
        <w:ind w:left="1134" w:hanging="1134"/>
      </w:pPr>
      <w:r>
        <w:lastRenderedPageBreak/>
        <w:t>Öztürk, H. (2007</w:t>
      </w:r>
      <w:r w:rsidRPr="00187ABB">
        <w:t>)</w:t>
      </w:r>
      <w:r>
        <w:t xml:space="preserve"> </w:t>
      </w:r>
      <w:r w:rsidRPr="00A13584">
        <w:rPr>
          <w:i/>
        </w:rPr>
        <w:t>“Küresel Isınmada Ruminantların Rolü”</w:t>
      </w:r>
      <w:r>
        <w:t xml:space="preserve"> </w:t>
      </w:r>
      <w:r w:rsidRPr="00187ABB">
        <w:t xml:space="preserve"> </w:t>
      </w:r>
      <w:r w:rsidRPr="00CF3091">
        <w:rPr>
          <w:i/>
        </w:rPr>
        <w:t>Veteriner Hekimler Derneği Dergisi</w:t>
      </w:r>
      <w:r w:rsidR="00CF3091">
        <w:rPr>
          <w:i/>
        </w:rPr>
        <w:t>,</w:t>
      </w:r>
      <w:r w:rsidRPr="00A13584">
        <w:t xml:space="preserve"> Cilt: 78 Sayı</w:t>
      </w:r>
      <w:r>
        <w:t xml:space="preserve">: 1 </w:t>
      </w:r>
    </w:p>
    <w:bookmarkEnd w:id="197"/>
    <w:bookmarkEnd w:id="198"/>
    <w:p w:rsidR="0044255F" w:rsidRDefault="0044255F" w:rsidP="009F3710">
      <w:pPr>
        <w:pStyle w:val="GvdeMetniGirintisi"/>
        <w:spacing w:before="120" w:after="120" w:line="240" w:lineRule="auto"/>
        <w:ind w:left="1134" w:hanging="1134"/>
      </w:pPr>
      <w:r w:rsidRPr="00187ABB">
        <w:t xml:space="preserve">Öztürk, K. (2002) </w:t>
      </w:r>
      <w:r w:rsidRPr="0045053C">
        <w:rPr>
          <w:i/>
        </w:rPr>
        <w:t>“Küresel İklim Değişikliği ve Türkiye’ye Olası Etkileri”</w:t>
      </w:r>
      <w:r w:rsidRPr="00187ABB">
        <w:t xml:space="preserve"> G.Ü. </w:t>
      </w:r>
      <w:r w:rsidRPr="00CF3091">
        <w:rPr>
          <w:i/>
        </w:rPr>
        <w:t>Eğitim Fakültesi Dergisi</w:t>
      </w:r>
      <w:r w:rsidR="00CF3091">
        <w:t>,</w:t>
      </w:r>
      <w:r w:rsidRPr="00187ABB">
        <w:t xml:space="preserve"> Cilt, </w:t>
      </w:r>
      <w:proofErr w:type="gramStart"/>
      <w:r w:rsidRPr="00187ABB">
        <w:t>22 .</w:t>
      </w:r>
      <w:proofErr w:type="gramEnd"/>
      <w:r w:rsidRPr="00187ABB">
        <w:t xml:space="preserve"> Sayı I</w:t>
      </w:r>
      <w:r>
        <w:t>, ss:</w:t>
      </w:r>
      <w:r w:rsidRPr="00187ABB">
        <w:t xml:space="preserve"> 47-65</w:t>
      </w:r>
    </w:p>
    <w:p w:rsidR="00D35D01" w:rsidRDefault="00D35D01" w:rsidP="009F3710">
      <w:pPr>
        <w:pStyle w:val="GvdeMetniGirintisi"/>
        <w:spacing w:before="120" w:after="120" w:line="240" w:lineRule="auto"/>
        <w:ind w:left="1134" w:hanging="1134"/>
        <w:rPr>
          <w:i/>
        </w:rPr>
      </w:pPr>
      <w:r>
        <w:t xml:space="preserve">Pamukçu, K. (2007) “Küresel Emisyon Ticareti Sistemi için Bir Model: Avrupa Birliği Emisyon Ticareti Programı”, </w:t>
      </w:r>
      <w:r w:rsidRPr="00D35D01">
        <w:rPr>
          <w:i/>
        </w:rPr>
        <w:t>I.Ü. Siyasal Bilgiler Fakültesi Dergisi, 37.</w:t>
      </w:r>
    </w:p>
    <w:p w:rsidR="00EC68CC" w:rsidRDefault="00EC68CC" w:rsidP="009F3710">
      <w:pPr>
        <w:pStyle w:val="GvdeMetniGirintisi"/>
        <w:spacing w:before="120" w:after="120" w:line="240" w:lineRule="auto"/>
        <w:ind w:left="1134" w:hanging="1134"/>
      </w:pPr>
      <w:r>
        <w:t xml:space="preserve">Panayotou, T. (1993) </w:t>
      </w:r>
      <w:r w:rsidRPr="00346334">
        <w:t>“Empirical Test and Demand for Encironmental Degradation at Different Stages of Economic Development”</w:t>
      </w:r>
      <w:r w:rsidR="00346334" w:rsidRPr="00346334">
        <w:t>,</w:t>
      </w:r>
      <w:r>
        <w:t xml:space="preserve"> Working Paper WP238, Techology</w:t>
      </w:r>
      <w:r w:rsidR="00346334">
        <w:t xml:space="preserve"> and Employment Programme, Internarional Labour Office, Genova.</w:t>
      </w:r>
    </w:p>
    <w:p w:rsidR="00517888" w:rsidRDefault="00517888" w:rsidP="009F3710">
      <w:pPr>
        <w:pStyle w:val="GvdeMetniGirintisi"/>
        <w:spacing w:before="120" w:after="120" w:line="240" w:lineRule="auto"/>
        <w:ind w:left="1134" w:hanging="1134"/>
      </w:pPr>
      <w:r>
        <w:t>Pesaran, M.H</w:t>
      </w:r>
      <w:proofErr w:type="gramStart"/>
      <w:r>
        <w:t>.</w:t>
      </w:r>
      <w:r w:rsidRPr="00517888">
        <w:t>,</w:t>
      </w:r>
      <w:proofErr w:type="gramEnd"/>
      <w:r w:rsidRPr="00517888">
        <w:t xml:space="preserve"> (2004), “General Diagnostic Tests for Cross Section Dependence in Panels”, </w:t>
      </w:r>
      <w:r w:rsidRPr="00CF3091">
        <w:rPr>
          <w:i/>
        </w:rPr>
        <w:t>Cambridge Working Papers in Economics,</w:t>
      </w:r>
      <w:r w:rsidRPr="00517888">
        <w:t xml:space="preserve">  435.</w:t>
      </w:r>
    </w:p>
    <w:p w:rsidR="00AD37C4" w:rsidRDefault="00517888" w:rsidP="009F3710">
      <w:pPr>
        <w:pStyle w:val="GvdeMetniGirintisi"/>
        <w:spacing w:before="120" w:after="120" w:line="240" w:lineRule="auto"/>
        <w:ind w:left="1134" w:hanging="1134"/>
      </w:pPr>
      <w:r>
        <w:t>Pesa</w:t>
      </w:r>
      <w:r w:rsidR="00AD37C4">
        <w:t>ran M.H</w:t>
      </w:r>
      <w:proofErr w:type="gramStart"/>
      <w:r w:rsidR="00AD37C4">
        <w:t>.</w:t>
      </w:r>
      <w:r>
        <w:t>,</w:t>
      </w:r>
      <w:proofErr w:type="gramEnd"/>
      <w:r w:rsidR="00AD37C4">
        <w:t xml:space="preserve"> (2006</w:t>
      </w:r>
      <w:r w:rsidR="005E1361">
        <w:t>a</w:t>
      </w:r>
      <w:r w:rsidR="00AD37C4">
        <w:t>) “A Simple Panel Unit Root Test in the Presence of Cross Section Dependence”, Cambtidge University, Working Paper, No: 0346</w:t>
      </w:r>
    </w:p>
    <w:p w:rsidR="00CE2033" w:rsidRDefault="00CE2033" w:rsidP="009F3710">
      <w:pPr>
        <w:spacing w:before="120" w:after="120"/>
        <w:ind w:left="1170" w:hanging="1170"/>
        <w:jc w:val="both"/>
      </w:pPr>
      <w:r w:rsidRPr="00893A95">
        <w:t>Pesaran</w:t>
      </w:r>
      <w:r>
        <w:t>,</w:t>
      </w:r>
      <w:r w:rsidRPr="00CE2033">
        <w:t xml:space="preserve"> </w:t>
      </w:r>
      <w:r>
        <w:t>M.H</w:t>
      </w:r>
      <w:proofErr w:type="gramStart"/>
      <w:r w:rsidRPr="00BB3ADF">
        <w:t>.,</w:t>
      </w:r>
      <w:proofErr w:type="gramEnd"/>
      <w:r w:rsidRPr="00BB3ADF">
        <w:t xml:space="preserve"> </w:t>
      </w:r>
      <w:r w:rsidRPr="00893A95">
        <w:t xml:space="preserve"> </w:t>
      </w:r>
      <w:r>
        <w:t>(2006b) “</w:t>
      </w:r>
      <w:r w:rsidRPr="00893A95">
        <w:t>Estimation and Inference in Large Heterogeneous Panels with a Multifactor Error Structure</w:t>
      </w:r>
      <w:r>
        <w:t xml:space="preserve">”, </w:t>
      </w:r>
      <w:r w:rsidRPr="00CE2033">
        <w:rPr>
          <w:i/>
        </w:rPr>
        <w:t>Econometrica 74,</w:t>
      </w:r>
      <w:r>
        <w:t xml:space="preserve"> </w:t>
      </w:r>
      <w:r w:rsidR="003C70B6">
        <w:t xml:space="preserve">ss. </w:t>
      </w:r>
      <w:r w:rsidRPr="00893A95">
        <w:t>967-1012</w:t>
      </w:r>
      <w:r>
        <w:t>.</w:t>
      </w:r>
    </w:p>
    <w:p w:rsidR="0060082A" w:rsidRPr="00BB3ADF" w:rsidRDefault="0060082A" w:rsidP="009F3710">
      <w:pPr>
        <w:spacing w:before="120" w:after="120"/>
        <w:ind w:left="1170" w:hanging="1170"/>
        <w:jc w:val="both"/>
      </w:pPr>
      <w:r w:rsidRPr="00BB3ADF">
        <w:t xml:space="preserve">Pesaran </w:t>
      </w:r>
      <w:r>
        <w:t>M.H</w:t>
      </w:r>
      <w:proofErr w:type="gramStart"/>
      <w:r w:rsidRPr="00BB3ADF">
        <w:t>.,</w:t>
      </w:r>
      <w:proofErr w:type="gramEnd"/>
      <w:r w:rsidRPr="00BB3ADF">
        <w:t xml:space="preserve"> (2007) </w:t>
      </w:r>
      <w:r w:rsidR="00CE2033">
        <w:t>“</w:t>
      </w:r>
      <w:r w:rsidRPr="00BB3ADF">
        <w:rPr>
          <w:color w:val="000000"/>
          <w:lang w:val="en-US"/>
        </w:rPr>
        <w:t>A Simple Panel Unit Root Test In The Presence Of Cross-Section Dependence</w:t>
      </w:r>
      <w:r w:rsidR="00CE2033">
        <w:rPr>
          <w:color w:val="000000"/>
          <w:lang w:val="en-US"/>
        </w:rPr>
        <w:t>”</w:t>
      </w:r>
      <w:r w:rsidRPr="00BB3ADF">
        <w:rPr>
          <w:color w:val="000000"/>
          <w:lang w:val="en-US"/>
        </w:rPr>
        <w:t xml:space="preserve">, </w:t>
      </w:r>
      <w:r w:rsidRPr="0060082A">
        <w:rPr>
          <w:i/>
          <w:color w:val="000000"/>
          <w:lang w:val="en-US"/>
        </w:rPr>
        <w:t>Journal of Applied Econometrics 22</w:t>
      </w:r>
      <w:r>
        <w:rPr>
          <w:color w:val="000000"/>
          <w:lang w:val="en-US"/>
        </w:rPr>
        <w:t>,</w:t>
      </w:r>
      <w:r w:rsidRPr="00BB3ADF">
        <w:rPr>
          <w:color w:val="000000"/>
          <w:lang w:val="en-US"/>
        </w:rPr>
        <w:t xml:space="preserve"> </w:t>
      </w:r>
      <w:r w:rsidR="003C70B6">
        <w:rPr>
          <w:color w:val="000000"/>
          <w:lang w:val="en-US"/>
        </w:rPr>
        <w:t xml:space="preserve">ss. </w:t>
      </w:r>
      <w:proofErr w:type="gramStart"/>
      <w:r w:rsidRPr="00BB3ADF">
        <w:rPr>
          <w:color w:val="000000"/>
          <w:lang w:val="en-US"/>
        </w:rPr>
        <w:t>265-312.</w:t>
      </w:r>
      <w:proofErr w:type="gramEnd"/>
    </w:p>
    <w:p w:rsidR="00AF48BF" w:rsidRPr="00AF48BF" w:rsidRDefault="001B0551" w:rsidP="009F3710">
      <w:pPr>
        <w:pStyle w:val="GvdeMetniGirintisi"/>
        <w:spacing w:before="120" w:after="120" w:line="240" w:lineRule="auto"/>
        <w:ind w:left="1134" w:hanging="1134"/>
      </w:pPr>
      <w:r>
        <w:t>Pesaran, M.</w:t>
      </w:r>
      <w:r w:rsidR="00AF48BF" w:rsidRPr="00AF48BF">
        <w:t>H</w:t>
      </w:r>
      <w:proofErr w:type="gramStart"/>
      <w:r w:rsidR="00AF48BF">
        <w:t>.</w:t>
      </w:r>
      <w:r w:rsidR="00AF48BF" w:rsidRPr="00AF48BF">
        <w:t>,</w:t>
      </w:r>
      <w:proofErr w:type="gramEnd"/>
      <w:r w:rsidR="00AF48BF" w:rsidRPr="00AF48BF">
        <w:t xml:space="preserve"> Ullah, A</w:t>
      </w:r>
      <w:r w:rsidR="00AF48BF">
        <w:t>.</w:t>
      </w:r>
      <w:r w:rsidR="00AF48BF" w:rsidRPr="00AF48BF">
        <w:t xml:space="preserve"> and Yamagata, T</w:t>
      </w:r>
      <w:r w:rsidR="00AF48BF">
        <w:t>.</w:t>
      </w:r>
      <w:r w:rsidR="00AF48BF" w:rsidRPr="00AF48BF">
        <w:t>, (2008), “A Bias-Adjusted LM Test of Error Cross-Section Independence”</w:t>
      </w:r>
      <w:r w:rsidR="00AF48BF">
        <w:t xml:space="preserve">, </w:t>
      </w:r>
      <w:r w:rsidR="00AF48BF" w:rsidRPr="00AF48BF">
        <w:rPr>
          <w:i/>
        </w:rPr>
        <w:t>Econometrics Journal 11,</w:t>
      </w:r>
      <w:r w:rsidR="00AF48BF" w:rsidRPr="00AF48BF">
        <w:t xml:space="preserve"> </w:t>
      </w:r>
      <w:r w:rsidR="003C70B6">
        <w:t xml:space="preserve">ss. </w:t>
      </w:r>
      <w:r w:rsidR="00AF48BF" w:rsidRPr="00AF48BF">
        <w:t>105-127.</w:t>
      </w:r>
    </w:p>
    <w:p w:rsidR="008B5E7C" w:rsidRDefault="008B5E7C" w:rsidP="009F3710">
      <w:pPr>
        <w:autoSpaceDE w:val="0"/>
        <w:autoSpaceDN w:val="0"/>
        <w:adjustRightInd w:val="0"/>
        <w:spacing w:before="120" w:after="120"/>
        <w:ind w:left="1134" w:hanging="1134"/>
        <w:jc w:val="both"/>
      </w:pPr>
      <w:r w:rsidRPr="0032337B">
        <w:t>Roca, J</w:t>
      </w:r>
      <w:r w:rsidR="00CF3091">
        <w:t xml:space="preserve">. and </w:t>
      </w:r>
      <w:r>
        <w:t>Alcantara, V</w:t>
      </w:r>
      <w:proofErr w:type="gramStart"/>
      <w:r>
        <w:t>.,</w:t>
      </w:r>
      <w:proofErr w:type="gramEnd"/>
      <w:r>
        <w:t xml:space="preserve"> (2001) “Energy I</w:t>
      </w:r>
      <w:r w:rsidRPr="0032337B">
        <w:t>ntensity, CO</w:t>
      </w:r>
      <w:r w:rsidRPr="00931AFF">
        <w:rPr>
          <w:vertAlign w:val="subscript"/>
        </w:rPr>
        <w:t>2</w:t>
      </w:r>
      <w:r>
        <w:t xml:space="preserve"> E</w:t>
      </w:r>
      <w:r w:rsidRPr="0032337B">
        <w:t>missions and</w:t>
      </w:r>
      <w:r>
        <w:t xml:space="preserve"> The Environmental Kuznets C</w:t>
      </w:r>
      <w:r w:rsidRPr="0032337B">
        <w:t>urve. The Spanish case</w:t>
      </w:r>
      <w:r>
        <w:t>”</w:t>
      </w:r>
      <w:r w:rsidRPr="0032337B">
        <w:t xml:space="preserve">. </w:t>
      </w:r>
      <w:r w:rsidRPr="00931AFF">
        <w:rPr>
          <w:i/>
        </w:rPr>
        <w:t>Energy Policy 29,</w:t>
      </w:r>
      <w:r w:rsidRPr="0032337B">
        <w:t xml:space="preserve"> </w:t>
      </w:r>
      <w:r w:rsidR="003C70B6">
        <w:t xml:space="preserve">ss. </w:t>
      </w:r>
      <w:r w:rsidRPr="0032337B">
        <w:t>553–556.</w:t>
      </w:r>
    </w:p>
    <w:p w:rsidR="008B5E7C" w:rsidRDefault="008B5E7C" w:rsidP="009F3710">
      <w:pPr>
        <w:autoSpaceDE w:val="0"/>
        <w:autoSpaceDN w:val="0"/>
        <w:adjustRightInd w:val="0"/>
        <w:spacing w:before="120" w:after="120"/>
        <w:ind w:left="1134" w:hanging="1134"/>
        <w:jc w:val="both"/>
      </w:pPr>
      <w:r w:rsidRPr="004E30C5">
        <w:t>Sadorsky, P</w:t>
      </w:r>
      <w:proofErr w:type="gramStart"/>
      <w:r w:rsidRPr="004E30C5">
        <w:t>.,</w:t>
      </w:r>
      <w:proofErr w:type="gramEnd"/>
      <w:r w:rsidRPr="004E30C5">
        <w:t xml:space="preserve"> </w:t>
      </w:r>
      <w:r>
        <w:t>(</w:t>
      </w:r>
      <w:r w:rsidRPr="004E30C5">
        <w:t>2010</w:t>
      </w:r>
      <w:r>
        <w:t>)</w:t>
      </w:r>
      <w:r w:rsidRPr="004E30C5">
        <w:t xml:space="preserve"> </w:t>
      </w:r>
      <w:r>
        <w:t>“</w:t>
      </w:r>
      <w:r w:rsidRPr="004E30C5">
        <w:t>Th</w:t>
      </w:r>
      <w:r>
        <w:t>e Impact of Financial Development on Energy Consumption in Emerging E</w:t>
      </w:r>
      <w:r w:rsidRPr="004E30C5">
        <w:t>conomies</w:t>
      </w:r>
      <w:r>
        <w:t>”</w:t>
      </w:r>
      <w:r w:rsidRPr="004E30C5">
        <w:t xml:space="preserve">. </w:t>
      </w:r>
      <w:r w:rsidRPr="004E30C5">
        <w:rPr>
          <w:i/>
        </w:rPr>
        <w:t>Energy Policy 38,</w:t>
      </w:r>
      <w:r w:rsidRPr="004E30C5">
        <w:t xml:space="preserve"> </w:t>
      </w:r>
      <w:r w:rsidR="003C70B6">
        <w:t xml:space="preserve">ss. </w:t>
      </w:r>
      <w:r w:rsidRPr="004E30C5">
        <w:t>2528–2535.</w:t>
      </w:r>
    </w:p>
    <w:p w:rsidR="002C02F3" w:rsidRDefault="002C02F3" w:rsidP="009F3710">
      <w:pPr>
        <w:spacing w:before="120" w:after="120"/>
        <w:ind w:left="1170" w:hanging="1170"/>
        <w:jc w:val="both"/>
      </w:pPr>
      <w:r w:rsidRPr="008079DE">
        <w:t>Sarno, L</w:t>
      </w:r>
      <w:r w:rsidR="00CF3091">
        <w:t>. a</w:t>
      </w:r>
      <w:r>
        <w:t xml:space="preserve">nd </w:t>
      </w:r>
      <w:r w:rsidRPr="008079DE">
        <w:t>Taylor</w:t>
      </w:r>
      <w:r>
        <w:t>, M.P</w:t>
      </w:r>
      <w:r w:rsidRPr="008079DE">
        <w:t>. (1998). “Real Exchange Rates Under the Recent Float: Unequivocal</w:t>
      </w:r>
      <w:r>
        <w:t xml:space="preserve"> Evidence of Mean Reversion</w:t>
      </w:r>
      <w:r w:rsidRPr="008079DE">
        <w:t>”</w:t>
      </w:r>
      <w:r>
        <w:t xml:space="preserve">, </w:t>
      </w:r>
      <w:r w:rsidRPr="002C02F3">
        <w:rPr>
          <w:i/>
        </w:rPr>
        <w:t>Economics Letters 60,</w:t>
      </w:r>
      <w:r w:rsidRPr="008079DE">
        <w:t xml:space="preserve"> </w:t>
      </w:r>
      <w:r w:rsidR="003C70B6">
        <w:t xml:space="preserve">ss. </w:t>
      </w:r>
      <w:r w:rsidRPr="008079DE">
        <w:t>131-</w:t>
      </w:r>
      <w:r>
        <w:t>1</w:t>
      </w:r>
      <w:r w:rsidRPr="008079DE">
        <w:t>37</w:t>
      </w:r>
      <w:r w:rsidR="00CF3091">
        <w:t>.</w:t>
      </w:r>
    </w:p>
    <w:p w:rsidR="008B5E7C" w:rsidRDefault="00CF3091" w:rsidP="009F3710">
      <w:pPr>
        <w:autoSpaceDE w:val="0"/>
        <w:autoSpaceDN w:val="0"/>
        <w:adjustRightInd w:val="0"/>
        <w:spacing w:before="120" w:after="120"/>
        <w:ind w:left="1134" w:hanging="1134"/>
        <w:jc w:val="both"/>
      </w:pPr>
      <w:r>
        <w:t>Say, N.P. and</w:t>
      </w:r>
      <w:r w:rsidR="008B5E7C">
        <w:t xml:space="preserve"> Yücel, M. (2006) “Energy C</w:t>
      </w:r>
      <w:r w:rsidR="008B5E7C" w:rsidRPr="00223D05">
        <w:t>onsumption and CO</w:t>
      </w:r>
      <w:r w:rsidR="008B5E7C" w:rsidRPr="00AB106A">
        <w:rPr>
          <w:vertAlign w:val="subscript"/>
        </w:rPr>
        <w:t xml:space="preserve">2 </w:t>
      </w:r>
      <w:r w:rsidR="008B5E7C">
        <w:t>E</w:t>
      </w:r>
      <w:r w:rsidR="008B5E7C" w:rsidRPr="00223D05">
        <w:t>mission</w:t>
      </w:r>
      <w:r w:rsidR="008B5E7C">
        <w:t>s in Turkey: Empirical Analysis and Future Projection Based on An Economic G</w:t>
      </w:r>
      <w:r w:rsidR="008B5E7C" w:rsidRPr="00223D05">
        <w:t>rowth</w:t>
      </w:r>
      <w:r w:rsidR="008B5E7C">
        <w:t xml:space="preserve">”. </w:t>
      </w:r>
      <w:r w:rsidR="008B5E7C" w:rsidRPr="00713AC2">
        <w:rPr>
          <w:i/>
        </w:rPr>
        <w:t>Energy Policy 34</w:t>
      </w:r>
      <w:r w:rsidR="008B5E7C">
        <w:rPr>
          <w:i/>
        </w:rPr>
        <w:t>,</w:t>
      </w:r>
      <w:r w:rsidR="008B5E7C" w:rsidRPr="00713AC2">
        <w:rPr>
          <w:i/>
        </w:rPr>
        <w:t xml:space="preserve"> </w:t>
      </w:r>
      <w:r w:rsidR="008B5E7C" w:rsidRPr="00713AC2">
        <w:t xml:space="preserve"> </w:t>
      </w:r>
      <w:r w:rsidR="003C70B6">
        <w:t xml:space="preserve">ss. </w:t>
      </w:r>
      <w:r w:rsidR="008B5E7C" w:rsidRPr="00713AC2">
        <w:t>3870</w:t>
      </w:r>
      <w:r w:rsidR="008B5E7C" w:rsidRPr="00713AC2">
        <w:rPr>
          <w:rFonts w:hint="eastAsia"/>
        </w:rPr>
        <w:t>–</w:t>
      </w:r>
      <w:r w:rsidR="008B5E7C" w:rsidRPr="00713AC2">
        <w:t>3876</w:t>
      </w:r>
      <w:r>
        <w:t>.</w:t>
      </w:r>
    </w:p>
    <w:p w:rsidR="00E45B99" w:rsidRDefault="00E45B99" w:rsidP="009F3710">
      <w:pPr>
        <w:autoSpaceDE w:val="0"/>
        <w:autoSpaceDN w:val="0"/>
        <w:adjustRightInd w:val="0"/>
        <w:spacing w:before="120" w:after="120"/>
        <w:ind w:left="1134" w:hanging="1134"/>
        <w:jc w:val="both"/>
      </w:pPr>
      <w:r>
        <w:t>Sayyan, H. (2000), “Dinamik Panel Veri Modelleri ve OECD Ülkeleri Para Talebi Uygulaması”, Marmara</w:t>
      </w:r>
      <w:r w:rsidR="00643B4F">
        <w:t xml:space="preserve"> Üniver</w:t>
      </w:r>
      <w:r w:rsidR="007060C6">
        <w:t>sitesi, Sosyal Bil. Enst</w:t>
      </w:r>
      <w:proofErr w:type="gramStart"/>
      <w:r w:rsidR="007060C6">
        <w:t>.,</w:t>
      </w:r>
      <w:proofErr w:type="gramEnd"/>
      <w:r w:rsidR="007060C6">
        <w:t xml:space="preserve"> Yayın</w:t>
      </w:r>
      <w:r w:rsidR="00643B4F">
        <w:t>lanmamış Doktora Tezi, İstanbul.</w:t>
      </w:r>
    </w:p>
    <w:p w:rsidR="008B5E7C" w:rsidRDefault="008B5E7C" w:rsidP="009F3710">
      <w:pPr>
        <w:autoSpaceDE w:val="0"/>
        <w:autoSpaceDN w:val="0"/>
        <w:adjustRightInd w:val="0"/>
        <w:spacing w:before="120" w:after="120"/>
        <w:ind w:left="1134" w:hanging="1134"/>
        <w:jc w:val="both"/>
      </w:pPr>
      <w:r w:rsidRPr="008B2F05">
        <w:t>Schipper, L</w:t>
      </w:r>
      <w:proofErr w:type="gramStart"/>
      <w:r w:rsidRPr="008B2F05">
        <w:t>.,</w:t>
      </w:r>
      <w:proofErr w:type="gramEnd"/>
      <w:r w:rsidRPr="008B2F05">
        <w:t xml:space="preserve"> Ting,M., Khrushch,</w:t>
      </w:r>
      <w:r w:rsidR="00CF3091">
        <w:t xml:space="preserve"> M. and </w:t>
      </w:r>
      <w:r>
        <w:t>Golove,W. (</w:t>
      </w:r>
      <w:r w:rsidRPr="008B2F05">
        <w:t>1997</w:t>
      </w:r>
      <w:r>
        <w:t>). “The E</w:t>
      </w:r>
      <w:r w:rsidRPr="008B2F05">
        <w:t>volution</w:t>
      </w:r>
      <w:r>
        <w:t xml:space="preserve"> of Carbon Dioxide E</w:t>
      </w:r>
      <w:r w:rsidRPr="008B2F05">
        <w:t>missions fr</w:t>
      </w:r>
      <w:r>
        <w:t>om Energy use in Industrialized C</w:t>
      </w:r>
      <w:r w:rsidRPr="008B2F05">
        <w:t>ountri</w:t>
      </w:r>
      <w:r>
        <w:t xml:space="preserve">es: an end-use Analysis”. </w:t>
      </w:r>
      <w:r w:rsidRPr="008B2F05">
        <w:rPr>
          <w:i/>
        </w:rPr>
        <w:t>Energy Policy 25</w:t>
      </w:r>
      <w:r w:rsidRPr="008B2F05">
        <w:t xml:space="preserve">, </w:t>
      </w:r>
      <w:r w:rsidR="003C70B6">
        <w:t xml:space="preserve">ss. </w:t>
      </w:r>
      <w:r w:rsidRPr="008B2F05">
        <w:t>651–672.</w:t>
      </w:r>
    </w:p>
    <w:p w:rsidR="009528FF" w:rsidRPr="00187ABB" w:rsidRDefault="009528FF" w:rsidP="009F3710">
      <w:pPr>
        <w:autoSpaceDE w:val="0"/>
        <w:autoSpaceDN w:val="0"/>
        <w:adjustRightInd w:val="0"/>
        <w:spacing w:before="120" w:after="120"/>
        <w:ind w:left="1134" w:hanging="1134"/>
        <w:jc w:val="both"/>
      </w:pPr>
      <w:r>
        <w:t>Scrimgeour, F</w:t>
      </w:r>
      <w:proofErr w:type="gramStart"/>
      <w:r>
        <w:t>.,</w:t>
      </w:r>
      <w:proofErr w:type="gramEnd"/>
      <w:r>
        <w:t xml:space="preserve"> Les, O. and Fatai, K. (2005) “Reducing Carbon Emissions? The Relative Effectiveness of Different Types of Environmental Tax: The Case of New Zealand”, </w:t>
      </w:r>
      <w:hyperlink r:id="rId53" w:tooltip="Go to Environmental Modelling &amp; Software on ScienceDirect" w:history="1">
        <w:r w:rsidRPr="009528FF">
          <w:rPr>
            <w:rFonts w:hint="eastAsia"/>
            <w:i/>
          </w:rPr>
          <w:t>Environmental Modelling &amp; Software</w:t>
        </w:r>
      </w:hyperlink>
      <w:r w:rsidRPr="009528FF">
        <w:rPr>
          <w:i/>
        </w:rPr>
        <w:t xml:space="preserve"> 20,</w:t>
      </w:r>
      <w:r>
        <w:t xml:space="preserve"> </w:t>
      </w:r>
      <w:r w:rsidR="003C70B6">
        <w:t xml:space="preserve">ss. </w:t>
      </w:r>
      <w:r>
        <w:t>1439-1448.</w:t>
      </w:r>
    </w:p>
    <w:p w:rsidR="002C2577" w:rsidRDefault="00260DE5" w:rsidP="009F3710">
      <w:pPr>
        <w:spacing w:before="120" w:after="120"/>
        <w:ind w:left="1080" w:hanging="1080"/>
        <w:jc w:val="both"/>
      </w:pPr>
      <w:r w:rsidRPr="00260DE5">
        <w:t>Scowcroft, J. (2010) “Kopenhag Kaosundan Sonra Meksika Mucizesi ya</w:t>
      </w:r>
      <w:r>
        <w:t xml:space="preserve"> </w:t>
      </w:r>
      <w:r w:rsidRPr="00260DE5">
        <w:t xml:space="preserve">da COP’un Yapılabilirliği”, </w:t>
      </w:r>
      <w:r w:rsidRPr="00260DE5">
        <w:rPr>
          <w:i/>
        </w:rPr>
        <w:t>Electricitiy for Europe Letest News</w:t>
      </w:r>
      <w:r w:rsidRPr="00260DE5">
        <w:t>, 15 Aralık.</w:t>
      </w:r>
    </w:p>
    <w:p w:rsidR="008B5E7C" w:rsidRPr="00B5430B" w:rsidRDefault="00CF3091" w:rsidP="009F3710">
      <w:pPr>
        <w:pStyle w:val="bolukcizgisi"/>
        <w:spacing w:before="120" w:after="120"/>
        <w:ind w:left="1080" w:hanging="1080"/>
      </w:pPr>
      <w:r>
        <w:t>Selden, T.M. and</w:t>
      </w:r>
      <w:r w:rsidR="008B5E7C">
        <w:t xml:space="preserve"> Song, D. (1994) “Environmental Quality and Development:  Is There </w:t>
      </w:r>
      <w:r w:rsidR="008B5E7C">
        <w:lastRenderedPageBreak/>
        <w:t xml:space="preserve">a Kuznets Curve for Air Pollution Emisions?”, </w:t>
      </w:r>
      <w:r w:rsidR="008B5E7C" w:rsidRPr="00071864">
        <w:rPr>
          <w:i/>
        </w:rPr>
        <w:t>Journal of Environmental Economics and Management</w:t>
      </w:r>
      <w:r w:rsidR="008B5E7C">
        <w:t>”, Vol</w:t>
      </w:r>
      <w:r w:rsidR="003C70B6">
        <w:t xml:space="preserve">ume: 27, Issue: 2, ss. </w:t>
      </w:r>
      <w:r w:rsidR="00B5430B">
        <w:t>147-162.</w:t>
      </w:r>
    </w:p>
    <w:p w:rsidR="008B5E7C" w:rsidRDefault="00CF3091" w:rsidP="009F3710">
      <w:pPr>
        <w:autoSpaceDE w:val="0"/>
        <w:autoSpaceDN w:val="0"/>
        <w:adjustRightInd w:val="0"/>
        <w:spacing w:before="120" w:after="120"/>
        <w:ind w:left="1134" w:hanging="1134"/>
        <w:jc w:val="both"/>
      </w:pPr>
      <w:r>
        <w:t>Soytaş, U</w:t>
      </w:r>
      <w:proofErr w:type="gramStart"/>
      <w:r>
        <w:t>.,</w:t>
      </w:r>
      <w:proofErr w:type="gramEnd"/>
      <w:r>
        <w:t xml:space="preserve"> Sarı, R. and</w:t>
      </w:r>
      <w:r w:rsidR="008B5E7C">
        <w:t xml:space="preserve"> Ewing, B.T. (2007) “Energy Consumption, Income, and Carbon E</w:t>
      </w:r>
      <w:r w:rsidR="008B5E7C" w:rsidRPr="00E3510A">
        <w:t>missions</w:t>
      </w:r>
      <w:r w:rsidR="008B5E7C">
        <w:t xml:space="preserve"> </w:t>
      </w:r>
      <w:r w:rsidR="008B5E7C" w:rsidRPr="00E3510A">
        <w:t>in the United States</w:t>
      </w:r>
      <w:r w:rsidR="008B5E7C">
        <w:t xml:space="preserve">”  </w:t>
      </w:r>
      <w:r w:rsidR="008B5E7C" w:rsidRPr="00E3510A">
        <w:rPr>
          <w:i/>
        </w:rPr>
        <w:t>Ecological Economics 62</w:t>
      </w:r>
      <w:r w:rsidR="008B5E7C">
        <w:t xml:space="preserve">, </w:t>
      </w:r>
      <w:r w:rsidR="003C70B6">
        <w:t xml:space="preserve">ss. </w:t>
      </w:r>
      <w:r w:rsidR="008B5E7C">
        <w:t>482-489.</w:t>
      </w:r>
    </w:p>
    <w:p w:rsidR="008B5E7C" w:rsidRDefault="008B5E7C" w:rsidP="009F3710">
      <w:pPr>
        <w:autoSpaceDE w:val="0"/>
        <w:autoSpaceDN w:val="0"/>
        <w:adjustRightInd w:val="0"/>
        <w:spacing w:before="120" w:after="120"/>
        <w:ind w:left="1276" w:hanging="1276"/>
        <w:jc w:val="both"/>
      </w:pPr>
      <w:r w:rsidRPr="00BB3A4A">
        <w:t>Stern, D.I</w:t>
      </w:r>
      <w:proofErr w:type="gramStart"/>
      <w:r w:rsidRPr="00BB3A4A">
        <w:t>.,</w:t>
      </w:r>
      <w:proofErr w:type="gramEnd"/>
      <w:r>
        <w:t>(</w:t>
      </w:r>
      <w:r w:rsidRPr="00BB3A4A">
        <w:t xml:space="preserve"> 2002</w:t>
      </w:r>
      <w:r>
        <w:t>)  “Explaining Changes in Global Sulfur Emissions: A</w:t>
      </w:r>
      <w:r w:rsidRPr="00BB3A4A">
        <w:t>n</w:t>
      </w:r>
      <w:r>
        <w:t xml:space="preserve"> Econometric Decomposition A</w:t>
      </w:r>
      <w:r w:rsidRPr="00BB3A4A">
        <w:t>pproach</w:t>
      </w:r>
      <w:r>
        <w:t>”</w:t>
      </w:r>
      <w:r w:rsidRPr="00BB3A4A">
        <w:t xml:space="preserve">. </w:t>
      </w:r>
      <w:r w:rsidRPr="00781380">
        <w:rPr>
          <w:i/>
        </w:rPr>
        <w:t>Ecological Economics</w:t>
      </w:r>
      <w:r>
        <w:t xml:space="preserve"> </w:t>
      </w:r>
      <w:r w:rsidRPr="00781380">
        <w:rPr>
          <w:i/>
        </w:rPr>
        <w:t>42,</w:t>
      </w:r>
      <w:r w:rsidRPr="00BB3A4A">
        <w:t xml:space="preserve"> </w:t>
      </w:r>
      <w:r w:rsidR="003C70B6">
        <w:t xml:space="preserve">ss. </w:t>
      </w:r>
      <w:r w:rsidRPr="00BB3A4A">
        <w:t>201–220.</w:t>
      </w:r>
    </w:p>
    <w:p w:rsidR="00EC0F57" w:rsidRDefault="00CF3091" w:rsidP="009F3710">
      <w:pPr>
        <w:autoSpaceDE w:val="0"/>
        <w:autoSpaceDN w:val="0"/>
        <w:adjustRightInd w:val="0"/>
        <w:spacing w:before="120" w:after="120"/>
        <w:ind w:left="1276" w:hanging="1276"/>
        <w:jc w:val="both"/>
      </w:pPr>
      <w:r>
        <w:t>Stern, D.I. and</w:t>
      </w:r>
      <w:r w:rsidR="00EC0F57">
        <w:t xml:space="preserve"> Common, M.S. (2001) “Is There an Environmental Kuznets Curve for Sulfur?”, </w:t>
      </w:r>
      <w:r w:rsidR="00EC0F57" w:rsidRPr="00EC0F57">
        <w:rPr>
          <w:i/>
        </w:rPr>
        <w:t>Journal of Environmental Economics and Management 41,</w:t>
      </w:r>
      <w:r w:rsidR="00EC0F57">
        <w:t xml:space="preserve"> </w:t>
      </w:r>
      <w:r w:rsidR="003C70B6">
        <w:t xml:space="preserve">ss. </w:t>
      </w:r>
      <w:r w:rsidR="00EC0F57">
        <w:t>162-178.</w:t>
      </w:r>
    </w:p>
    <w:p w:rsidR="00595E50" w:rsidRDefault="00595E50" w:rsidP="009F3710">
      <w:pPr>
        <w:autoSpaceDE w:val="0"/>
        <w:autoSpaceDN w:val="0"/>
        <w:adjustRightInd w:val="0"/>
        <w:spacing w:before="120" w:after="120"/>
        <w:ind w:left="1276" w:hanging="1276"/>
        <w:jc w:val="both"/>
      </w:pPr>
      <w:r>
        <w:t>Swamy, P.A.V</w:t>
      </w:r>
      <w:proofErr w:type="gramStart"/>
      <w:r>
        <w:t>.,</w:t>
      </w:r>
      <w:proofErr w:type="gramEnd"/>
      <w:r>
        <w:t xml:space="preserve"> (1970) “E</w:t>
      </w:r>
      <w:r>
        <w:rPr>
          <w:rFonts w:ascii="Cambria Math" w:hAnsi="Cambria Math" w:cs="Cambria Math"/>
        </w:rPr>
        <w:t>ﬃ</w:t>
      </w:r>
      <w:r>
        <w:t>cient Inference in A Random Coe</w:t>
      </w:r>
      <w:r>
        <w:rPr>
          <w:rFonts w:ascii="Cambria Math" w:hAnsi="Cambria Math" w:cs="Cambria Math"/>
        </w:rPr>
        <w:t>ﬃ</w:t>
      </w:r>
      <w:r>
        <w:t xml:space="preserve">cient Regression Model”, </w:t>
      </w:r>
      <w:r w:rsidRPr="00595E50">
        <w:rPr>
          <w:i/>
        </w:rPr>
        <w:t>Econometrica 38,</w:t>
      </w:r>
      <w:r>
        <w:t xml:space="preserve"> </w:t>
      </w:r>
      <w:r w:rsidR="003C70B6">
        <w:t xml:space="preserve">ss. </w:t>
      </w:r>
      <w:r>
        <w:t>311–323.</w:t>
      </w:r>
    </w:p>
    <w:p w:rsidR="00840DB1" w:rsidRDefault="00031C00" w:rsidP="009F3710">
      <w:pPr>
        <w:spacing w:before="120" w:after="120"/>
        <w:jc w:val="both"/>
      </w:pPr>
      <w:r>
        <w:t xml:space="preserve">Şahin, Y. (2005) </w:t>
      </w:r>
      <w:r w:rsidRPr="00031C00">
        <w:rPr>
          <w:i/>
        </w:rPr>
        <w:t>Küresel Isınma Fetişizmi</w:t>
      </w:r>
      <w:r>
        <w:t>, Seçkin Yayıncılık, Ankara.</w:t>
      </w:r>
    </w:p>
    <w:p w:rsidR="005462CB" w:rsidRDefault="005462CB" w:rsidP="009F3710">
      <w:pPr>
        <w:spacing w:before="120" w:after="120"/>
        <w:jc w:val="both"/>
      </w:pPr>
      <w:r>
        <w:t>Tatoğlu, F.</w:t>
      </w:r>
      <w:r w:rsidR="00750687">
        <w:t xml:space="preserve"> Y.</w:t>
      </w:r>
      <w:r>
        <w:t xml:space="preserve"> (</w:t>
      </w:r>
      <w:r w:rsidR="00750687">
        <w:t xml:space="preserve">2012) </w:t>
      </w:r>
      <w:r w:rsidR="00750687" w:rsidRPr="00750687">
        <w:rPr>
          <w:i/>
        </w:rPr>
        <w:t>İleri Panel Veri Analizi</w:t>
      </w:r>
      <w:r w:rsidR="00750687">
        <w:t>, Beta Yayım Dağıtım A.Ş</w:t>
      </w:r>
      <w:proofErr w:type="gramStart"/>
      <w:r w:rsidR="00750687">
        <w:t>.,</w:t>
      </w:r>
      <w:proofErr w:type="gramEnd"/>
      <w:r w:rsidR="00750687">
        <w:t xml:space="preserve"> İstanbul.</w:t>
      </w:r>
    </w:p>
    <w:p w:rsidR="007C320C" w:rsidRDefault="007C320C" w:rsidP="009F3710">
      <w:pPr>
        <w:spacing w:before="120" w:after="120"/>
        <w:ind w:left="1134" w:hanging="1134"/>
        <w:jc w:val="both"/>
      </w:pPr>
      <w:r>
        <w:t xml:space="preserve">Taylor M.P. and Sarno L. (1998) “The Behavior of Real Exchange Rates During The Post-Bretton Woods Period”, </w:t>
      </w:r>
      <w:r w:rsidRPr="0021660C">
        <w:rPr>
          <w:i/>
        </w:rPr>
        <w:t>Jou</w:t>
      </w:r>
      <w:r w:rsidR="0021660C" w:rsidRPr="0021660C">
        <w:rPr>
          <w:i/>
        </w:rPr>
        <w:t>rnal of International Economics</w:t>
      </w:r>
      <w:r w:rsidRPr="0021660C">
        <w:rPr>
          <w:i/>
        </w:rPr>
        <w:t xml:space="preserve"> 46,</w:t>
      </w:r>
      <w:r>
        <w:t xml:space="preserve"> </w:t>
      </w:r>
      <w:r w:rsidR="003C70B6">
        <w:t xml:space="preserve">ss. </w:t>
      </w:r>
      <w:r>
        <w:t>281-312.</w:t>
      </w:r>
    </w:p>
    <w:p w:rsidR="004607CB" w:rsidRDefault="004607CB" w:rsidP="009F3710">
      <w:pPr>
        <w:pStyle w:val="bolukcizgisi"/>
        <w:spacing w:before="120" w:after="120"/>
        <w:ind w:left="1080" w:hanging="1080"/>
        <w:rPr>
          <w:lang w:val="en-US"/>
        </w:rPr>
      </w:pPr>
      <w:r w:rsidRPr="00AB2747">
        <w:rPr>
          <w:lang w:val="da-DK"/>
        </w:rPr>
        <w:t>Ti</w:t>
      </w:r>
      <w:r>
        <w:rPr>
          <w:lang w:val="da-DK"/>
        </w:rPr>
        <w:t>enberg</w:t>
      </w:r>
      <w:r w:rsidRPr="00AB2747">
        <w:rPr>
          <w:lang w:val="da-DK"/>
        </w:rPr>
        <w:t xml:space="preserve">, </w:t>
      </w:r>
      <w:r>
        <w:rPr>
          <w:lang w:val="da-DK"/>
        </w:rPr>
        <w:t xml:space="preserve">T. H. </w:t>
      </w:r>
      <w:r w:rsidRPr="00AB2747">
        <w:rPr>
          <w:lang w:val="da-DK"/>
        </w:rPr>
        <w:t>(2006)</w:t>
      </w:r>
      <w:r w:rsidRPr="00AB2747">
        <w:t xml:space="preserve"> “</w:t>
      </w:r>
      <w:r w:rsidRPr="004A7A4F">
        <w:rPr>
          <w:lang w:val="en-US"/>
        </w:rPr>
        <w:t>Emission Trading: Principles and Practice</w:t>
      </w:r>
      <w:r>
        <w:rPr>
          <w:lang w:val="en-US"/>
        </w:rPr>
        <w:t>”</w:t>
      </w:r>
      <w:r w:rsidRPr="004A7A4F">
        <w:rPr>
          <w:lang w:val="en-US"/>
        </w:rPr>
        <w:t>, RFF, Washington, DC, USA</w:t>
      </w:r>
      <w:r>
        <w:rPr>
          <w:lang w:val="en-US"/>
        </w:rPr>
        <w:t>.</w:t>
      </w:r>
    </w:p>
    <w:p w:rsidR="004607CB" w:rsidRDefault="00CF3091" w:rsidP="009F3710">
      <w:pPr>
        <w:pStyle w:val="bolukcizgisi"/>
        <w:spacing w:before="120" w:after="120"/>
        <w:ind w:left="1080" w:hanging="1080"/>
        <w:rPr>
          <w:lang w:val="da-DK"/>
        </w:rPr>
      </w:pPr>
      <w:r>
        <w:rPr>
          <w:lang w:val="en-US"/>
        </w:rPr>
        <w:t>Tobey, J.A. (1990) “The Effect of Domestic Environmental Policies on Pattern of World Trade: An Empirical T</w:t>
      </w:r>
      <w:r w:rsidR="004607CB">
        <w:rPr>
          <w:lang w:val="en-US"/>
        </w:rPr>
        <w:t>est</w:t>
      </w:r>
      <w:r>
        <w:rPr>
          <w:lang w:val="en-US"/>
        </w:rPr>
        <w:t>”,</w:t>
      </w:r>
      <w:r w:rsidR="004607CB">
        <w:rPr>
          <w:lang w:val="en-US"/>
        </w:rPr>
        <w:t xml:space="preserve"> </w:t>
      </w:r>
      <w:r w:rsidR="004607CB" w:rsidRPr="00CF3091">
        <w:rPr>
          <w:i/>
          <w:lang w:val="en-US"/>
        </w:rPr>
        <w:t>Kyklos 43,</w:t>
      </w:r>
      <w:r w:rsidR="004607CB">
        <w:rPr>
          <w:lang w:val="en-US"/>
        </w:rPr>
        <w:t xml:space="preserve"> </w:t>
      </w:r>
      <w:r>
        <w:rPr>
          <w:lang w:val="en-US"/>
        </w:rPr>
        <w:t xml:space="preserve">ss. </w:t>
      </w:r>
      <w:r w:rsidR="004607CB">
        <w:rPr>
          <w:lang w:val="en-US"/>
        </w:rPr>
        <w:t>191-2009.</w:t>
      </w:r>
    </w:p>
    <w:p w:rsidR="003A46D7" w:rsidRDefault="003A46D7" w:rsidP="009F3710">
      <w:pPr>
        <w:spacing w:before="120" w:after="120"/>
        <w:ind w:left="1134" w:hanging="1134"/>
        <w:jc w:val="both"/>
      </w:pPr>
      <w:r w:rsidRPr="003A46D7">
        <w:t>Tunahan</w:t>
      </w:r>
      <w:r>
        <w:t>, H. (2010)</w:t>
      </w:r>
      <w:r w:rsidRPr="003A46D7">
        <w:t xml:space="preserve"> "</w:t>
      </w:r>
      <w:r w:rsidRPr="003A46D7">
        <w:rPr>
          <w:bCs/>
        </w:rPr>
        <w:t>Küresel İklim Değişikliğini Azaltmanın Bir Yolu Olarak Karbon Finansmanı</w:t>
      </w:r>
      <w:r>
        <w:t>"</w:t>
      </w:r>
      <w:r w:rsidRPr="003A46D7">
        <w:t>,</w:t>
      </w:r>
      <w:r>
        <w:t xml:space="preserve"> </w:t>
      </w:r>
      <w:r w:rsidRPr="00840DB1">
        <w:rPr>
          <w:i/>
        </w:rPr>
        <w:t>Muh</w:t>
      </w:r>
      <w:r w:rsidR="00840DB1" w:rsidRPr="00840DB1">
        <w:rPr>
          <w:i/>
        </w:rPr>
        <w:t>asebe ve Finansman Dergisi 46</w:t>
      </w:r>
      <w:r w:rsidRPr="00840DB1">
        <w:rPr>
          <w:i/>
        </w:rPr>
        <w:t>,</w:t>
      </w:r>
      <w:r w:rsidR="00840DB1">
        <w:t xml:space="preserve"> </w:t>
      </w:r>
      <w:r w:rsidR="003C70B6">
        <w:t xml:space="preserve">ss. </w:t>
      </w:r>
      <w:r w:rsidR="00840DB1">
        <w:t>199-215.</w:t>
      </w:r>
      <w:r>
        <w:t xml:space="preserve"> </w:t>
      </w:r>
    </w:p>
    <w:p w:rsidR="00C47690" w:rsidRDefault="00C47690" w:rsidP="009F3710">
      <w:pPr>
        <w:pStyle w:val="bolukcizgisi"/>
        <w:spacing w:before="120" w:after="120"/>
        <w:ind w:left="1080" w:hanging="1080"/>
      </w:pPr>
      <w:r>
        <w:t xml:space="preserve">Türkeş, M. (2003) </w:t>
      </w:r>
      <w:r w:rsidR="003463A8">
        <w:t>Sera Gazı</w:t>
      </w:r>
      <w:r w:rsidR="00797B2D">
        <w:t xml:space="preserve"> Salımlarının Azaltılması İçin Sürdürülebilir Teknolojik ve Davranışsal S</w:t>
      </w:r>
      <w:r w:rsidRPr="00C47690">
        <w:t>eçenekler</w:t>
      </w:r>
      <w:r>
        <w:t>, V. Ulusal Çevre Mühendisli</w:t>
      </w:r>
      <w:r w:rsidR="00FA52B7">
        <w:t>ğ</w:t>
      </w:r>
      <w:r>
        <w:t>i Kongresi: Çevre Bilim ve Teknoloji Küreselle</w:t>
      </w:r>
      <w:r w:rsidR="00FA52B7">
        <w:t>ş</w:t>
      </w:r>
      <w:r>
        <w:t xml:space="preserve">menin Yansımaları, Bildiriler Kitabı, </w:t>
      </w:r>
      <w:r w:rsidR="003C70B6">
        <w:t xml:space="preserve">ss. </w:t>
      </w:r>
      <w:r>
        <w:t>267-285, Ankara.</w:t>
      </w:r>
    </w:p>
    <w:p w:rsidR="00CB2FBF" w:rsidRPr="00187ABB" w:rsidRDefault="00C47690" w:rsidP="009F3710">
      <w:pPr>
        <w:pStyle w:val="bolukcizgisi"/>
        <w:spacing w:before="120" w:after="120"/>
        <w:ind w:left="1080" w:hanging="1080"/>
        <w:rPr>
          <w:color w:val="00B050"/>
        </w:rPr>
      </w:pPr>
      <w:r>
        <w:t xml:space="preserve"> </w:t>
      </w:r>
      <w:r w:rsidR="00CB2FBF">
        <w:t>Türkeş, M. (2006</w:t>
      </w:r>
      <w:r w:rsidR="00CB2FBF" w:rsidRPr="002414F1">
        <w:t>)</w:t>
      </w:r>
      <w:r w:rsidR="00CB2FBF">
        <w:t xml:space="preserve"> Küresel İklimin Geleceği ve Kyoto Protokolü, Jeopolitik 29, ss.</w:t>
      </w:r>
      <w:r w:rsidR="003C70B6">
        <w:t xml:space="preserve"> </w:t>
      </w:r>
      <w:r w:rsidR="00CB2FBF">
        <w:t>99-107</w:t>
      </w:r>
      <w:r w:rsidR="00CF3091">
        <w:t>.</w:t>
      </w:r>
    </w:p>
    <w:p w:rsidR="0044255F" w:rsidRDefault="0044255F" w:rsidP="009F3710">
      <w:pPr>
        <w:pStyle w:val="bolukcizgisi"/>
        <w:spacing w:before="120" w:after="120"/>
        <w:ind w:left="1080" w:hanging="1080"/>
      </w:pPr>
      <w:r w:rsidRPr="002414F1">
        <w:t xml:space="preserve">Türkeş, M. (2007) “Küresel İklim Değişikliği Nedir? Temel Kavramlar, Nedenleri, Gözlenen ve Öngörülen Değişiklikler”, </w:t>
      </w:r>
      <w:r w:rsidRPr="002414F1">
        <w:rPr>
          <w:i/>
          <w:iCs/>
        </w:rPr>
        <w:t>I. Türkiye İklim Değişikliği Kongresi</w:t>
      </w:r>
      <w:r w:rsidRPr="002414F1">
        <w:t>, 11-13 Nisan</w:t>
      </w:r>
      <w:r w:rsidR="003C70B6">
        <w:t xml:space="preserve"> 2007, İTÜ, İstanbul, ss. </w:t>
      </w:r>
      <w:r w:rsidRPr="002414F1">
        <w:t>38-53.</w:t>
      </w:r>
    </w:p>
    <w:p w:rsidR="0068395A" w:rsidRDefault="0068395A" w:rsidP="009F3710">
      <w:pPr>
        <w:pStyle w:val="bolukcizgisi"/>
        <w:spacing w:before="120" w:after="120"/>
        <w:ind w:left="1080" w:hanging="1080"/>
      </w:pPr>
      <w:r w:rsidRPr="0068395A">
        <w:t>Türkeş</w:t>
      </w:r>
      <w:r>
        <w:t>, M. (2008)</w:t>
      </w:r>
      <w:r w:rsidRPr="0068395A">
        <w:t xml:space="preserve"> </w:t>
      </w:r>
      <w:r w:rsidR="0045053C" w:rsidRPr="0045053C">
        <w:rPr>
          <w:i/>
        </w:rPr>
        <w:t>“</w:t>
      </w:r>
      <w:r w:rsidRPr="0045053C">
        <w:rPr>
          <w:i/>
        </w:rPr>
        <w:t>İklim Değişikliğiyle Savaşım, Kyoto Protokolü ve Türkiye”,</w:t>
      </w:r>
      <w:r w:rsidR="003C70B6">
        <w:t xml:space="preserve"> </w:t>
      </w:r>
      <w:r w:rsidR="003C70B6" w:rsidRPr="00CF3091">
        <w:rPr>
          <w:i/>
        </w:rPr>
        <w:t>Mülkiye 259,</w:t>
      </w:r>
      <w:r w:rsidR="003C70B6">
        <w:t xml:space="preserve"> ss. </w:t>
      </w:r>
      <w:r w:rsidRPr="0068395A">
        <w:t>101-131.</w:t>
      </w:r>
    </w:p>
    <w:p w:rsidR="001A5652" w:rsidRPr="001B4E12" w:rsidRDefault="00BB55C3" w:rsidP="009F3710">
      <w:pPr>
        <w:pStyle w:val="bolukcizgisi"/>
        <w:spacing w:before="120" w:after="120"/>
        <w:ind w:left="1080" w:hanging="1080"/>
      </w:pPr>
      <w:r>
        <w:t xml:space="preserve">Türkeş, M. (2009) </w:t>
      </w:r>
      <w:r w:rsidRPr="00CF3091">
        <w:t>“Kopenhag iklim değişikliği zirvesi ve Türkiye”</w:t>
      </w:r>
      <w:r w:rsidR="00CF3091">
        <w:t>,</w:t>
      </w:r>
      <w:r w:rsidRPr="00BB55C3">
        <w:t xml:space="preserve"> </w:t>
      </w:r>
      <w:r w:rsidRPr="00EA19C0">
        <w:t>Cum</w:t>
      </w:r>
      <w:r w:rsidR="003C70B6" w:rsidRPr="00EA19C0">
        <w:t>huriyet Bilim ve Teknoloji 1185,</w:t>
      </w:r>
      <w:r w:rsidR="003C70B6">
        <w:t xml:space="preserve"> ss.</w:t>
      </w:r>
      <w:r w:rsidRPr="00BB55C3">
        <w:t xml:space="preserve"> 14-15.</w:t>
      </w:r>
    </w:p>
    <w:p w:rsidR="001A5652" w:rsidRDefault="001A5652" w:rsidP="009F3710">
      <w:pPr>
        <w:pStyle w:val="bolukcizgisi"/>
        <w:spacing w:before="120" w:after="120"/>
        <w:ind w:left="1080" w:hanging="1080"/>
      </w:pPr>
      <w:r w:rsidRPr="001A5652">
        <w:t xml:space="preserve"> Türkeş, </w:t>
      </w:r>
      <w:r w:rsidRPr="006F1223">
        <w:t xml:space="preserve">M. ve Bilir, P. (2012) </w:t>
      </w:r>
      <w:r w:rsidRPr="00CF3091">
        <w:t>“Küreselleşme ve kapitalist esneklik düzenekleri kıskacında iklim değişikliğiyle savaşım, toplumsal gönenç(sizlik), uluslararası güvenlik(sizlik) ve iklim etiği”</w:t>
      </w:r>
      <w:r w:rsidR="00EA19C0">
        <w:t>,</w:t>
      </w:r>
      <w:r w:rsidRPr="006F1223">
        <w:t xml:space="preserve"> Kapitalizmin Kıskacında Doğa, Toplum ve Teknoloji, 7. Karaburun Bilim Kongresi, 5–9 Eylül 2012: Karaburun, İzmir.</w:t>
      </w:r>
    </w:p>
    <w:p w:rsidR="00CB54B4" w:rsidRDefault="00D46A56" w:rsidP="009F3710">
      <w:pPr>
        <w:pStyle w:val="bolukcizgisi"/>
        <w:spacing w:before="120" w:after="120"/>
        <w:ind w:left="1080" w:hanging="1080"/>
      </w:pPr>
      <w:r w:rsidRPr="004E6639">
        <w:t>UEP (2010) Türkiye’nin İklim Değişikliği Ulusal Eylem Planın Geliştirilmesi Projesi,</w:t>
      </w:r>
      <w:r w:rsidR="004E6639" w:rsidRPr="004E6639">
        <w:t xml:space="preserve"> Mevcut Durum Değerlendirme Raporu, (2. Taslak)</w:t>
      </w:r>
      <w:r w:rsidR="001E5F31">
        <w:t>.</w:t>
      </w:r>
    </w:p>
    <w:p w:rsidR="001E5F31" w:rsidRDefault="001E5F31" w:rsidP="009F3710">
      <w:pPr>
        <w:pStyle w:val="GvdeMetniGirintisi"/>
        <w:spacing w:before="120" w:after="120" w:line="240" w:lineRule="auto"/>
        <w:ind w:left="1134" w:hanging="1134"/>
      </w:pPr>
      <w:r>
        <w:lastRenderedPageBreak/>
        <w:t>Uğur</w:t>
      </w:r>
      <w:r w:rsidRPr="00153C4A">
        <w:t xml:space="preserve">, </w:t>
      </w:r>
      <w:r>
        <w:t>A. (2009</w:t>
      </w:r>
      <w:r w:rsidR="00247F96">
        <w:t xml:space="preserve">) </w:t>
      </w:r>
      <w:r w:rsidRPr="00247F96">
        <w:rPr>
          <w:i/>
        </w:rPr>
        <w:t>Hisse Senedi Getirilerinin Panel Veri Analizi ile Tahmini: İstanbul Menkul Kıymetler Borsasında Bir İnceleme</w:t>
      </w:r>
      <w:r w:rsidRPr="00153C4A">
        <w:t xml:space="preserve">, </w:t>
      </w:r>
      <w:r w:rsidR="00247F96">
        <w:t>Yayın</w:t>
      </w:r>
      <w:r w:rsidR="00247F96" w:rsidRPr="00153C4A">
        <w:t>la</w:t>
      </w:r>
      <w:r w:rsidR="00247F96">
        <w:t xml:space="preserve">nmamış Doktora Tezi, </w:t>
      </w:r>
      <w:r>
        <w:t>İnönü</w:t>
      </w:r>
      <w:r w:rsidRPr="00153C4A">
        <w:t xml:space="preserve"> Üniversitesi S</w:t>
      </w:r>
      <w:r w:rsidR="00247F96">
        <w:t xml:space="preserve">osyal </w:t>
      </w:r>
      <w:r w:rsidRPr="00153C4A">
        <w:t>B</w:t>
      </w:r>
      <w:r w:rsidR="00247F96">
        <w:t xml:space="preserve">ilimler </w:t>
      </w:r>
      <w:r w:rsidR="007060C6">
        <w:t>E</w:t>
      </w:r>
      <w:r w:rsidR="00247F96">
        <w:t>nstitüsü:</w:t>
      </w:r>
      <w:r>
        <w:t xml:space="preserve"> Malatya.</w:t>
      </w:r>
    </w:p>
    <w:p w:rsidR="00C77EBB" w:rsidRDefault="00C77EBB" w:rsidP="009F3710">
      <w:pPr>
        <w:pStyle w:val="GvdeMetniGirintisi"/>
        <w:spacing w:before="120" w:after="120" w:line="240" w:lineRule="auto"/>
        <w:ind w:left="1080" w:hanging="1080"/>
      </w:pPr>
      <w:r w:rsidRPr="00AB2747">
        <w:t xml:space="preserve">UNFCCC (2001) “Proposal to Amend the List in Annexes I and II to the Convention by Removing the Name of Turkey”,  FCCC/SBI/2001/L.8. Decision 7/CP.7, SBI, Fifteenth Session, Marrakesh, 29 October  - 6 November 2001.  </w:t>
      </w:r>
    </w:p>
    <w:p w:rsidR="007701FD" w:rsidRDefault="007701FD" w:rsidP="009F3710">
      <w:pPr>
        <w:pStyle w:val="GvdeMetniGirintisi"/>
        <w:spacing w:before="120" w:after="120" w:line="240" w:lineRule="auto"/>
        <w:ind w:left="1080" w:hanging="1080"/>
      </w:pPr>
      <w:r>
        <w:t xml:space="preserve">UNFCCC (2012) Execitive Board Annual Report 2012, Clean Development Mechanism, </w:t>
      </w:r>
      <w:r w:rsidRPr="007701FD">
        <w:t>http://unfccc.int/resource/docs/2012/cmp8/eng/03p02.pdf</w:t>
      </w:r>
      <w:r>
        <w:t>, (23.10.2013)</w:t>
      </w:r>
      <w:r w:rsidR="00CD5163">
        <w:t>.</w:t>
      </w:r>
      <w:r w:rsidRPr="007701FD">
        <w:t xml:space="preserve"> </w:t>
      </w:r>
    </w:p>
    <w:p w:rsidR="00CB54B4" w:rsidRPr="004E6639" w:rsidRDefault="00CB54B4" w:rsidP="009F3710">
      <w:pPr>
        <w:pStyle w:val="bolukcizgisi"/>
        <w:spacing w:before="120" w:after="120"/>
        <w:ind w:left="1080" w:hanging="1080"/>
      </w:pPr>
      <w:r>
        <w:t>UNFCCC, (2013) United Nat</w:t>
      </w:r>
      <w:r w:rsidR="00EF3468">
        <w:t xml:space="preserve">ions Framework Convention on Climate Change, </w:t>
      </w:r>
      <w:r w:rsidR="00EF3468" w:rsidRPr="00EF3468">
        <w:t>http://unfccc.int/2860.php</w:t>
      </w:r>
      <w:r w:rsidR="00EF3468">
        <w:t>, (07.10.2013)</w:t>
      </w:r>
      <w:r w:rsidR="00CD5163">
        <w:t>.</w:t>
      </w:r>
    </w:p>
    <w:p w:rsidR="00BB06FF" w:rsidRDefault="00BB06FF" w:rsidP="009F3710">
      <w:pPr>
        <w:spacing w:before="120" w:after="120"/>
        <w:ind w:left="1134" w:hanging="1134"/>
        <w:jc w:val="both"/>
      </w:pPr>
      <w:r>
        <w:t>WCI, (1998) Coal Facts, World Coal Institute (WCI), London.</w:t>
      </w:r>
    </w:p>
    <w:p w:rsidR="00D43304" w:rsidRDefault="00D43304" w:rsidP="009F3710">
      <w:pPr>
        <w:spacing w:before="120" w:after="120"/>
        <w:ind w:left="1138" w:hanging="1138"/>
        <w:jc w:val="both"/>
      </w:pPr>
      <w:r>
        <w:t xml:space="preserve">Westerlund, J. (2008) “Panel cointegration tests of the Fisher effect”,  </w:t>
      </w:r>
      <w:r w:rsidRPr="00D43304">
        <w:rPr>
          <w:i/>
        </w:rPr>
        <w:t>Journal of Applied Econometrics 23,</w:t>
      </w:r>
      <w:r>
        <w:t xml:space="preserve"> </w:t>
      </w:r>
      <w:r w:rsidR="003C70B6">
        <w:t xml:space="preserve">ss. </w:t>
      </w:r>
      <w:r>
        <w:t>193-233.</w:t>
      </w:r>
    </w:p>
    <w:p w:rsidR="003A501F" w:rsidRDefault="003A501F" w:rsidP="009F3710">
      <w:pPr>
        <w:spacing w:before="120" w:after="120"/>
        <w:ind w:left="1138" w:hanging="1138"/>
        <w:jc w:val="both"/>
      </w:pPr>
      <w:r>
        <w:t>WEO, (2010) World Energy Ourlook 2010, International Energy Agency, www.worldenergyoutlook.org.</w:t>
      </w:r>
    </w:p>
    <w:p w:rsidR="00296237" w:rsidRDefault="00296237" w:rsidP="009F3710">
      <w:pPr>
        <w:spacing w:before="120" w:after="120"/>
        <w:ind w:left="1138" w:hanging="1138"/>
        <w:jc w:val="both"/>
      </w:pPr>
      <w:r>
        <w:t>WEO, (2011) World Energy Ourlook 2011, International Energy Agency, www.worldenergyoutlook.org.</w:t>
      </w:r>
    </w:p>
    <w:p w:rsidR="007D48F8" w:rsidRDefault="007D48F8" w:rsidP="009F3710">
      <w:pPr>
        <w:spacing w:before="120" w:after="120"/>
        <w:ind w:left="1134" w:hanging="1134"/>
        <w:jc w:val="both"/>
      </w:pPr>
      <w:r>
        <w:t>WEO, (2012) World Energy Ourlook 2012, International Energy Agency, www.worldenergyoutlook.org.</w:t>
      </w:r>
    </w:p>
    <w:p w:rsidR="0008600E" w:rsidRDefault="0008600E" w:rsidP="009F3710">
      <w:pPr>
        <w:autoSpaceDE w:val="0"/>
        <w:autoSpaceDN w:val="0"/>
        <w:adjustRightInd w:val="0"/>
        <w:spacing w:before="120" w:after="120"/>
        <w:ind w:left="1134" w:hanging="1134"/>
        <w:jc w:val="both"/>
      </w:pPr>
      <w:r w:rsidRPr="0008600E">
        <w:t>WMO, (1999) WMO Statement on the Status of the Global Climate in 1998. WMO-No. 896, World Meteorological Organization, Geneva.</w:t>
      </w:r>
    </w:p>
    <w:p w:rsidR="00E433E9" w:rsidRPr="0008600E" w:rsidRDefault="00E433E9" w:rsidP="009F3710">
      <w:pPr>
        <w:autoSpaceDE w:val="0"/>
        <w:autoSpaceDN w:val="0"/>
        <w:adjustRightInd w:val="0"/>
        <w:spacing w:before="120" w:after="120"/>
        <w:ind w:left="1134" w:hanging="1134"/>
        <w:jc w:val="both"/>
      </w:pPr>
      <w:r>
        <w:t>Wooldridge,</w:t>
      </w:r>
      <w:r w:rsidR="001F5923">
        <w:t xml:space="preserve"> </w:t>
      </w:r>
      <w:r>
        <w:t xml:space="preserve"> J.</w:t>
      </w:r>
      <w:r w:rsidRPr="00E433E9">
        <w:t xml:space="preserve"> M</w:t>
      </w:r>
      <w:proofErr w:type="gramStart"/>
      <w:r w:rsidRPr="00E433E9">
        <w:t>.</w:t>
      </w:r>
      <w:r>
        <w:t>,</w:t>
      </w:r>
      <w:proofErr w:type="gramEnd"/>
      <w:r w:rsidRPr="00E433E9">
        <w:t xml:space="preserve"> (2009), Introductory Econometrics A Modern Approach, Forth Edition, USA: South-Western Cengage Learning.</w:t>
      </w:r>
    </w:p>
    <w:p w:rsidR="005059D3" w:rsidRDefault="005059D3" w:rsidP="009F3710">
      <w:pPr>
        <w:pStyle w:val="kutu1"/>
        <w:spacing w:before="120" w:after="120" w:afterAutospacing="0"/>
        <w:ind w:left="1080" w:right="74" w:hanging="1080"/>
        <w:rPr>
          <w:rFonts w:ascii="Times New Roman" w:hAnsi="Times New Roman" w:cs="Times New Roman"/>
          <w:sz w:val="24"/>
          <w:szCs w:val="24"/>
        </w:rPr>
      </w:pPr>
      <w:r w:rsidRPr="005059D3">
        <w:rPr>
          <w:rFonts w:ascii="Times New Roman" w:hAnsi="Times New Roman" w:cs="Times New Roman"/>
          <w:sz w:val="24"/>
          <w:szCs w:val="24"/>
        </w:rPr>
        <w:t xml:space="preserve">Yaylalı, B. (2008) </w:t>
      </w:r>
      <w:r w:rsidRPr="005059D3">
        <w:rPr>
          <w:rFonts w:ascii="Times New Roman" w:hAnsi="Times New Roman" w:cs="Times New Roman"/>
          <w:i/>
          <w:sz w:val="24"/>
          <w:szCs w:val="24"/>
        </w:rPr>
        <w:t xml:space="preserve">Yenilenebilir Enerji Kaynakları Kullanımı İle Bölgesel Ölçekte </w:t>
      </w:r>
      <w:r w:rsidR="003463A8">
        <w:rPr>
          <w:rFonts w:ascii="Times New Roman" w:hAnsi="Times New Roman" w:cs="Times New Roman"/>
          <w:i/>
          <w:sz w:val="24"/>
          <w:szCs w:val="24"/>
        </w:rPr>
        <w:t>Sera Gazı</w:t>
      </w:r>
      <w:r w:rsidRPr="005059D3">
        <w:rPr>
          <w:rFonts w:ascii="Times New Roman" w:hAnsi="Times New Roman" w:cs="Times New Roman"/>
          <w:i/>
          <w:sz w:val="24"/>
          <w:szCs w:val="24"/>
        </w:rPr>
        <w:t xml:space="preserve"> Emisyonu Azaltımı İçin Örnek Bir Çalışma</w:t>
      </w:r>
      <w:r w:rsidRPr="005059D3">
        <w:rPr>
          <w:rFonts w:ascii="Times New Roman" w:hAnsi="Times New Roman" w:cs="Times New Roman"/>
          <w:sz w:val="24"/>
          <w:szCs w:val="24"/>
        </w:rPr>
        <w:t>, Dumlupınar Üniversitesi, Fen Bilimleri Enstitüsü, Makine Mühendisliği Anabilim Dalı,</w:t>
      </w:r>
      <w:r>
        <w:rPr>
          <w:rFonts w:ascii="Times New Roman" w:hAnsi="Times New Roman" w:cs="Times New Roman"/>
          <w:sz w:val="24"/>
          <w:szCs w:val="24"/>
        </w:rPr>
        <w:t xml:space="preserve"> Yayımlanmış Yüksek Lisans Tezi, Kütahya.</w:t>
      </w:r>
    </w:p>
    <w:p w:rsidR="004B0E10" w:rsidRDefault="004B0E10" w:rsidP="009F3710">
      <w:pPr>
        <w:pStyle w:val="GvdeMetniGirintisi"/>
        <w:spacing w:before="120" w:after="120" w:line="240" w:lineRule="auto"/>
        <w:ind w:left="1134" w:hanging="1134"/>
      </w:pPr>
      <w:r>
        <w:t>Yılancı, V. (2012</w:t>
      </w:r>
      <w:r w:rsidRPr="00153C4A">
        <w:t>) “</w:t>
      </w:r>
      <w:r>
        <w:t>Yumuşak Geçişli Panel Regresyon Modelleri ve E7 Ülkerinde Çevresel Kuznets Eğrisi Hipotezinin Sınanması</w:t>
      </w:r>
      <w:r w:rsidRPr="00153C4A">
        <w:t xml:space="preserve">”, </w:t>
      </w:r>
      <w:r>
        <w:t>İstanbul Üniversitesi,</w:t>
      </w:r>
      <w:r w:rsidRPr="00153C4A">
        <w:t xml:space="preserve"> Sosyal Bil</w:t>
      </w:r>
      <w:r>
        <w:t>imler</w:t>
      </w:r>
      <w:r w:rsidRPr="00153C4A">
        <w:t xml:space="preserve"> Ens</w:t>
      </w:r>
      <w:r>
        <w:t>titüsü, Ekonometri Anabilim Dalı,</w:t>
      </w:r>
      <w:r w:rsidRPr="00153C4A">
        <w:t xml:space="preserve"> Yayımla</w:t>
      </w:r>
      <w:r>
        <w:t>nmış Doktora Tezi, İstanbul.</w:t>
      </w:r>
    </w:p>
    <w:p w:rsidR="008B5E7C" w:rsidRDefault="008B5E7C" w:rsidP="009F3710">
      <w:pPr>
        <w:pStyle w:val="Default"/>
        <w:spacing w:before="120" w:after="120"/>
        <w:ind w:left="1134" w:hanging="1134"/>
        <w:jc w:val="both"/>
        <w:rPr>
          <w:rFonts w:ascii="Times New Roman" w:hAnsi="Times New Roman" w:cs="Times New Roman"/>
          <w:sz w:val="24"/>
          <w:szCs w:val="24"/>
        </w:rPr>
      </w:pPr>
      <w:r w:rsidRPr="00B03535">
        <w:rPr>
          <w:rFonts w:ascii="Times New Roman" w:hAnsi="Times New Roman" w:cs="Times New Roman"/>
          <w:sz w:val="24"/>
          <w:szCs w:val="24"/>
        </w:rPr>
        <w:t>Yıldırım, B. (2013) “Ticari Açıklık ve CO</w:t>
      </w:r>
      <w:r w:rsidRPr="00AB106A">
        <w:rPr>
          <w:rFonts w:ascii="Times New Roman" w:hAnsi="Times New Roman" w:cs="Times New Roman"/>
          <w:sz w:val="24"/>
          <w:szCs w:val="24"/>
          <w:vertAlign w:val="subscript"/>
        </w:rPr>
        <w:t>2</w:t>
      </w:r>
      <w:r w:rsidRPr="00B03535">
        <w:rPr>
          <w:rFonts w:ascii="Times New Roman" w:hAnsi="Times New Roman" w:cs="Times New Roman"/>
          <w:sz w:val="24"/>
          <w:szCs w:val="24"/>
        </w:rPr>
        <w:t xml:space="preserve"> Emisyonu: Karşılaştırmalı Ülke Analizi”</w:t>
      </w:r>
      <w:r>
        <w:rPr>
          <w:rFonts w:ascii="Times New Roman" w:hAnsi="Times New Roman" w:cs="Times New Roman"/>
          <w:sz w:val="24"/>
          <w:szCs w:val="24"/>
        </w:rPr>
        <w:t xml:space="preserve"> </w:t>
      </w:r>
      <w:r w:rsidRPr="00F91CED">
        <w:rPr>
          <w:rFonts w:ascii="Times New Roman" w:hAnsi="Times New Roman" w:cs="Times New Roman"/>
          <w:i/>
          <w:sz w:val="24"/>
          <w:szCs w:val="24"/>
        </w:rPr>
        <w:t>International Journal of Social Science 6</w:t>
      </w:r>
      <w:r>
        <w:rPr>
          <w:rFonts w:ascii="Times New Roman" w:hAnsi="Times New Roman" w:cs="Times New Roman"/>
          <w:i/>
          <w:sz w:val="24"/>
          <w:szCs w:val="24"/>
        </w:rPr>
        <w:t>,</w:t>
      </w:r>
      <w:r>
        <w:rPr>
          <w:rFonts w:ascii="Times New Roman" w:hAnsi="Times New Roman" w:cs="Times New Roman"/>
          <w:sz w:val="24"/>
          <w:szCs w:val="24"/>
        </w:rPr>
        <w:t xml:space="preserve"> 1, </w:t>
      </w:r>
      <w:r w:rsidR="003C70B6">
        <w:rPr>
          <w:rFonts w:ascii="Times New Roman" w:hAnsi="Times New Roman" w:cs="Times New Roman"/>
          <w:sz w:val="24"/>
          <w:szCs w:val="24"/>
        </w:rPr>
        <w:t xml:space="preserve">ss. </w:t>
      </w:r>
      <w:r>
        <w:rPr>
          <w:rFonts w:ascii="Times New Roman" w:hAnsi="Times New Roman" w:cs="Times New Roman"/>
          <w:sz w:val="24"/>
          <w:szCs w:val="24"/>
        </w:rPr>
        <w:t>1611-1621.</w:t>
      </w:r>
    </w:p>
    <w:p w:rsidR="008B5E7C" w:rsidRDefault="0066341E" w:rsidP="009F3710">
      <w:pPr>
        <w:pStyle w:val="kutu1"/>
        <w:spacing w:before="120" w:after="120" w:afterAutospacing="0"/>
        <w:ind w:left="1080" w:right="74" w:hanging="1080"/>
        <w:rPr>
          <w:rFonts w:ascii="Times New Roman" w:hAnsi="Times New Roman" w:cs="Times New Roman"/>
          <w:sz w:val="24"/>
          <w:szCs w:val="24"/>
        </w:rPr>
      </w:pPr>
      <w:r>
        <w:rPr>
          <w:rFonts w:ascii="Times New Roman" w:hAnsi="Times New Roman" w:cs="Times New Roman"/>
          <w:sz w:val="24"/>
          <w:szCs w:val="24"/>
        </w:rPr>
        <w:t xml:space="preserve">Yılmazer, M. ve Ersoy, B.A. (2009) </w:t>
      </w:r>
      <w:r w:rsidR="00BE354A">
        <w:rPr>
          <w:rFonts w:ascii="Times New Roman" w:hAnsi="Times New Roman" w:cs="Times New Roman"/>
          <w:sz w:val="24"/>
          <w:szCs w:val="24"/>
        </w:rPr>
        <w:t>“</w:t>
      </w:r>
      <w:r>
        <w:rPr>
          <w:rFonts w:ascii="Times New Roman" w:hAnsi="Times New Roman" w:cs="Times New Roman"/>
          <w:sz w:val="24"/>
          <w:szCs w:val="24"/>
        </w:rPr>
        <w:t xml:space="preserve">Kirlilik Sığınağı Hipotezi, Doğrudan Yabancı Yatırımlar ve Kamu Politikaları” </w:t>
      </w:r>
      <w:r w:rsidR="00A07164" w:rsidRPr="00A07164">
        <w:rPr>
          <w:rFonts w:ascii="Times New Roman" w:hAnsi="Times New Roman" w:cs="Times New Roman"/>
          <w:i/>
          <w:sz w:val="24"/>
          <w:szCs w:val="24"/>
        </w:rPr>
        <w:t>Ege Akademik Bakış 9,</w:t>
      </w:r>
      <w:r w:rsidR="00A07164">
        <w:rPr>
          <w:rFonts w:ascii="Times New Roman" w:hAnsi="Times New Roman" w:cs="Times New Roman"/>
          <w:sz w:val="24"/>
          <w:szCs w:val="24"/>
        </w:rPr>
        <w:t xml:space="preserve"> </w:t>
      </w:r>
      <w:r w:rsidR="003C70B6">
        <w:rPr>
          <w:rFonts w:ascii="Times New Roman" w:hAnsi="Times New Roman" w:cs="Times New Roman"/>
          <w:sz w:val="24"/>
          <w:szCs w:val="24"/>
        </w:rPr>
        <w:t xml:space="preserve">ss. </w:t>
      </w:r>
      <w:r w:rsidR="00A07164">
        <w:rPr>
          <w:rFonts w:ascii="Times New Roman" w:hAnsi="Times New Roman" w:cs="Times New Roman"/>
          <w:sz w:val="24"/>
          <w:szCs w:val="24"/>
        </w:rPr>
        <w:t>1441-1462.</w:t>
      </w:r>
    </w:p>
    <w:p w:rsidR="000A5875" w:rsidRPr="005059D3" w:rsidRDefault="000A5875" w:rsidP="009F3710">
      <w:pPr>
        <w:pStyle w:val="kutu1"/>
        <w:spacing w:before="120" w:after="120" w:afterAutospacing="0"/>
        <w:ind w:left="1080" w:right="74" w:hanging="1080"/>
        <w:rPr>
          <w:rFonts w:ascii="Times New Roman" w:hAnsi="Times New Roman" w:cs="Times New Roman"/>
          <w:sz w:val="24"/>
          <w:szCs w:val="24"/>
        </w:rPr>
      </w:pPr>
      <w:r>
        <w:rPr>
          <w:rFonts w:ascii="Times New Roman" w:hAnsi="Times New Roman" w:cs="Times New Roman"/>
          <w:sz w:val="24"/>
          <w:szCs w:val="24"/>
        </w:rPr>
        <w:t xml:space="preserve">Zellner, A. (1962) “An Efficient Method of Estimating Seemingly Unrelated Regressions and Tests for Aggregation Bias”, </w:t>
      </w:r>
      <w:r w:rsidR="005167C1">
        <w:rPr>
          <w:rFonts w:ascii="Times New Roman" w:hAnsi="Times New Roman" w:cs="Times New Roman"/>
          <w:sz w:val="24"/>
          <w:szCs w:val="24"/>
        </w:rPr>
        <w:t xml:space="preserve">Journal of the </w:t>
      </w:r>
      <w:r>
        <w:rPr>
          <w:rFonts w:ascii="Times New Roman" w:hAnsi="Times New Roman" w:cs="Times New Roman"/>
          <w:sz w:val="24"/>
          <w:szCs w:val="24"/>
        </w:rPr>
        <w:t xml:space="preserve">American Statistical Association </w:t>
      </w:r>
      <w:r w:rsidR="005167C1">
        <w:rPr>
          <w:rFonts w:ascii="Times New Roman" w:hAnsi="Times New Roman" w:cs="Times New Roman"/>
          <w:sz w:val="24"/>
          <w:szCs w:val="24"/>
        </w:rPr>
        <w:t xml:space="preserve">57, </w:t>
      </w:r>
      <w:r w:rsidR="003C70B6">
        <w:rPr>
          <w:rFonts w:ascii="Times New Roman" w:hAnsi="Times New Roman" w:cs="Times New Roman"/>
          <w:sz w:val="24"/>
          <w:szCs w:val="24"/>
        </w:rPr>
        <w:t xml:space="preserve">ss. </w:t>
      </w:r>
      <w:r w:rsidR="005167C1">
        <w:rPr>
          <w:rFonts w:ascii="Times New Roman" w:hAnsi="Times New Roman" w:cs="Times New Roman"/>
          <w:sz w:val="24"/>
          <w:szCs w:val="24"/>
        </w:rPr>
        <w:t>348-368.</w:t>
      </w:r>
    </w:p>
    <w:p w:rsidR="0044255F" w:rsidRDefault="0044255F" w:rsidP="009F3710">
      <w:pPr>
        <w:spacing w:before="120" w:after="120"/>
        <w:ind w:left="1134" w:hanging="1134"/>
        <w:jc w:val="both"/>
      </w:pPr>
      <w:r w:rsidRPr="00F2135B">
        <w:t xml:space="preserve">Zhang, F. Q. (2000) “Can China Afford to Commit Itself an Emission Cap? An Econometric and Political Analysis”, </w:t>
      </w:r>
      <w:r w:rsidRPr="00F2135B">
        <w:rPr>
          <w:i/>
          <w:iCs/>
        </w:rPr>
        <w:t>Energy Economics</w:t>
      </w:r>
      <w:r w:rsidR="003C70B6">
        <w:t xml:space="preserve">, Vol. 22, ss. </w:t>
      </w:r>
      <w:r w:rsidRPr="00F2135B">
        <w:t>587-614.</w:t>
      </w:r>
    </w:p>
    <w:p w:rsidR="00056830" w:rsidRDefault="00056830" w:rsidP="009F3710">
      <w:pPr>
        <w:spacing w:before="120" w:after="120"/>
        <w:ind w:left="1134" w:hanging="1134"/>
        <w:jc w:val="both"/>
      </w:pPr>
      <w:r>
        <w:lastRenderedPageBreak/>
        <w:t xml:space="preserve">Zhang, Y.J. (2011) “The Impact of Financial Development on Carbon Emssions: An Emprical Analysis in Chine”, </w:t>
      </w:r>
      <w:r w:rsidRPr="00056830">
        <w:rPr>
          <w:i/>
        </w:rPr>
        <w:t>Energy Policy,</w:t>
      </w:r>
      <w:r>
        <w:t xml:space="preserve"> 39, </w:t>
      </w:r>
      <w:r w:rsidR="003C70B6">
        <w:t xml:space="preserve">ss. </w:t>
      </w:r>
      <w:r>
        <w:t>2197</w:t>
      </w:r>
      <w:r w:rsidR="001B6E98">
        <w:t>-2203.</w:t>
      </w:r>
    </w:p>
    <w:p w:rsidR="001B6E98" w:rsidRDefault="00CD5163" w:rsidP="009F3710">
      <w:pPr>
        <w:spacing w:before="120" w:after="120"/>
        <w:ind w:left="1134" w:hanging="1134"/>
        <w:jc w:val="both"/>
      </w:pPr>
      <w:r>
        <w:t>Xuemei, H</w:t>
      </w:r>
      <w:proofErr w:type="gramStart"/>
      <w:r>
        <w:t>.,</w:t>
      </w:r>
      <w:proofErr w:type="gramEnd"/>
      <w:r>
        <w:t xml:space="preserve"> Zhang, M. and</w:t>
      </w:r>
      <w:r w:rsidR="001B6E98">
        <w:t xml:space="preserve"> Liu, S. (2011) “Research on the Relationship of Economic G</w:t>
      </w:r>
      <w:r w:rsidR="001B6E98" w:rsidRPr="00760F2A">
        <w:t>rowth and</w:t>
      </w:r>
      <w:r w:rsidR="001B6E98">
        <w:t xml:space="preserve"> Environmental Pollution in Shandong Province B</w:t>
      </w:r>
      <w:r w:rsidR="001B6E98" w:rsidRPr="00760F2A">
        <w:t>ased on</w:t>
      </w:r>
      <w:r w:rsidR="001B6E98">
        <w:t xml:space="preserve"> Environmental Kuznets K</w:t>
      </w:r>
      <w:r w:rsidR="001B6E98" w:rsidRPr="00760F2A">
        <w:t>urve</w:t>
      </w:r>
      <w:r w:rsidR="001B6E98">
        <w:t xml:space="preserve">” </w:t>
      </w:r>
      <w:r w:rsidR="001B6E98">
        <w:rPr>
          <w:i/>
        </w:rPr>
        <w:t>Energy Procedia 5,</w:t>
      </w:r>
      <w:r w:rsidR="001B6E98" w:rsidRPr="00760F2A">
        <w:rPr>
          <w:i/>
        </w:rPr>
        <w:t xml:space="preserve"> </w:t>
      </w:r>
      <w:r w:rsidR="003C70B6">
        <w:t xml:space="preserve">ss. </w:t>
      </w:r>
      <w:r w:rsidR="001B6E98" w:rsidRPr="00760F2A">
        <w:t>508–512.</w:t>
      </w:r>
    </w:p>
    <w:p w:rsidR="003A081E" w:rsidRDefault="003A081E" w:rsidP="00932893">
      <w:pPr>
        <w:spacing w:before="240" w:after="240" w:line="360" w:lineRule="auto"/>
        <w:ind w:left="1134" w:hanging="1134"/>
        <w:jc w:val="both"/>
        <w:sectPr w:rsidR="003A081E" w:rsidSect="008522AA">
          <w:pgSz w:w="11906" w:h="16838"/>
          <w:pgMar w:top="1701" w:right="1134" w:bottom="1134" w:left="2268" w:header="709" w:footer="709" w:gutter="0"/>
          <w:cols w:space="708"/>
          <w:docGrid w:linePitch="360"/>
        </w:sectPr>
      </w:pPr>
    </w:p>
    <w:p w:rsidR="0044255F" w:rsidRPr="00D63D48" w:rsidRDefault="00D63D48" w:rsidP="00E71421">
      <w:pPr>
        <w:pStyle w:val="Balk1"/>
      </w:pPr>
      <w:bookmarkStart w:id="199" w:name="_Toc384824042"/>
      <w:r>
        <w:lastRenderedPageBreak/>
        <w:t>İNTERNET ADRESLERİ</w:t>
      </w:r>
      <w:bookmarkEnd w:id="199"/>
    </w:p>
    <w:p w:rsidR="00925996" w:rsidRDefault="00A338D4" w:rsidP="005A4530">
      <w:pPr>
        <w:spacing w:before="120" w:after="120"/>
      </w:pPr>
      <w:r>
        <w:t>1-</w:t>
      </w:r>
      <w:r w:rsidR="00737FED">
        <w:t xml:space="preserve"> </w:t>
      </w:r>
      <w:r w:rsidR="008C4655" w:rsidRPr="003037B5">
        <w:t>http://www.esrl.noaa.gov/gmd/obop/mlo/index.html</w:t>
      </w:r>
      <w:r w:rsidR="008C4655" w:rsidRPr="008C4655">
        <w:t>,</w:t>
      </w:r>
      <w:r w:rsidR="008C4655">
        <w:t xml:space="preserve"> </w:t>
      </w:r>
      <w:r w:rsidR="00925996" w:rsidRPr="00925996">
        <w:t>Erişim: 17.12.2012</w:t>
      </w:r>
      <w:r w:rsidR="00925996">
        <w:t>.</w:t>
      </w:r>
    </w:p>
    <w:p w:rsidR="003F056E" w:rsidRDefault="00E1159A" w:rsidP="005A4530">
      <w:pPr>
        <w:spacing w:before="120" w:after="120"/>
      </w:pPr>
      <w:r>
        <w:t>2-</w:t>
      </w:r>
      <w:r w:rsidR="00737FED">
        <w:t xml:space="preserve"> </w:t>
      </w:r>
      <w:r w:rsidR="008C4655" w:rsidRPr="003037B5">
        <w:t>http://www.esrl.noaa.gov/gmd/ccgg/trends/index.html#global</w:t>
      </w:r>
      <w:r w:rsidR="003F056E" w:rsidRPr="008C4655">
        <w:t>,</w:t>
      </w:r>
      <w:r w:rsidR="008C4655">
        <w:t xml:space="preserve"> </w:t>
      </w:r>
      <w:r w:rsidR="003F056E" w:rsidRPr="003F056E">
        <w:t>Erişim: 17.12.2012.</w:t>
      </w:r>
    </w:p>
    <w:p w:rsidR="008D3763" w:rsidRDefault="00E1159A" w:rsidP="005A4530">
      <w:pPr>
        <w:spacing w:before="120" w:after="120"/>
        <w:ind w:left="270" w:hanging="270"/>
      </w:pPr>
      <w:r>
        <w:t>3-</w:t>
      </w:r>
      <w:r w:rsidR="00737FED">
        <w:t xml:space="preserve"> </w:t>
      </w:r>
      <w:r w:rsidR="008D3763" w:rsidRPr="003037B5">
        <w:t>http://www.cevreonline.com/kuresel/kuresel%20isinma%20nedir.htm</w:t>
      </w:r>
      <w:r w:rsidR="008D3763" w:rsidRPr="008D3763">
        <w:t xml:space="preserve">, </w:t>
      </w:r>
      <w:r w:rsidR="008D3763">
        <w:t>Erişim:</w:t>
      </w:r>
      <w:r w:rsidR="00414C37">
        <w:t xml:space="preserve"> </w:t>
      </w:r>
      <w:r w:rsidR="008D3763">
        <w:t>28.12.2012</w:t>
      </w:r>
    </w:p>
    <w:p w:rsidR="003037B5" w:rsidRDefault="003037B5" w:rsidP="005A4530">
      <w:pPr>
        <w:spacing w:before="120" w:after="120"/>
      </w:pPr>
      <w:r>
        <w:t xml:space="preserve">4- </w:t>
      </w:r>
      <w:r w:rsidRPr="003037B5">
        <w:t>http://www.atmo.arizona.edu/students/courselinks/fall12/atmo336/lectures/sec3/</w:t>
      </w:r>
    </w:p>
    <w:p w:rsidR="00414C37" w:rsidRPr="00414C37" w:rsidRDefault="00414C37" w:rsidP="005A4530">
      <w:pPr>
        <w:spacing w:before="120" w:after="120"/>
        <w:ind w:left="270"/>
        <w:rPr>
          <w:rStyle w:val="Kpr"/>
          <w:color w:val="auto"/>
          <w:u w:val="none"/>
        </w:rPr>
      </w:pPr>
      <w:r w:rsidRPr="003037B5">
        <w:t>anthro_</w:t>
      </w:r>
      <w:proofErr w:type="gramStart"/>
      <w:r w:rsidRPr="003037B5">
        <w:t>increase.html</w:t>
      </w:r>
      <w:proofErr w:type="gramEnd"/>
      <w:r>
        <w:rPr>
          <w:rStyle w:val="Kpr"/>
          <w:color w:val="auto"/>
          <w:u w:val="none"/>
        </w:rPr>
        <w:t xml:space="preserve">, </w:t>
      </w:r>
      <w:r w:rsidR="004C1F8D">
        <w:rPr>
          <w:rStyle w:val="Kpr"/>
          <w:color w:val="auto"/>
          <w:u w:val="none"/>
        </w:rPr>
        <w:t xml:space="preserve"> </w:t>
      </w:r>
      <w:r>
        <w:rPr>
          <w:rStyle w:val="Kpr"/>
          <w:color w:val="auto"/>
          <w:u w:val="none"/>
        </w:rPr>
        <w:t>Erişim: 28.12.2012.</w:t>
      </w:r>
    </w:p>
    <w:p w:rsidR="00414C37" w:rsidRPr="004C1F8D" w:rsidRDefault="003037B5" w:rsidP="005A4530">
      <w:pPr>
        <w:spacing w:before="120" w:after="120"/>
        <w:ind w:left="270" w:hanging="270"/>
      </w:pPr>
      <w:r>
        <w:t>5-</w:t>
      </w:r>
      <w:r w:rsidR="00737FED">
        <w:t xml:space="preserve"> </w:t>
      </w:r>
      <w:r w:rsidR="0013452A" w:rsidRPr="003037B5">
        <w:t>http://www.eea.europa.eu/data-and-maps/figures/measured-and-projected-concentrations-of-kyoto-greenhouse-gases</w:t>
      </w:r>
      <w:r w:rsidR="0013452A" w:rsidRPr="004C1F8D">
        <w:t>, Erişim: 31.12.2012</w:t>
      </w:r>
    </w:p>
    <w:p w:rsidR="00F5493F" w:rsidRPr="004C1F8D" w:rsidRDefault="00737FED" w:rsidP="005A4530">
      <w:pPr>
        <w:spacing w:before="120" w:after="120"/>
        <w:ind w:left="270" w:hanging="270"/>
      </w:pPr>
      <w:r>
        <w:t xml:space="preserve">6- </w:t>
      </w:r>
      <w:r w:rsidR="004C1F8D" w:rsidRPr="00737FED">
        <w:t>http://www.eea.europa.eu/data-and-maps/figures/ghg-emission-targets-in-</w:t>
      </w:r>
      <w:proofErr w:type="gramStart"/>
      <w:r w:rsidR="004C1F8D" w:rsidRPr="00737FED">
        <w:t>europe</w:t>
      </w:r>
      <w:r w:rsidR="00F5493F" w:rsidRPr="004C1F8D">
        <w:t xml:space="preserve"> , Erişim</w:t>
      </w:r>
      <w:proofErr w:type="gramEnd"/>
      <w:r w:rsidR="00F5493F" w:rsidRPr="004C1F8D">
        <w:t>: 31.12.2012</w:t>
      </w:r>
    </w:p>
    <w:p w:rsidR="00AB42BB" w:rsidRPr="004C1F8D" w:rsidRDefault="00737FED" w:rsidP="005A4530">
      <w:pPr>
        <w:spacing w:before="120" w:after="120"/>
        <w:ind w:left="270" w:hanging="270"/>
      </w:pPr>
      <w:r>
        <w:t xml:space="preserve">7- </w:t>
      </w:r>
      <w:r w:rsidR="00AB42BB" w:rsidRPr="00737FED">
        <w:t>http://www.eea.europa.eu/data-and-maps/figures/sectoral-trends-and-projections-of-1</w:t>
      </w:r>
      <w:r w:rsidR="00AB42BB" w:rsidRPr="004C1F8D">
        <w:t>, Erişim: 31.12.2012</w:t>
      </w:r>
    </w:p>
    <w:p w:rsidR="00902870" w:rsidRDefault="00D0025E" w:rsidP="005A4530">
      <w:pPr>
        <w:spacing w:before="120" w:after="120"/>
        <w:rPr>
          <w:bCs/>
        </w:rPr>
      </w:pPr>
      <w:r>
        <w:t xml:space="preserve">8- </w:t>
      </w:r>
      <w:r w:rsidR="00902870" w:rsidRPr="00D0025E">
        <w:rPr>
          <w:bCs/>
        </w:rPr>
        <w:t>http://www.dsi.gov.tr/docs/iklim-degisikligi/cop13.pdf?sfvrsn=2</w:t>
      </w:r>
      <w:r w:rsidR="00902870" w:rsidRPr="004C1F8D">
        <w:rPr>
          <w:bCs/>
        </w:rPr>
        <w:t>, Erişim: 04.01.2013</w:t>
      </w:r>
    </w:p>
    <w:p w:rsidR="008F5B7E" w:rsidRDefault="008F5B7E" w:rsidP="005A4530">
      <w:pPr>
        <w:spacing w:before="120" w:after="120"/>
        <w:ind w:left="270" w:hanging="270"/>
      </w:pPr>
      <w:r>
        <w:t xml:space="preserve">9- </w:t>
      </w:r>
      <w:r w:rsidRPr="008F5B7E">
        <w:t>http://www.</w:t>
      </w:r>
      <w:r w:rsidRPr="003F4215">
        <w:t>tesab.</w:t>
      </w:r>
      <w:r w:rsidRPr="008F5B7E">
        <w:t>org.tr/index.php?option=com_content&amp;view=article&amp;id=300</w:t>
      </w:r>
      <w:r w:rsidR="009B305C" w:rsidRPr="008F5B7E">
        <w:t>:</w:t>
      </w:r>
    </w:p>
    <w:p w:rsidR="009B305C" w:rsidRDefault="009B305C" w:rsidP="005A4530">
      <w:pPr>
        <w:spacing w:before="120" w:after="120"/>
        <w:ind w:left="270"/>
      </w:pPr>
      <w:proofErr w:type="gramStart"/>
      <w:r w:rsidRPr="008F5B7E">
        <w:t>15122010</w:t>
      </w:r>
      <w:proofErr w:type="gramEnd"/>
      <w:r w:rsidRPr="008F5B7E">
        <w:t>-kopengag-kaosundan-sonra-mekska-muczes-ya-da-copun-yapabld&amp;catid=7:eurelectricgunlukhaberler&amp;Itemid=20</w:t>
      </w:r>
      <w:r w:rsidRPr="009B305C">
        <w:t>,</w:t>
      </w:r>
      <w:r>
        <w:t xml:space="preserve"> Erişim: 14.01.2013</w:t>
      </w:r>
    </w:p>
    <w:p w:rsidR="00A25027" w:rsidRDefault="003F4215" w:rsidP="005A4530">
      <w:pPr>
        <w:spacing w:before="120" w:after="120"/>
      </w:pPr>
      <w:r>
        <w:t xml:space="preserve">10- </w:t>
      </w:r>
      <w:r w:rsidR="00A25027" w:rsidRPr="003F4215">
        <w:t>http://unfccc.int/meetings/cancun_nov_2010/meeting/6266.php</w:t>
      </w:r>
      <w:r w:rsidR="00A25027" w:rsidRPr="00A25027">
        <w:t>,</w:t>
      </w:r>
      <w:r w:rsidR="00A25027">
        <w:t xml:space="preserve"> Erişim: 14.01.2013</w:t>
      </w:r>
    </w:p>
    <w:p w:rsidR="002B7FE7" w:rsidRDefault="003F4215" w:rsidP="005A4530">
      <w:pPr>
        <w:spacing w:before="120" w:after="120"/>
        <w:ind w:left="270" w:hanging="270"/>
      </w:pPr>
      <w:r>
        <w:t xml:space="preserve">11- </w:t>
      </w:r>
      <w:r w:rsidR="002B7FE7" w:rsidRPr="00D35926">
        <w:t>http://www.eea.europa.eu/data-and-maps/figures/projected-gaps-between-2020-ghg-1</w:t>
      </w:r>
      <w:r w:rsidR="002B7FE7" w:rsidRPr="002B7FE7">
        <w:t xml:space="preserve">, </w:t>
      </w:r>
      <w:r w:rsidR="002B7FE7">
        <w:t>Erişim: 16.01.2013</w:t>
      </w:r>
    </w:p>
    <w:p w:rsidR="003C1C9C" w:rsidRDefault="00D35926" w:rsidP="005A4530">
      <w:pPr>
        <w:spacing w:before="120" w:after="120"/>
      </w:pPr>
      <w:r>
        <w:t>12-</w:t>
      </w:r>
      <w:r w:rsidR="00B22373">
        <w:t xml:space="preserve"> </w:t>
      </w:r>
      <w:r w:rsidR="003C1C9C" w:rsidRPr="00B22373">
        <w:t>http://unfccc.int/resource/docs/2010/cop16/eng/07a01.pdf</w:t>
      </w:r>
      <w:r w:rsidR="003C1C9C">
        <w:t>, Erişim: 17.01.2013</w:t>
      </w:r>
    </w:p>
    <w:p w:rsidR="009C6BB4" w:rsidRDefault="009C6BB4" w:rsidP="005A4530">
      <w:pPr>
        <w:spacing w:before="120" w:after="120"/>
      </w:pPr>
      <w:r>
        <w:t xml:space="preserve">13- </w:t>
      </w:r>
      <w:r w:rsidRPr="009C6BB4">
        <w:t>http://www.fmo.org.tr/_yayinlar/faydali-bilgiler</w:t>
      </w:r>
      <w:r>
        <w:t>, Erişim: 18.01.2012</w:t>
      </w:r>
    </w:p>
    <w:p w:rsidR="001C0BDF" w:rsidRDefault="001C0BDF" w:rsidP="005A4530">
      <w:pPr>
        <w:spacing w:before="120" w:after="120"/>
      </w:pPr>
      <w:r>
        <w:t xml:space="preserve">14- </w:t>
      </w:r>
      <w:r w:rsidRPr="001C0BDF">
        <w:t>http://www.wri.org/project/carbon-dioxide-capture-storage</w:t>
      </w:r>
      <w:r>
        <w:t>, Erişim: 18.01.2013</w:t>
      </w:r>
    </w:p>
    <w:p w:rsidR="00FA0F6F" w:rsidRDefault="00FA0F6F" w:rsidP="005A4530">
      <w:pPr>
        <w:spacing w:before="120" w:after="120"/>
        <w:ind w:left="360" w:hanging="360"/>
      </w:pPr>
      <w:r>
        <w:t xml:space="preserve">15- </w:t>
      </w:r>
      <w:r w:rsidRPr="00FA0F6F">
        <w:t>http://www.co2geonet.com/UserFiles/file/Rowena/Turkish_protected.pdf</w:t>
      </w:r>
      <w:r>
        <w:t>, Erişim: 18.01.2013</w:t>
      </w:r>
    </w:p>
    <w:p w:rsidR="00A16FE6" w:rsidRDefault="00A16FE6" w:rsidP="005A4530">
      <w:pPr>
        <w:spacing w:before="120" w:after="120"/>
      </w:pPr>
      <w:r>
        <w:t xml:space="preserve">16- </w:t>
      </w:r>
      <w:r w:rsidRPr="00A16FE6">
        <w:t>http://www.eie.gov.tr/teknoloji/ccs_nedir.aspx</w:t>
      </w:r>
      <w:r>
        <w:t>, Erişim: 21.01.2012</w:t>
      </w:r>
    </w:p>
    <w:p w:rsidR="00B82284" w:rsidRDefault="00B82284" w:rsidP="005A4530">
      <w:pPr>
        <w:spacing w:before="120" w:after="120"/>
        <w:ind w:left="360" w:hanging="360"/>
      </w:pPr>
      <w:r>
        <w:t xml:space="preserve">17- </w:t>
      </w:r>
      <w:r w:rsidRPr="00B82284">
        <w:t>http://www.ipcc.ch/pdf/reports-nonUN-translations/turkish/capture-dioxide-storage-tr/sum-policy-tr.pdf</w:t>
      </w:r>
      <w:r>
        <w:t>, 21.01.2013</w:t>
      </w:r>
    </w:p>
    <w:p w:rsidR="00135F0D" w:rsidRDefault="00135F0D" w:rsidP="005A4530">
      <w:pPr>
        <w:spacing w:before="120" w:after="120"/>
        <w:ind w:left="360" w:hanging="360"/>
      </w:pPr>
      <w:r>
        <w:t xml:space="preserve">18- </w:t>
      </w:r>
      <w:r w:rsidRPr="00135F0D">
        <w:t>http://www.wri.org/project/carbon-dioxide-capture-storage/ccs-basics</w:t>
      </w:r>
      <w:r>
        <w:t>, Erişim: 21.01.2013</w:t>
      </w:r>
    </w:p>
    <w:p w:rsidR="00E322D7" w:rsidRDefault="00E322D7" w:rsidP="005A4530">
      <w:pPr>
        <w:spacing w:before="120" w:after="120"/>
        <w:ind w:left="360" w:hanging="360"/>
      </w:pPr>
      <w:r>
        <w:t xml:space="preserve">19- </w:t>
      </w:r>
      <w:r w:rsidRPr="00E322D7">
        <w:t>http://www.globalccsinstitute.com/publications/strategic-analysis-global-status-carbon-capture-storage/online/45381</w:t>
      </w:r>
      <w:r>
        <w:t>, Erişim: 21.01.2013</w:t>
      </w:r>
    </w:p>
    <w:p w:rsidR="00965A62" w:rsidRPr="00135F0D" w:rsidRDefault="00965A62" w:rsidP="005A4530">
      <w:pPr>
        <w:spacing w:before="120" w:after="120"/>
      </w:pPr>
      <w:r>
        <w:t xml:space="preserve">20- </w:t>
      </w:r>
      <w:r w:rsidRPr="00965A62">
        <w:t>http://www.eie.gov.tr/teknoloji/ccs_teknolojileri.aspx</w:t>
      </w:r>
      <w:r>
        <w:t>, Erişim: 25.01.2013</w:t>
      </w:r>
    </w:p>
    <w:p w:rsidR="00135F0D" w:rsidRDefault="00BB2C8E" w:rsidP="005A4530">
      <w:pPr>
        <w:spacing w:before="120" w:after="120"/>
        <w:ind w:left="360" w:hanging="360"/>
      </w:pPr>
      <w:r>
        <w:t xml:space="preserve">21- </w:t>
      </w:r>
      <w:r w:rsidRPr="00BB2C8E">
        <w:t>http://www.bbc.co.uk/turkce/izlenim/2012/05/120511_norway_carbon.</w:t>
      </w:r>
      <w:proofErr w:type="gramStart"/>
      <w:r w:rsidRPr="00BB2C8E">
        <w:t>shtml</w:t>
      </w:r>
      <w:r>
        <w:t xml:space="preserve"> , Erişim</w:t>
      </w:r>
      <w:proofErr w:type="gramEnd"/>
      <w:r>
        <w:t>: 25.01.2013</w:t>
      </w:r>
    </w:p>
    <w:p w:rsidR="00C4251F" w:rsidRDefault="00C4251F" w:rsidP="005A4530">
      <w:pPr>
        <w:spacing w:before="120" w:after="120"/>
        <w:ind w:left="360" w:hanging="360"/>
      </w:pPr>
      <w:r>
        <w:t xml:space="preserve">22- </w:t>
      </w:r>
      <w:r w:rsidRPr="00C4251F">
        <w:t>http://www.alstom.com/press-centre/2012/106505/alstom-awarded-concept-study-for-mongstad-full-scale-co2-capture-project</w:t>
      </w:r>
      <w:r>
        <w:t>, Erişim: 25.01.2013</w:t>
      </w:r>
    </w:p>
    <w:p w:rsidR="00C35790" w:rsidRDefault="00C35790" w:rsidP="005A4530">
      <w:pPr>
        <w:spacing w:before="120" w:after="120"/>
      </w:pPr>
      <w:r>
        <w:t xml:space="preserve">23- </w:t>
      </w:r>
      <w:hyperlink r:id="rId54" w:history="1">
        <w:r w:rsidRPr="00C35790">
          <w:rPr>
            <w:rStyle w:val="Kpr"/>
            <w:color w:val="auto"/>
            <w:u w:val="none"/>
          </w:rPr>
          <w:t>http://ec.europa.eu/clima/policies/roadmap/index_en.htm</w:t>
        </w:r>
      </w:hyperlink>
      <w:r w:rsidRPr="00C35790">
        <w:t xml:space="preserve">, </w:t>
      </w:r>
      <w:r>
        <w:t>Erişim: 23.05.2013</w:t>
      </w:r>
    </w:p>
    <w:p w:rsidR="00AD190F" w:rsidRDefault="00AD190F" w:rsidP="005A4530">
      <w:pPr>
        <w:spacing w:before="120" w:after="120"/>
      </w:pPr>
      <w:r>
        <w:lastRenderedPageBreak/>
        <w:t xml:space="preserve">24- </w:t>
      </w:r>
      <w:r w:rsidR="00732A69" w:rsidRPr="00732A69">
        <w:t>http://www.fao.org/docrep/017/i2906e/i2906e00.pdf</w:t>
      </w:r>
      <w:r w:rsidR="00732A69">
        <w:t>, Erişim: 27.09.2013</w:t>
      </w:r>
    </w:p>
    <w:p w:rsidR="00B5430B" w:rsidRDefault="00B5430B" w:rsidP="005A4530">
      <w:pPr>
        <w:spacing w:before="120" w:after="120"/>
      </w:pPr>
      <w:r>
        <w:t xml:space="preserve">25- </w:t>
      </w:r>
      <w:r w:rsidR="00732A69" w:rsidRPr="00732A69">
        <w:t>http://climap.net/carbon-sink</w:t>
      </w:r>
      <w:r w:rsidR="00732A69">
        <w:t>, Erişim: 27.09.2013</w:t>
      </w:r>
    </w:p>
    <w:p w:rsidR="00EC70E1" w:rsidRPr="005C7DF3" w:rsidRDefault="00B5430B" w:rsidP="005A4530">
      <w:pPr>
        <w:spacing w:before="120" w:after="120"/>
        <w:ind w:left="360" w:hanging="360"/>
      </w:pPr>
      <w:r w:rsidRPr="005C7DF3">
        <w:t>26-</w:t>
      </w:r>
      <w:r w:rsidR="00EC70E1" w:rsidRPr="005C7DF3">
        <w:t xml:space="preserve"> </w:t>
      </w:r>
      <w:r w:rsidR="00280D73" w:rsidRPr="00280D73">
        <w:t>http://www.climatevolunteers.com/?page=gonulluPiyasalar</w:t>
      </w:r>
      <w:r w:rsidR="00280D73">
        <w:t>, Erişim: 03.10.2013</w:t>
      </w:r>
    </w:p>
    <w:p w:rsidR="008C2025" w:rsidRDefault="00E1159A" w:rsidP="005A4530">
      <w:pPr>
        <w:spacing w:before="120" w:after="120"/>
        <w:ind w:left="360"/>
      </w:pPr>
      <w:r w:rsidRPr="00732A69">
        <w:t>http://www.ghgprotocol.org/</w:t>
      </w:r>
    </w:p>
    <w:p w:rsidR="00E1159A" w:rsidRPr="00200767" w:rsidRDefault="00535DB7" w:rsidP="005A4530">
      <w:pPr>
        <w:spacing w:before="120" w:after="120"/>
        <w:ind w:left="360" w:hanging="360"/>
      </w:pPr>
      <w:r>
        <w:t xml:space="preserve">27- </w:t>
      </w:r>
      <w:r w:rsidRPr="00535DB7">
        <w:t>http://enerji.comu.edu.tr/calisma_gruplari/enerji_politikalari/Murat_Turkes_2010_</w:t>
      </w:r>
      <w:r>
        <w:t xml:space="preserve"> </w:t>
      </w:r>
      <w:r w:rsidR="00E1159A" w:rsidRPr="00E1159A">
        <w:t>Kopenhag-%C4%B0DZ.pdf, Erişim: 24.12.2012.</w:t>
      </w:r>
    </w:p>
    <w:p w:rsidR="00B22373" w:rsidRPr="00B22373" w:rsidRDefault="00535DB7" w:rsidP="005A4530">
      <w:pPr>
        <w:spacing w:before="120" w:after="120"/>
      </w:pPr>
      <w:bookmarkStart w:id="200" w:name="_Toc264847813"/>
      <w:r>
        <w:t xml:space="preserve">28- </w:t>
      </w:r>
      <w:r w:rsidR="00B22373" w:rsidRPr="00B22373">
        <w:t xml:space="preserve">http://unfccc.int </w:t>
      </w:r>
    </w:p>
    <w:p w:rsidR="003A081E" w:rsidRDefault="00535DB7" w:rsidP="005A4530">
      <w:pPr>
        <w:spacing w:before="120" w:after="120"/>
      </w:pPr>
      <w:r>
        <w:t xml:space="preserve">29- </w:t>
      </w:r>
      <w:r w:rsidR="00B22373" w:rsidRPr="005C7DF3">
        <w:t xml:space="preserve">http://www.pointcarbon.com </w:t>
      </w:r>
    </w:p>
    <w:p w:rsidR="003A081E" w:rsidRDefault="003A081E" w:rsidP="005F0B6D">
      <w:pPr>
        <w:spacing w:before="240" w:after="240" w:line="360" w:lineRule="auto"/>
        <w:sectPr w:rsidR="003A081E" w:rsidSect="008522AA">
          <w:pgSz w:w="11906" w:h="16838"/>
          <w:pgMar w:top="1701" w:right="1134" w:bottom="1134" w:left="2268" w:header="709" w:footer="709" w:gutter="0"/>
          <w:cols w:space="708"/>
          <w:docGrid w:linePitch="360"/>
        </w:sectPr>
      </w:pPr>
    </w:p>
    <w:p w:rsidR="0044255F" w:rsidRPr="00627FD5" w:rsidRDefault="0044255F" w:rsidP="00E71421">
      <w:pPr>
        <w:pStyle w:val="Balk1"/>
      </w:pPr>
      <w:bookmarkStart w:id="201" w:name="_Toc384824043"/>
      <w:bookmarkEnd w:id="200"/>
      <w:r w:rsidRPr="00627FD5">
        <w:lastRenderedPageBreak/>
        <w:t>ÖZGEÇMİŞ</w:t>
      </w:r>
      <w:bookmarkEnd w:id="201"/>
    </w:p>
    <w:p w:rsidR="0044255F" w:rsidRPr="002165FC" w:rsidRDefault="0044255F" w:rsidP="00B75D6C">
      <w:pPr>
        <w:jc w:val="both"/>
        <w:rPr>
          <w:b/>
          <w:bCs/>
        </w:rPr>
      </w:pPr>
    </w:p>
    <w:p w:rsidR="0044255F" w:rsidRPr="002165FC" w:rsidRDefault="0044255F" w:rsidP="00B75D6C">
      <w:pPr>
        <w:jc w:val="both"/>
        <w:rPr>
          <w:b/>
          <w:bCs/>
        </w:rPr>
      </w:pPr>
      <w:r w:rsidRPr="002165FC">
        <w:rPr>
          <w:b/>
          <w:bCs/>
        </w:rPr>
        <w:t xml:space="preserve">Kişisel Bilgiler </w:t>
      </w:r>
    </w:p>
    <w:p w:rsidR="0044255F" w:rsidRPr="002165FC" w:rsidRDefault="0044255F" w:rsidP="00B75D6C">
      <w:pPr>
        <w:jc w:val="both"/>
        <w:rPr>
          <w:b/>
          <w:bCs/>
        </w:rPr>
      </w:pPr>
    </w:p>
    <w:p w:rsidR="0044255F" w:rsidRPr="002165FC" w:rsidRDefault="0044255F" w:rsidP="00B75D6C">
      <w:pPr>
        <w:spacing w:line="360" w:lineRule="auto"/>
        <w:jc w:val="both"/>
      </w:pPr>
      <w:r w:rsidRPr="002165FC">
        <w:t>Adı Soyadı</w:t>
      </w:r>
      <w:r w:rsidRPr="002165FC">
        <w:tab/>
      </w:r>
      <w:r w:rsidRPr="002165FC">
        <w:tab/>
      </w:r>
      <w:r w:rsidRPr="002165FC">
        <w:tab/>
      </w:r>
      <w:r>
        <w:t>: Mehmet Metin DAM</w:t>
      </w:r>
    </w:p>
    <w:p w:rsidR="0044255F" w:rsidRDefault="0044255F" w:rsidP="00B75D6C">
      <w:pPr>
        <w:spacing w:line="360" w:lineRule="auto"/>
        <w:jc w:val="both"/>
      </w:pPr>
      <w:r>
        <w:t>Doğum Yeri ve Tarihi</w:t>
      </w:r>
      <w:r>
        <w:tab/>
        <w:t>: Malatya, 15.05.1976</w:t>
      </w:r>
    </w:p>
    <w:p w:rsidR="00754FB8" w:rsidRPr="002165FC" w:rsidRDefault="00754FB8" w:rsidP="00B75D6C">
      <w:pPr>
        <w:spacing w:line="360" w:lineRule="auto"/>
        <w:jc w:val="both"/>
      </w:pPr>
    </w:p>
    <w:p w:rsidR="0044255F" w:rsidRPr="002165FC" w:rsidRDefault="0044255F" w:rsidP="00B75D6C">
      <w:pPr>
        <w:jc w:val="both"/>
      </w:pPr>
    </w:p>
    <w:p w:rsidR="0044255F" w:rsidRPr="002165FC" w:rsidRDefault="0044255F" w:rsidP="00B75D6C">
      <w:pPr>
        <w:jc w:val="both"/>
        <w:rPr>
          <w:b/>
          <w:bCs/>
        </w:rPr>
      </w:pPr>
      <w:r w:rsidRPr="002165FC">
        <w:rPr>
          <w:b/>
          <w:bCs/>
        </w:rPr>
        <w:t>Eğitim Durumu</w:t>
      </w:r>
    </w:p>
    <w:p w:rsidR="0044255F" w:rsidRPr="002165FC" w:rsidRDefault="0044255F" w:rsidP="00B75D6C">
      <w:pPr>
        <w:jc w:val="both"/>
      </w:pPr>
    </w:p>
    <w:p w:rsidR="0044255F" w:rsidRPr="002165FC" w:rsidRDefault="0044255F" w:rsidP="00B75D6C">
      <w:pPr>
        <w:spacing w:line="360" w:lineRule="auto"/>
        <w:ind w:left="2880" w:hanging="2880"/>
        <w:jc w:val="both"/>
      </w:pPr>
      <w:r>
        <w:t xml:space="preserve">Lisans </w:t>
      </w:r>
      <w:r>
        <w:tab/>
        <w:t>:</w:t>
      </w:r>
      <w:r w:rsidR="00847F52">
        <w:t xml:space="preserve"> </w:t>
      </w:r>
      <w:r>
        <w:t>Anadolu Üniversitesi, İktisat Fakültesi, İktisat Bölümü</w:t>
      </w:r>
    </w:p>
    <w:p w:rsidR="00AD69BB" w:rsidRDefault="0044255F" w:rsidP="00754FB8">
      <w:pPr>
        <w:jc w:val="both"/>
      </w:pPr>
      <w:r>
        <w:t xml:space="preserve">Yüksek Lisans </w:t>
      </w:r>
      <w:r>
        <w:tab/>
      </w:r>
      <w:r w:rsidR="00AD69BB">
        <w:tab/>
      </w:r>
      <w:r>
        <w:t>:</w:t>
      </w:r>
      <w:r w:rsidR="00847F52">
        <w:t xml:space="preserve"> </w:t>
      </w:r>
      <w:r>
        <w:t xml:space="preserve">Selçuk Üniversitesi, Sosyal Bilimleri Enstitüsü, İktisat </w:t>
      </w:r>
    </w:p>
    <w:p w:rsidR="0044255F" w:rsidRPr="002165FC" w:rsidRDefault="00AD69BB" w:rsidP="00754FB8">
      <w:pPr>
        <w:ind w:left="2880" w:hanging="48"/>
        <w:jc w:val="both"/>
      </w:pPr>
      <w:r>
        <w:t xml:space="preserve">   </w:t>
      </w:r>
      <w:r w:rsidR="0044255F">
        <w:t>Anabilim Dalı.</w:t>
      </w:r>
    </w:p>
    <w:p w:rsidR="00754FB8" w:rsidRDefault="0044255F" w:rsidP="00754FB8">
      <w:pPr>
        <w:ind w:left="2837" w:hanging="2835"/>
        <w:jc w:val="both"/>
      </w:pPr>
      <w:r>
        <w:t xml:space="preserve">Doktora </w:t>
      </w:r>
      <w:r>
        <w:tab/>
        <w:t xml:space="preserve">: Adnan Menderes Üniversitesi, Sosyal Bilimler Enstitüsü, </w:t>
      </w:r>
      <w:r w:rsidR="00754FB8">
        <w:t xml:space="preserve">           </w:t>
      </w:r>
    </w:p>
    <w:p w:rsidR="0044255F" w:rsidRDefault="00754FB8" w:rsidP="00754FB8">
      <w:pPr>
        <w:ind w:left="2837" w:hanging="8"/>
        <w:jc w:val="both"/>
      </w:pPr>
      <w:r>
        <w:t xml:space="preserve">   </w:t>
      </w:r>
      <w:r w:rsidR="0044255F">
        <w:t xml:space="preserve">İktisat Anabilim Dalı </w:t>
      </w:r>
    </w:p>
    <w:p w:rsidR="0044255F" w:rsidRPr="002165FC" w:rsidRDefault="0044255F" w:rsidP="00754FB8">
      <w:pPr>
        <w:spacing w:before="120" w:after="120" w:line="360" w:lineRule="auto"/>
        <w:jc w:val="both"/>
      </w:pPr>
      <w:r>
        <w:t>Bildiği Yabancı Diller</w:t>
      </w:r>
      <w:r>
        <w:tab/>
        <w:t>: İngilizce</w:t>
      </w:r>
    </w:p>
    <w:p w:rsidR="0044255F" w:rsidRDefault="0044255F" w:rsidP="00754FB8">
      <w:pPr>
        <w:spacing w:before="120" w:after="120"/>
        <w:jc w:val="both"/>
      </w:pPr>
    </w:p>
    <w:p w:rsidR="0044255F" w:rsidRDefault="0044255F" w:rsidP="00754FB8">
      <w:pPr>
        <w:spacing w:before="120" w:after="120"/>
        <w:jc w:val="both"/>
      </w:pPr>
    </w:p>
    <w:p w:rsidR="00754FB8" w:rsidRPr="002165FC" w:rsidRDefault="00754FB8" w:rsidP="00754FB8">
      <w:pPr>
        <w:spacing w:before="120" w:after="120"/>
        <w:jc w:val="both"/>
      </w:pPr>
    </w:p>
    <w:p w:rsidR="0044255F" w:rsidRPr="002165FC" w:rsidRDefault="0044255F" w:rsidP="00754FB8">
      <w:pPr>
        <w:spacing w:before="120" w:after="120"/>
        <w:jc w:val="both"/>
        <w:rPr>
          <w:b/>
          <w:bCs/>
        </w:rPr>
      </w:pPr>
      <w:r w:rsidRPr="002165FC">
        <w:rPr>
          <w:b/>
          <w:bCs/>
        </w:rPr>
        <w:t>İş Deneyimi</w:t>
      </w:r>
    </w:p>
    <w:p w:rsidR="0044255F" w:rsidRPr="002165FC" w:rsidRDefault="0044255F" w:rsidP="00B75D6C">
      <w:pPr>
        <w:jc w:val="both"/>
      </w:pPr>
    </w:p>
    <w:p w:rsidR="00AD69BB" w:rsidRDefault="0044255F" w:rsidP="00754FB8">
      <w:pPr>
        <w:spacing w:before="120" w:after="120"/>
        <w:ind w:left="2880" w:hanging="2880"/>
        <w:jc w:val="both"/>
      </w:pPr>
      <w:r>
        <w:t>Çalıştığı Kurumlar</w:t>
      </w:r>
      <w:r>
        <w:tab/>
        <w:t>: Adnan Mendere</w:t>
      </w:r>
      <w:r w:rsidR="00FA52B7">
        <w:t>s</w:t>
      </w:r>
      <w:r>
        <w:t xml:space="preserve"> Üniversitesi, İktisadi ve İdari Bilimler </w:t>
      </w:r>
    </w:p>
    <w:p w:rsidR="0044255F" w:rsidRPr="002165FC" w:rsidRDefault="00AD69BB" w:rsidP="00754FB8">
      <w:pPr>
        <w:spacing w:before="120" w:after="120"/>
        <w:ind w:left="2880" w:hanging="48"/>
        <w:jc w:val="both"/>
      </w:pPr>
      <w:r>
        <w:t xml:space="preserve">   </w:t>
      </w:r>
      <w:r w:rsidR="0044255F">
        <w:t>Fakültesi, İktisat Bölümü, Öğ</w:t>
      </w:r>
      <w:r w:rsidR="00FA52B7">
        <w:t>r</w:t>
      </w:r>
      <w:r w:rsidR="0044255F">
        <w:t xml:space="preserve">etim Elemanı (2010 - </w:t>
      </w:r>
      <w:proofErr w:type="gramStart"/>
      <w:r w:rsidR="0044255F">
        <w:t>…..</w:t>
      </w:r>
      <w:proofErr w:type="gramEnd"/>
      <w:r w:rsidR="0044255F">
        <w:t>)</w:t>
      </w:r>
    </w:p>
    <w:p w:rsidR="00AD69BB" w:rsidRDefault="00AD69BB" w:rsidP="00754FB8">
      <w:pPr>
        <w:spacing w:before="120" w:after="120"/>
        <w:ind w:left="2880"/>
        <w:jc w:val="both"/>
      </w:pPr>
      <w:r>
        <w:t xml:space="preserve">  </w:t>
      </w:r>
      <w:r w:rsidR="0044255F">
        <w:t xml:space="preserve">Adnan Menderes Üniversitesi, Enformatik Bölümü, </w:t>
      </w:r>
      <w:r>
        <w:t xml:space="preserve"> </w:t>
      </w:r>
    </w:p>
    <w:p w:rsidR="0044255F" w:rsidRDefault="00AD69BB" w:rsidP="00754FB8">
      <w:pPr>
        <w:spacing w:before="120" w:after="120"/>
        <w:ind w:left="2880"/>
        <w:jc w:val="both"/>
      </w:pPr>
      <w:r>
        <w:t xml:space="preserve">  </w:t>
      </w:r>
      <w:r w:rsidR="0044255F">
        <w:t>Öğretim Elemanı (2010-</w:t>
      </w:r>
      <w:proofErr w:type="gramStart"/>
      <w:r w:rsidR="0044255F">
        <w:t>……</w:t>
      </w:r>
      <w:proofErr w:type="gramEnd"/>
      <w:r w:rsidR="0044255F">
        <w:t>)</w:t>
      </w:r>
    </w:p>
    <w:p w:rsidR="00AD69BB" w:rsidRDefault="00AD69BB" w:rsidP="00754FB8">
      <w:pPr>
        <w:spacing w:before="120" w:after="120"/>
        <w:ind w:left="2880"/>
        <w:jc w:val="both"/>
      </w:pPr>
      <w:r>
        <w:t xml:space="preserve">  </w:t>
      </w:r>
      <w:r w:rsidR="00FA52B7">
        <w:t>Aydın Meslek</w:t>
      </w:r>
      <w:r w:rsidR="0044255F">
        <w:t xml:space="preserve"> Yüksek Okulu – Öğretim Elemanı </w:t>
      </w:r>
      <w:proofErr w:type="gramStart"/>
      <w:r w:rsidR="0044255F">
        <w:t>(</w:t>
      </w:r>
      <w:proofErr w:type="gramEnd"/>
      <w:r w:rsidR="0044255F">
        <w:t>2008-</w:t>
      </w:r>
      <w:r>
        <w:t xml:space="preserve"> </w:t>
      </w:r>
    </w:p>
    <w:p w:rsidR="0044255F" w:rsidRDefault="00AD69BB" w:rsidP="00754FB8">
      <w:pPr>
        <w:spacing w:before="120" w:after="120"/>
        <w:ind w:left="2880"/>
        <w:jc w:val="both"/>
      </w:pPr>
      <w:r>
        <w:t xml:space="preserve">  </w:t>
      </w:r>
      <w:proofErr w:type="gramStart"/>
      <w:r w:rsidR="0044255F">
        <w:t>…….</w:t>
      </w:r>
      <w:proofErr w:type="gramEnd"/>
      <w:r w:rsidR="0044255F">
        <w:t>)</w:t>
      </w:r>
    </w:p>
    <w:p w:rsidR="00754FB8" w:rsidRDefault="00754FB8" w:rsidP="00754FB8">
      <w:pPr>
        <w:spacing w:before="120" w:after="120"/>
        <w:ind w:left="2880"/>
        <w:jc w:val="both"/>
      </w:pPr>
      <w:r>
        <w:t xml:space="preserve">  </w:t>
      </w:r>
      <w:r w:rsidR="0044255F">
        <w:t xml:space="preserve">Özel Eğitim Kurumları – Müdür Yardımcısı </w:t>
      </w:r>
      <w:proofErr w:type="gramStart"/>
      <w:r w:rsidR="0044255F">
        <w:t>(</w:t>
      </w:r>
      <w:proofErr w:type="gramEnd"/>
      <w:r w:rsidR="0044255F">
        <w:t>2005-</w:t>
      </w:r>
      <w:r>
        <w:t xml:space="preserve"> </w:t>
      </w:r>
    </w:p>
    <w:p w:rsidR="0044255F" w:rsidRPr="002165FC" w:rsidRDefault="00754FB8" w:rsidP="00754FB8">
      <w:pPr>
        <w:spacing w:before="120" w:after="120"/>
        <w:ind w:left="2880"/>
        <w:jc w:val="both"/>
      </w:pPr>
      <w:r>
        <w:t xml:space="preserve">  </w:t>
      </w:r>
      <w:r w:rsidR="0044255F">
        <w:t>2007)</w:t>
      </w:r>
    </w:p>
    <w:p w:rsidR="00754FB8" w:rsidRDefault="00754FB8" w:rsidP="00754FB8">
      <w:pPr>
        <w:spacing w:before="120" w:after="120"/>
        <w:ind w:left="2880"/>
        <w:jc w:val="both"/>
      </w:pPr>
      <w:r>
        <w:t xml:space="preserve">  </w:t>
      </w:r>
      <w:r w:rsidR="0044255F">
        <w:t xml:space="preserve">Özel Eğitim Kurumları – Bilgisayar Öğretmeni </w:t>
      </w:r>
      <w:proofErr w:type="gramStart"/>
      <w:r w:rsidR="0044255F">
        <w:t>(</w:t>
      </w:r>
      <w:proofErr w:type="gramEnd"/>
      <w:r w:rsidR="0044255F">
        <w:t>2000-</w:t>
      </w:r>
      <w:r>
        <w:t xml:space="preserve"> </w:t>
      </w:r>
    </w:p>
    <w:p w:rsidR="0044255F" w:rsidRDefault="00754FB8" w:rsidP="00754FB8">
      <w:pPr>
        <w:spacing w:before="120" w:after="120"/>
        <w:ind w:left="2880"/>
        <w:jc w:val="both"/>
      </w:pPr>
      <w:r>
        <w:t xml:space="preserve">  </w:t>
      </w:r>
      <w:r w:rsidR="0044255F">
        <w:t>2005)</w:t>
      </w:r>
    </w:p>
    <w:p w:rsidR="00754FB8" w:rsidRPr="002165FC" w:rsidRDefault="00754FB8" w:rsidP="00754FB8">
      <w:pPr>
        <w:spacing w:before="120" w:after="120"/>
        <w:ind w:left="2880"/>
        <w:jc w:val="both"/>
      </w:pPr>
    </w:p>
    <w:p w:rsidR="0044255F" w:rsidRPr="002165FC" w:rsidRDefault="0044255F" w:rsidP="00B75D6C">
      <w:pPr>
        <w:jc w:val="both"/>
        <w:rPr>
          <w:b/>
          <w:bCs/>
        </w:rPr>
      </w:pPr>
      <w:r w:rsidRPr="002165FC">
        <w:rPr>
          <w:b/>
          <w:bCs/>
        </w:rPr>
        <w:t>İletişim</w:t>
      </w:r>
    </w:p>
    <w:p w:rsidR="0044255F" w:rsidRPr="002165FC" w:rsidRDefault="0044255F" w:rsidP="00B75D6C">
      <w:pPr>
        <w:jc w:val="both"/>
      </w:pPr>
    </w:p>
    <w:p w:rsidR="0044255F" w:rsidRDefault="0044255F" w:rsidP="00B75D6C">
      <w:pPr>
        <w:jc w:val="both"/>
      </w:pPr>
      <w:r w:rsidRPr="002165FC">
        <w:t>e-posta Adresi</w:t>
      </w:r>
      <w:r w:rsidRPr="002165FC">
        <w:tab/>
      </w:r>
      <w:r w:rsidRPr="002165FC">
        <w:tab/>
      </w:r>
      <w:r w:rsidRPr="002165FC">
        <w:tab/>
      </w:r>
      <w:r>
        <w:t>: metindam@adu.edu.tr, metindam@hotmail.com</w:t>
      </w:r>
    </w:p>
    <w:p w:rsidR="0044255F" w:rsidRPr="002165FC" w:rsidRDefault="0044255F" w:rsidP="00B75D6C">
      <w:pPr>
        <w:jc w:val="both"/>
      </w:pPr>
      <w:r>
        <w:t>Web adresi</w:t>
      </w:r>
      <w:r>
        <w:tab/>
      </w:r>
      <w:r>
        <w:tab/>
      </w:r>
      <w:r>
        <w:tab/>
        <w:t>: www.minikyetenekler.com</w:t>
      </w:r>
    </w:p>
    <w:p w:rsidR="0044255F" w:rsidRDefault="0044255F" w:rsidP="0079385F">
      <w:pPr>
        <w:jc w:val="both"/>
        <w:rPr>
          <w:lang w:val="de-DE"/>
        </w:rPr>
      </w:pPr>
      <w:r w:rsidRPr="00843519">
        <w:t>T</w:t>
      </w:r>
      <w:r w:rsidRPr="00843519">
        <w:rPr>
          <w:lang w:val="de-DE"/>
        </w:rPr>
        <w:t>arih</w:t>
      </w:r>
      <w:r w:rsidRPr="002165FC">
        <w:rPr>
          <w:lang w:val="de-DE"/>
        </w:rPr>
        <w:tab/>
      </w:r>
      <w:r w:rsidRPr="002165FC">
        <w:rPr>
          <w:lang w:val="de-DE"/>
        </w:rPr>
        <w:tab/>
      </w:r>
      <w:r w:rsidRPr="002165FC">
        <w:rPr>
          <w:lang w:val="de-DE"/>
        </w:rPr>
        <w:tab/>
      </w:r>
      <w:r w:rsidRPr="002165FC">
        <w:rPr>
          <w:lang w:val="de-DE"/>
        </w:rPr>
        <w:tab/>
      </w:r>
      <w:r w:rsidR="003A7EF4">
        <w:rPr>
          <w:lang w:val="de-DE"/>
        </w:rPr>
        <w:t>: 28.03</w:t>
      </w:r>
      <w:r>
        <w:rPr>
          <w:lang w:val="de-DE"/>
        </w:rPr>
        <w:t>.2014</w:t>
      </w:r>
      <w:bookmarkStart w:id="202" w:name="_PictureBullets"/>
      <w:r w:rsidR="00A649A4">
        <w:rPr>
          <w:noProof/>
          <w:vanish/>
          <w:lang w:eastAsia="tr-TR"/>
        </w:rPr>
        <w:drawing>
          <wp:inline distT="0" distB="0" distL="0" distR="0" wp14:anchorId="6DCF4F9C" wp14:editId="452E0C3B">
            <wp:extent cx="2743200" cy="27432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bookmarkEnd w:id="202"/>
    </w:p>
    <w:p w:rsidR="003C4299" w:rsidRDefault="003C4299">
      <w:pPr>
        <w:jc w:val="both"/>
        <w:rPr>
          <w:lang w:val="de-DE"/>
        </w:rPr>
      </w:pPr>
    </w:p>
    <w:sectPr w:rsidR="003C4299" w:rsidSect="008522AA">
      <w:pgSz w:w="11906" w:h="16838"/>
      <w:pgMar w:top="1701" w:right="1134" w:bottom="1134"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A11" w:rsidRDefault="00E56A11">
      <w:r>
        <w:separator/>
      </w:r>
    </w:p>
  </w:endnote>
  <w:endnote w:type="continuationSeparator" w:id="0">
    <w:p w:rsidR="00E56A11" w:rsidRDefault="00E56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ramond-Bold">
    <w:panose1 w:val="00000000000000000000"/>
    <w:charset w:val="A2"/>
    <w:family w:val="auto"/>
    <w:notTrueType/>
    <w:pitch w:val="default"/>
    <w:sig w:usb0="00000005" w:usb1="00000000" w:usb2="00000000" w:usb3="00000000" w:csb0="00000010" w:csb1="00000000"/>
  </w:font>
  <w:font w:name="AEGNJ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onsolas">
    <w:panose1 w:val="020B0609020204030204"/>
    <w:charset w:val="A2"/>
    <w:family w:val="modern"/>
    <w:pitch w:val="fixed"/>
    <w:sig w:usb0="E10002FF" w:usb1="4000FCFF" w:usb2="00000009" w:usb3="00000000" w:csb0="0000019F" w:csb1="00000000"/>
  </w:font>
  <w:font w:name="Lucida Sans Unicode">
    <w:panose1 w:val="020B0602030504020204"/>
    <w:charset w:val="A2"/>
    <w:family w:val="swiss"/>
    <w:pitch w:val="variable"/>
    <w:sig w:usb0="80000AFF" w:usb1="0000396B" w:usb2="00000000" w:usb3="00000000" w:csb0="000000BF" w:csb1="00000000"/>
  </w:font>
  <w:font w:name="Cambria Math">
    <w:panose1 w:val="02040503050406030204"/>
    <w:charset w:val="A2"/>
    <w:family w:val="roman"/>
    <w:pitch w:val="variable"/>
    <w:sig w:usb0="E00002FF" w:usb1="420024FF" w:usb2="00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1AC21F8t00">
    <w:altName w:val="Times New Roman"/>
    <w:panose1 w:val="00000000000000000000"/>
    <w:charset w:val="00"/>
    <w:family w:val="auto"/>
    <w:notTrueType/>
    <w:pitch w:val="default"/>
    <w:sig w:usb0="00000003" w:usb1="00000000" w:usb2="00000000" w:usb3="00000000" w:csb0="00000001" w:csb1="00000000"/>
  </w:font>
  <w:font w:name="Swiss721BT-Roman">
    <w:altName w:val="Arial Unicode MS"/>
    <w:panose1 w:val="00000000000000000000"/>
    <w:charset w:val="81"/>
    <w:family w:val="auto"/>
    <w:notTrueType/>
    <w:pitch w:val="default"/>
    <w:sig w:usb0="00000000" w:usb1="09060000" w:usb2="00000010" w:usb3="00000000" w:csb0="00080001"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Helvetica">
    <w:panose1 w:val="020B0504020202020204"/>
    <w:charset w:val="00"/>
    <w:family w:val="swiss"/>
    <w:notTrueType/>
    <w:pitch w:val="variable"/>
    <w:sig w:usb0="00000003" w:usb1="00000000" w:usb2="00000000" w:usb3="00000000" w:csb0="00000001" w:csb1="00000000"/>
  </w:font>
  <w:font w:name="CMR12">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D81" w:rsidRDefault="00D33D81" w:rsidP="001D40A7">
    <w:pPr>
      <w:pStyle w:val="Altbilgi"/>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A11" w:rsidRDefault="00E56A11">
      <w:r>
        <w:separator/>
      </w:r>
    </w:p>
  </w:footnote>
  <w:footnote w:type="continuationSeparator" w:id="0">
    <w:p w:rsidR="00E56A11" w:rsidRDefault="00E56A11">
      <w:r>
        <w:continuationSeparator/>
      </w:r>
    </w:p>
  </w:footnote>
  <w:footnote w:id="1">
    <w:p w:rsidR="00D33D81" w:rsidRDefault="00D33D81" w:rsidP="005025CD">
      <w:pPr>
        <w:pStyle w:val="NormalWeb"/>
        <w:spacing w:before="0" w:beforeAutospacing="0" w:after="0" w:afterAutospacing="0"/>
      </w:pPr>
      <w:r>
        <w:rPr>
          <w:rStyle w:val="DipnotBavurusu"/>
        </w:rPr>
        <w:footnoteRef/>
      </w:r>
      <w:r>
        <w:rPr>
          <w:rFonts w:ascii="Times New Roman" w:hAnsi="Times New Roman" w:cs="Times New Roman"/>
        </w:rPr>
        <w:t>(D</w:t>
      </w:r>
      <w:r w:rsidRPr="009B427F">
        <w:rPr>
          <w:rFonts w:ascii="Times New Roman" w:hAnsi="Times New Roman" w:cs="Times New Roman"/>
        </w:rPr>
        <w:t xml:space="preserve">. </w:t>
      </w:r>
      <w:hyperlink r:id="rId1" w:tooltip="19 Şubat" w:history="1">
        <w:r w:rsidRPr="009B427F">
          <w:rPr>
            <w:rFonts w:ascii="Times New Roman" w:hAnsi="Times New Roman" w:cs="Times New Roman"/>
          </w:rPr>
          <w:t>19 Şubat</w:t>
        </w:r>
      </w:hyperlink>
      <w:r>
        <w:rPr>
          <w:rFonts w:ascii="Times New Roman" w:hAnsi="Times New Roman" w:cs="Times New Roman"/>
        </w:rPr>
        <w:t xml:space="preserve"> </w:t>
      </w:r>
      <w:hyperlink r:id="rId2" w:tooltip="1859" w:history="1">
        <w:r w:rsidRPr="009B427F">
          <w:rPr>
            <w:rFonts w:ascii="Times New Roman" w:hAnsi="Times New Roman" w:cs="Times New Roman"/>
          </w:rPr>
          <w:t>1859</w:t>
        </w:r>
      </w:hyperlink>
      <w:r w:rsidRPr="009B427F">
        <w:rPr>
          <w:rFonts w:ascii="Times New Roman" w:hAnsi="Times New Roman" w:cs="Times New Roman"/>
        </w:rPr>
        <w:t xml:space="preserve">, </w:t>
      </w:r>
      <w:hyperlink r:id="rId3" w:tooltip="Uppsala" w:history="1">
        <w:r w:rsidRPr="009B427F">
          <w:rPr>
            <w:rFonts w:ascii="Times New Roman" w:hAnsi="Times New Roman" w:cs="Times New Roman"/>
          </w:rPr>
          <w:t>Uppsala</w:t>
        </w:r>
      </w:hyperlink>
      <w:r>
        <w:rPr>
          <w:rFonts w:ascii="Times New Roman" w:hAnsi="Times New Roman" w:cs="Times New Roman"/>
        </w:rPr>
        <w:t xml:space="preserve"> - Ö</w:t>
      </w:r>
      <w:r w:rsidRPr="009B427F">
        <w:rPr>
          <w:rFonts w:ascii="Times New Roman" w:hAnsi="Times New Roman" w:cs="Times New Roman"/>
        </w:rPr>
        <w:t xml:space="preserve">. </w:t>
      </w:r>
      <w:hyperlink r:id="rId4" w:tooltip="2 Ekim" w:history="1">
        <w:r w:rsidRPr="009B427F">
          <w:rPr>
            <w:rFonts w:ascii="Times New Roman" w:hAnsi="Times New Roman" w:cs="Times New Roman"/>
          </w:rPr>
          <w:t>2 Ekim</w:t>
        </w:r>
      </w:hyperlink>
      <w:hyperlink r:id="rId5" w:tooltip="1927" w:history="1">
        <w:r w:rsidRPr="009B427F">
          <w:rPr>
            <w:rFonts w:ascii="Times New Roman" w:hAnsi="Times New Roman" w:cs="Times New Roman"/>
          </w:rPr>
          <w:t>1927</w:t>
        </w:r>
      </w:hyperlink>
      <w:r w:rsidRPr="009B427F">
        <w:rPr>
          <w:rFonts w:ascii="Times New Roman" w:hAnsi="Times New Roman" w:cs="Times New Roman"/>
        </w:rPr>
        <w:t xml:space="preserve">, </w:t>
      </w:r>
      <w:hyperlink r:id="rId6" w:tooltip="Stokholm" w:history="1">
        <w:r w:rsidRPr="009B427F">
          <w:rPr>
            <w:rFonts w:ascii="Times New Roman" w:hAnsi="Times New Roman" w:cs="Times New Roman"/>
          </w:rPr>
          <w:t>Stokholm</w:t>
        </w:r>
      </w:hyperlink>
      <w:r w:rsidRPr="009B427F">
        <w:rPr>
          <w:rFonts w:ascii="Times New Roman" w:hAnsi="Times New Roman" w:cs="Times New Roman"/>
        </w:rPr>
        <w:t xml:space="preserve">), </w:t>
      </w:r>
      <w:hyperlink r:id="rId7" w:tooltip="İsveçli" w:history="1">
        <w:r w:rsidRPr="009B427F">
          <w:rPr>
            <w:rFonts w:ascii="Times New Roman" w:hAnsi="Times New Roman" w:cs="Times New Roman"/>
          </w:rPr>
          <w:t>İsveçli</w:t>
        </w:r>
      </w:hyperlink>
      <w:r>
        <w:rPr>
          <w:rFonts w:ascii="Times New Roman" w:hAnsi="Times New Roman" w:cs="Times New Roman"/>
        </w:rPr>
        <w:t xml:space="preserve"> </w:t>
      </w:r>
      <w:hyperlink r:id="rId8" w:tooltip="Kimyacı" w:history="1">
        <w:r w:rsidRPr="009B427F">
          <w:rPr>
            <w:rFonts w:ascii="Times New Roman" w:hAnsi="Times New Roman" w:cs="Times New Roman"/>
          </w:rPr>
          <w:t>kimyacı</w:t>
        </w:r>
      </w:hyperlink>
      <w:r w:rsidRPr="009B427F">
        <w:rPr>
          <w:rFonts w:ascii="Times New Roman" w:hAnsi="Times New Roman" w:cs="Times New Roman"/>
        </w:rPr>
        <w:t xml:space="preserve"> ve </w:t>
      </w:r>
      <w:hyperlink r:id="rId9" w:tooltip="Fiziksel kimya" w:history="1">
        <w:r w:rsidRPr="009B427F">
          <w:rPr>
            <w:rFonts w:ascii="Times New Roman" w:hAnsi="Times New Roman" w:cs="Times New Roman"/>
          </w:rPr>
          <w:t>fiziksel kimya</w:t>
        </w:r>
      </w:hyperlink>
      <w:r w:rsidRPr="009B427F">
        <w:rPr>
          <w:rFonts w:ascii="Times New Roman" w:hAnsi="Times New Roman" w:cs="Times New Roman"/>
        </w:rPr>
        <w:t xml:space="preserve"> biliminin kurucularından olup 1903’te kimya alanında </w:t>
      </w:r>
      <w:r>
        <w:rPr>
          <w:rFonts w:ascii="Times New Roman" w:hAnsi="Times New Roman" w:cs="Times New Roman"/>
        </w:rPr>
        <w:t>Nobel Ö</w:t>
      </w:r>
      <w:r w:rsidRPr="009B427F">
        <w:rPr>
          <w:rFonts w:ascii="Times New Roman" w:hAnsi="Times New Roman" w:cs="Times New Roman"/>
        </w:rPr>
        <w:t>dülü almıştır.</w:t>
      </w:r>
    </w:p>
    <w:p w:rsidR="00D33D81" w:rsidRDefault="00D33D81" w:rsidP="005025CD">
      <w:pPr>
        <w:pStyle w:val="NormalWeb"/>
        <w:spacing w:before="0" w:beforeAutospacing="0" w:after="0" w:afterAutospacing="0"/>
      </w:pPr>
    </w:p>
  </w:footnote>
  <w:footnote w:id="2">
    <w:p w:rsidR="00D33D81" w:rsidRDefault="00D33D81" w:rsidP="007E6177">
      <w:pPr>
        <w:pStyle w:val="DipnotMetni"/>
        <w:jc w:val="both"/>
      </w:pPr>
      <w:r>
        <w:rPr>
          <w:rStyle w:val="DipnotBavurusu"/>
        </w:rPr>
        <w:footnoteRef/>
      </w:r>
      <w:r>
        <w:t xml:space="preserve"> Keeling Eğrisi; </w:t>
      </w:r>
      <w:r w:rsidRPr="007E6177">
        <w:t xml:space="preserve">1958 yılından bu yana dünyanın atmosferindeki karbondioksit </w:t>
      </w:r>
      <w:r>
        <w:t xml:space="preserve">yoğunluğunu ölçen değişim grafiğidir. </w:t>
      </w:r>
      <w:r w:rsidRPr="007E6177">
        <w:t>Charles David Keeling gözetiminde Hawaii'de Mauna Loa</w:t>
      </w:r>
      <w:r>
        <w:t>Gözlemevinde</w:t>
      </w:r>
      <w:r w:rsidRPr="007E6177">
        <w:t xml:space="preserve"> alındığısürekli ölçümlere dayanır. Keeling </w:t>
      </w:r>
      <w:r>
        <w:t xml:space="preserve">ölçümleri </w:t>
      </w:r>
      <w:r w:rsidRPr="007E6177">
        <w:t xml:space="preserve">atmosferdeki karbon dioksit düzeylerinin </w:t>
      </w:r>
      <w:r>
        <w:t xml:space="preserve">arttığının ilk kanıtıdır. </w:t>
      </w:r>
    </w:p>
  </w:footnote>
  <w:footnote w:id="3">
    <w:p w:rsidR="00D33D81" w:rsidRDefault="00D33D81">
      <w:pPr>
        <w:pStyle w:val="DipnotMetni"/>
      </w:pPr>
      <w:r w:rsidRPr="001F3C23">
        <w:footnoteRef/>
      </w:r>
      <w:r w:rsidRPr="001F3C23">
        <w:t>Okyanus akıntılarının yoğunluk farkı nedeniyle oluşan bölümüne, sıcaklık-tuzluluk (termohalin) dolaşımı adı verilir.</w:t>
      </w:r>
    </w:p>
  </w:footnote>
  <w:footnote w:id="4">
    <w:p w:rsidR="00D33D81" w:rsidRDefault="00D33D81">
      <w:pPr>
        <w:pStyle w:val="DipnotMetni"/>
      </w:pPr>
      <w:r>
        <w:rPr>
          <w:rStyle w:val="DipnotBavurusu"/>
        </w:rPr>
        <w:footnoteRef/>
      </w:r>
      <w:r>
        <w:t xml:space="preserve"> Ayrıntılı bilgi için bakınız, Öztürk, 2007; Korkmaz, 207; Doğan ve Tüzer, 2011.</w:t>
      </w:r>
    </w:p>
    <w:p w:rsidR="00D33D81" w:rsidRDefault="00D33D81">
      <w:pPr>
        <w:pStyle w:val="DipnotMetni"/>
      </w:pPr>
    </w:p>
  </w:footnote>
  <w:footnote w:id="5">
    <w:p w:rsidR="00D33D81" w:rsidRDefault="00D33D81" w:rsidP="0095004D">
      <w:pPr>
        <w:pStyle w:val="GvdeMetniGirintisi"/>
        <w:spacing w:before="240" w:after="240"/>
        <w:ind w:firstLine="0"/>
        <w:rPr>
          <w:sz w:val="20"/>
          <w:szCs w:val="20"/>
        </w:rPr>
      </w:pPr>
      <w:r>
        <w:rPr>
          <w:rStyle w:val="DipnotBavurusu"/>
        </w:rPr>
        <w:footnoteRef/>
      </w:r>
      <w:r>
        <w:t xml:space="preserve"> </w:t>
      </w:r>
      <w:r>
        <w:rPr>
          <w:color w:val="484848"/>
          <w:sz w:val="20"/>
          <w:szCs w:val="20"/>
        </w:rPr>
        <w:t>Havaya salınan fazla miktardaki gazlar, atmosferdeki havayı yoğunlaştırır, gaz tabakasını kalınlaştırır. Bu yüzden gelen güneş ışınları daha fazla emilir, daha az yansıtılır ve yapay bir sera etkisi oluşur. Gazlar, özellikle büyük şehirlerde, Hava Yoğunluğu (Smog) oluşturarak etkili olmaktadır.</w:t>
      </w:r>
    </w:p>
    <w:p w:rsidR="00D33D81" w:rsidRDefault="00D33D81">
      <w:pPr>
        <w:pStyle w:val="DipnotMetni"/>
      </w:pPr>
    </w:p>
  </w:footnote>
  <w:footnote w:id="6">
    <w:p w:rsidR="00D33D81" w:rsidRDefault="00D33D81">
      <w:pPr>
        <w:pStyle w:val="DipnotMetni"/>
      </w:pPr>
      <w:r>
        <w:rPr>
          <w:rStyle w:val="DipnotBavurusu"/>
        </w:rPr>
        <w:footnoteRef/>
      </w:r>
      <w:r>
        <w:t xml:space="preserve"> Unctad, (United National Conference on Trade and Development), </w:t>
      </w:r>
      <w:r w:rsidRPr="00B74883">
        <w:t>http://unctadstat.uncta</w:t>
      </w:r>
      <w:r>
        <w:t>d.org</w:t>
      </w:r>
    </w:p>
  </w:footnote>
  <w:footnote w:id="7">
    <w:p w:rsidR="00D33D81" w:rsidRDefault="00D33D81">
      <w:pPr>
        <w:pStyle w:val="DipnotMetni"/>
      </w:pPr>
      <w:r>
        <w:rPr>
          <w:rStyle w:val="DipnotBavurusu"/>
        </w:rPr>
        <w:footnoteRef/>
      </w:r>
      <w:r>
        <w:t xml:space="preserve"> </w:t>
      </w:r>
      <w:r w:rsidRPr="00D0025E">
        <w:t>http://www.tesab.org.tr</w:t>
      </w:r>
      <w:r>
        <w:t xml:space="preserve"> (9)</w:t>
      </w:r>
    </w:p>
  </w:footnote>
  <w:footnote w:id="8">
    <w:p w:rsidR="00D33D81" w:rsidRDefault="00D33D81">
      <w:pPr>
        <w:pStyle w:val="DipnotMetni"/>
      </w:pPr>
      <w:r>
        <w:rPr>
          <w:rStyle w:val="DipnotBavurusu"/>
        </w:rPr>
        <w:footnoteRef/>
      </w:r>
      <w:r>
        <w:t xml:space="preserve"> </w:t>
      </w:r>
      <w:r w:rsidRPr="00B22373">
        <w:t>http://unfccc.int</w:t>
      </w:r>
      <w:r>
        <w:t xml:space="preserve"> (12)</w:t>
      </w:r>
    </w:p>
  </w:footnote>
  <w:footnote w:id="9">
    <w:p w:rsidR="00D33D81" w:rsidRPr="003C1C9C" w:rsidRDefault="00D33D81" w:rsidP="003C1C9C">
      <w:pPr>
        <w:pStyle w:val="bolukcizgisi"/>
        <w:spacing w:before="120" w:after="120" w:line="360" w:lineRule="auto"/>
        <w:ind w:left="1080" w:hanging="1080"/>
      </w:pPr>
      <w:r>
        <w:rPr>
          <w:rStyle w:val="DipnotBavurusu"/>
        </w:rPr>
        <w:footnoteRef/>
      </w:r>
      <w:r>
        <w:t xml:space="preserve"> </w:t>
      </w:r>
      <w:r w:rsidRPr="003F4215">
        <w:rPr>
          <w:sz w:val="20"/>
          <w:szCs w:val="20"/>
        </w:rPr>
        <w:t>http://unfccc.int</w:t>
      </w:r>
      <w:r>
        <w:rPr>
          <w:sz w:val="20"/>
          <w:szCs w:val="20"/>
        </w:rPr>
        <w:t xml:space="preserve"> (10)</w:t>
      </w:r>
    </w:p>
    <w:p w:rsidR="00D33D81" w:rsidRDefault="00D33D81">
      <w:pPr>
        <w:pStyle w:val="DipnotMetni"/>
      </w:pPr>
    </w:p>
  </w:footnote>
  <w:footnote w:id="10">
    <w:p w:rsidR="00D33D81" w:rsidRDefault="00D33D81" w:rsidP="00EE51A5">
      <w:pPr>
        <w:pStyle w:val="DipnotMetni"/>
      </w:pPr>
      <w:r>
        <w:rPr>
          <w:rStyle w:val="DipnotBavurusu"/>
        </w:rPr>
        <w:footnoteRef/>
      </w:r>
      <w:r>
        <w:t xml:space="preserve"> TMMOB, Enerji Verimliliği Raporu, Ocak 2012</w:t>
      </w:r>
    </w:p>
  </w:footnote>
  <w:footnote w:id="11">
    <w:p w:rsidR="00D33D81" w:rsidRDefault="00D33D81">
      <w:pPr>
        <w:pStyle w:val="DipnotMetni"/>
      </w:pPr>
      <w:r>
        <w:rPr>
          <w:rStyle w:val="DipnotBavurusu"/>
        </w:rPr>
        <w:footnoteRef/>
      </w:r>
      <w:r>
        <w:t xml:space="preserve"> </w:t>
      </w:r>
      <w:r w:rsidRPr="00C35790">
        <w:t>http://ec.europa.eu</w:t>
      </w:r>
      <w:r>
        <w:t xml:space="preserve"> (23)</w:t>
      </w:r>
    </w:p>
  </w:footnote>
  <w:footnote w:id="12">
    <w:p w:rsidR="00D33D81" w:rsidRDefault="00D33D81">
      <w:pPr>
        <w:pStyle w:val="DipnotMetni"/>
      </w:pPr>
      <w:r>
        <w:rPr>
          <w:rStyle w:val="DipnotBavurusu"/>
        </w:rPr>
        <w:footnoteRef/>
      </w:r>
      <w:r>
        <w:t xml:space="preserve"> Communication from the Commission to the European Parliament, the Council, the European Economic and Social Committee and the Committee of the Regions, Brussels, 29.05.2013 COM(2013) 350 final.</w:t>
      </w:r>
    </w:p>
  </w:footnote>
  <w:footnote w:id="13">
    <w:p w:rsidR="00D33D81" w:rsidRDefault="00D33D81">
      <w:pPr>
        <w:pStyle w:val="DipnotMetni"/>
      </w:pPr>
      <w:r>
        <w:rPr>
          <w:rStyle w:val="DipnotBavurusu"/>
        </w:rPr>
        <w:footnoteRef/>
      </w:r>
      <w:r>
        <w:t xml:space="preserve"> TMMOB, Enerji Verimliliği Raporu, Ocak 2012</w:t>
      </w:r>
    </w:p>
  </w:footnote>
  <w:footnote w:id="14">
    <w:p w:rsidR="00D33D81" w:rsidRDefault="00D33D81" w:rsidP="00AE6132">
      <w:pPr>
        <w:pStyle w:val="DipnotMetni"/>
      </w:pPr>
      <w:r>
        <w:rPr>
          <w:rStyle w:val="DipnotBavurusu"/>
        </w:rPr>
        <w:footnoteRef/>
      </w:r>
      <w:r>
        <w:rPr>
          <w:rFonts w:ascii="TimesNewRomanPSMT" w:hAnsi="TimesNewRomanPSMT" w:cs="TimesNewRomanPSMT"/>
          <w:sz w:val="16"/>
          <w:szCs w:val="16"/>
        </w:rPr>
        <w:t>EC, “A new Directive on Energy Efficiency”, 2011</w:t>
      </w:r>
      <w:r>
        <w:t xml:space="preserve"> </w:t>
      </w:r>
    </w:p>
  </w:footnote>
  <w:footnote w:id="15">
    <w:p w:rsidR="00D33D81" w:rsidRDefault="00D33D81" w:rsidP="00EE51A5">
      <w:pPr>
        <w:pStyle w:val="DipnotMetni"/>
      </w:pPr>
      <w:r>
        <w:rPr>
          <w:rStyle w:val="DipnotBavurusu"/>
        </w:rPr>
        <w:footnoteRef/>
      </w:r>
      <w:r>
        <w:t xml:space="preserve"> </w:t>
      </w:r>
      <w:r>
        <w:rPr>
          <w:rFonts w:ascii="TimesNewRomanPSMT" w:hAnsi="TimesNewRomanPSMT" w:cs="TimesNewRomanPSMT"/>
          <w:sz w:val="16"/>
          <w:szCs w:val="16"/>
        </w:rPr>
        <w:t>EC, “A new Directive on Energy Efficiency”, 2011</w:t>
      </w:r>
    </w:p>
  </w:footnote>
  <w:footnote w:id="16">
    <w:p w:rsidR="00D33D81" w:rsidRDefault="00D33D81">
      <w:pPr>
        <w:pStyle w:val="DipnotMetni"/>
      </w:pPr>
      <w:r>
        <w:rPr>
          <w:rStyle w:val="DipnotBavurusu"/>
        </w:rPr>
        <w:footnoteRef/>
      </w:r>
      <w:r>
        <w:t xml:space="preserve"> Daha ayrıntılı bilgi için bakınız </w:t>
      </w:r>
      <w:r w:rsidRPr="009C6BB4">
        <w:t>http://www.fmo.org.tr</w:t>
      </w:r>
      <w:r>
        <w:t xml:space="preserve"> (13)</w:t>
      </w:r>
    </w:p>
  </w:footnote>
  <w:footnote w:id="17">
    <w:p w:rsidR="00D33D81" w:rsidRDefault="00D33D81">
      <w:pPr>
        <w:pStyle w:val="DipnotMetni"/>
      </w:pPr>
      <w:r>
        <w:rPr>
          <w:rStyle w:val="DipnotBavurusu"/>
        </w:rPr>
        <w:footnoteRef/>
      </w:r>
      <w:r>
        <w:t xml:space="preserve"> </w:t>
      </w:r>
      <w:r w:rsidRPr="001C0BDF">
        <w:t>http://www.wri.org</w:t>
      </w:r>
      <w:r>
        <w:t xml:space="preserve"> (14)</w:t>
      </w:r>
    </w:p>
  </w:footnote>
  <w:footnote w:id="18">
    <w:p w:rsidR="00D33D81" w:rsidRDefault="00D33D81">
      <w:pPr>
        <w:pStyle w:val="DipnotMetni"/>
      </w:pPr>
      <w:r>
        <w:rPr>
          <w:rStyle w:val="DipnotBavurusu"/>
        </w:rPr>
        <w:footnoteRef/>
      </w:r>
      <w:r>
        <w:t xml:space="preserve"> </w:t>
      </w:r>
      <w:r w:rsidRPr="008A28FF">
        <w:t>http://www.co2geonet.com</w:t>
      </w:r>
      <w:r>
        <w:t xml:space="preserve"> (15)</w:t>
      </w:r>
    </w:p>
  </w:footnote>
  <w:footnote w:id="19">
    <w:p w:rsidR="00D33D81" w:rsidRDefault="00D33D81">
      <w:pPr>
        <w:pStyle w:val="DipnotMetni"/>
      </w:pPr>
      <w:r>
        <w:rPr>
          <w:rStyle w:val="DipnotBavurusu"/>
        </w:rPr>
        <w:footnoteRef/>
      </w:r>
      <w:r>
        <w:t xml:space="preserve"> </w:t>
      </w:r>
      <w:r w:rsidRPr="001F47BA">
        <w:t>Suyun çok uzak mesafelere gitmesini sağlayan, yer altı sularını pınarlara ve kuyulara ileten gözenekli toprak ya da jeolojik oluşum.</w:t>
      </w:r>
    </w:p>
  </w:footnote>
  <w:footnote w:id="20">
    <w:p w:rsidR="00D33D81" w:rsidRPr="00EB1F7A" w:rsidRDefault="00D33D81">
      <w:pPr>
        <w:pStyle w:val="DipnotMetni"/>
      </w:pPr>
      <w:r w:rsidRPr="00EB1F7A">
        <w:rPr>
          <w:rStyle w:val="DipnotBavurusu"/>
        </w:rPr>
        <w:footnoteRef/>
      </w:r>
      <w:r w:rsidRPr="00EB1F7A">
        <w:t xml:space="preserve"> </w:t>
      </w:r>
      <w:r w:rsidRPr="00EB1F7A">
        <w:rPr>
          <w:bCs/>
        </w:rPr>
        <w:t>İklim Değişikliği Karbon Proje ve Piyasası Terimler Sözlüğü</w:t>
      </w:r>
    </w:p>
  </w:footnote>
  <w:footnote w:id="21">
    <w:p w:rsidR="00D33D81" w:rsidRDefault="00D33D81">
      <w:pPr>
        <w:pStyle w:val="DipnotMetni"/>
      </w:pPr>
      <w:r>
        <w:rPr>
          <w:rStyle w:val="DipnotBavurusu"/>
        </w:rPr>
        <w:footnoteRef/>
      </w:r>
      <w:r>
        <w:t xml:space="preserve"> IPCC Özel Raporu </w:t>
      </w:r>
      <w:r w:rsidRPr="00B82284">
        <w:t>http://www.ipcc.ch</w:t>
      </w:r>
      <w:r>
        <w:t xml:space="preserve"> (17)</w:t>
      </w:r>
    </w:p>
  </w:footnote>
  <w:footnote w:id="22">
    <w:p w:rsidR="00D33D81" w:rsidRDefault="00D33D81">
      <w:pPr>
        <w:pStyle w:val="DipnotMetni"/>
      </w:pPr>
      <w:r>
        <w:rPr>
          <w:rStyle w:val="DipnotBavurusu"/>
        </w:rPr>
        <w:footnoteRef/>
      </w:r>
      <w:r>
        <w:t xml:space="preserve"> </w:t>
      </w:r>
      <w:r w:rsidRPr="00A16FE6">
        <w:t>http://www.eie.gov.tr</w:t>
      </w:r>
      <w:r>
        <w:t xml:space="preserve"> (16)</w:t>
      </w:r>
    </w:p>
    <w:p w:rsidR="00D33D81" w:rsidRDefault="00D33D81">
      <w:pPr>
        <w:pStyle w:val="DipnotMetni"/>
      </w:pPr>
    </w:p>
  </w:footnote>
  <w:footnote w:id="23">
    <w:p w:rsidR="00D33D81" w:rsidRDefault="00D33D81" w:rsidP="0072673A">
      <w:pPr>
        <w:pStyle w:val="DipnotMetni"/>
      </w:pPr>
      <w:r>
        <w:rPr>
          <w:rStyle w:val="DipnotBavurusu"/>
        </w:rPr>
        <w:footnoteRef/>
      </w:r>
      <w:r>
        <w:t xml:space="preserve"> </w:t>
      </w:r>
      <w:r w:rsidRPr="00A16FE6">
        <w:t>http://www.eie.gov.tr</w:t>
      </w:r>
      <w:r>
        <w:t xml:space="preserve"> (16)</w:t>
      </w:r>
    </w:p>
  </w:footnote>
  <w:footnote w:id="24">
    <w:p w:rsidR="00D33D81" w:rsidRDefault="00D33D81">
      <w:pPr>
        <w:pStyle w:val="DipnotMetni"/>
      </w:pPr>
      <w:r>
        <w:rPr>
          <w:rStyle w:val="DipnotBavurusu"/>
        </w:rPr>
        <w:footnoteRef/>
      </w:r>
      <w:r>
        <w:t xml:space="preserve"> IPCC Özel Raporu </w:t>
      </w:r>
      <w:r w:rsidRPr="00B82284">
        <w:t>http://www.ipcc.ch</w:t>
      </w:r>
      <w:r>
        <w:t xml:space="preserve"> (17)</w:t>
      </w:r>
    </w:p>
  </w:footnote>
  <w:footnote w:id="25">
    <w:p w:rsidR="00D33D81" w:rsidRDefault="00D33D81">
      <w:pPr>
        <w:pStyle w:val="DipnotMetni"/>
      </w:pPr>
      <w:r>
        <w:rPr>
          <w:rStyle w:val="DipnotBavurusu"/>
        </w:rPr>
        <w:footnoteRef/>
      </w:r>
      <w:r>
        <w:t xml:space="preserve"> </w:t>
      </w:r>
      <w:r w:rsidRPr="00135F0D">
        <w:t>wri.org (18)</w:t>
      </w:r>
    </w:p>
  </w:footnote>
  <w:footnote w:id="26">
    <w:p w:rsidR="00D33D81" w:rsidRDefault="00D33D81">
      <w:pPr>
        <w:pStyle w:val="DipnotMetni"/>
      </w:pPr>
      <w:r>
        <w:rPr>
          <w:rStyle w:val="DipnotBavurusu"/>
        </w:rPr>
        <w:footnoteRef/>
      </w:r>
      <w:r>
        <w:t xml:space="preserve"> </w:t>
      </w:r>
      <w:r w:rsidRPr="00214A2E">
        <w:t>http://www.eie.gov.tr</w:t>
      </w:r>
      <w:r>
        <w:t xml:space="preserve"> (16)</w:t>
      </w:r>
    </w:p>
  </w:footnote>
  <w:footnote w:id="27">
    <w:p w:rsidR="00D33D81" w:rsidRDefault="00D33D81">
      <w:pPr>
        <w:pStyle w:val="DipnotMetni"/>
      </w:pPr>
      <w:r>
        <w:rPr>
          <w:rStyle w:val="DipnotBavurusu"/>
        </w:rPr>
        <w:footnoteRef/>
      </w:r>
      <w:r>
        <w:t xml:space="preserve"> </w:t>
      </w:r>
      <w:r w:rsidRPr="00214A2E">
        <w:t>http://www.eie.gov.tr</w:t>
      </w:r>
      <w:r>
        <w:t xml:space="preserve"> (16)</w:t>
      </w:r>
    </w:p>
  </w:footnote>
  <w:footnote w:id="28">
    <w:p w:rsidR="00D33D81" w:rsidRDefault="00D33D81">
      <w:pPr>
        <w:pStyle w:val="DipnotMetni"/>
      </w:pPr>
      <w:r>
        <w:rPr>
          <w:rStyle w:val="DipnotBavurusu"/>
        </w:rPr>
        <w:footnoteRef/>
      </w:r>
      <w:r>
        <w:t xml:space="preserve"> IPCC Özel Raporu </w:t>
      </w:r>
      <w:r w:rsidRPr="00B82284">
        <w:t>http://www.ipcc.ch</w:t>
      </w:r>
      <w:r>
        <w:t xml:space="preserve"> (17)</w:t>
      </w:r>
    </w:p>
  </w:footnote>
  <w:footnote w:id="29">
    <w:p w:rsidR="00D33D81" w:rsidRDefault="00D33D81">
      <w:pPr>
        <w:pStyle w:val="DipnotMetni"/>
      </w:pPr>
      <w:r>
        <w:rPr>
          <w:rStyle w:val="DipnotBavurusu"/>
        </w:rPr>
        <w:footnoteRef/>
      </w:r>
      <w:r>
        <w:t xml:space="preserve"> </w:t>
      </w:r>
      <w:r w:rsidRPr="00E322D7">
        <w:t>http://www.globalccsinstitute.com</w:t>
      </w:r>
      <w:r>
        <w:t xml:space="preserve"> (19)</w:t>
      </w:r>
    </w:p>
  </w:footnote>
  <w:footnote w:id="30">
    <w:p w:rsidR="00D33D81" w:rsidRDefault="00D33D81">
      <w:pPr>
        <w:pStyle w:val="DipnotMetni"/>
      </w:pPr>
      <w:r>
        <w:rPr>
          <w:rStyle w:val="DipnotBavurusu"/>
        </w:rPr>
        <w:footnoteRef/>
      </w:r>
      <w:r>
        <w:t xml:space="preserve"> </w:t>
      </w:r>
      <w:r w:rsidRPr="00965A62">
        <w:t>http://www.eie.gov.tr</w:t>
      </w:r>
      <w:r>
        <w:t xml:space="preserve"> (20)</w:t>
      </w:r>
    </w:p>
  </w:footnote>
  <w:footnote w:id="31">
    <w:p w:rsidR="00D33D81" w:rsidRDefault="00D33D81">
      <w:pPr>
        <w:pStyle w:val="DipnotMetni"/>
      </w:pPr>
      <w:r>
        <w:rPr>
          <w:rStyle w:val="DipnotBavurusu"/>
        </w:rPr>
        <w:footnoteRef/>
      </w:r>
      <w:r>
        <w:t xml:space="preserve"> </w:t>
      </w:r>
      <w:r w:rsidRPr="00BB2C8E">
        <w:t>http://www.bbc.co.uk</w:t>
      </w:r>
      <w:r>
        <w:t xml:space="preserve"> (21)</w:t>
      </w:r>
    </w:p>
  </w:footnote>
  <w:footnote w:id="32">
    <w:p w:rsidR="00D33D81" w:rsidRDefault="00D33D81">
      <w:pPr>
        <w:pStyle w:val="DipnotMetni"/>
      </w:pPr>
      <w:r>
        <w:rPr>
          <w:rStyle w:val="DipnotBavurusu"/>
        </w:rPr>
        <w:footnoteRef/>
      </w:r>
      <w:r>
        <w:t xml:space="preserve"> </w:t>
      </w:r>
      <w:r w:rsidRPr="00C4251F">
        <w:t>http://www.alstom.com</w:t>
      </w:r>
      <w:r>
        <w:t xml:space="preserve"> (22)</w:t>
      </w:r>
    </w:p>
  </w:footnote>
  <w:footnote w:id="33">
    <w:p w:rsidR="00D33D81" w:rsidRDefault="00D33D81" w:rsidP="00B847CC">
      <w:pPr>
        <w:pStyle w:val="DipnotMetni"/>
      </w:pPr>
      <w:r>
        <w:rPr>
          <w:rStyle w:val="DipnotBavurusu"/>
        </w:rPr>
        <w:footnoteRef/>
      </w:r>
      <w:r>
        <w:t xml:space="preserve"> </w:t>
      </w:r>
      <w:r w:rsidRPr="00392077">
        <w:t>www.climap.net</w:t>
      </w:r>
      <w:r>
        <w:t xml:space="preserve"> (25)</w:t>
      </w:r>
    </w:p>
  </w:footnote>
  <w:footnote w:id="34">
    <w:p w:rsidR="00D33D81" w:rsidRPr="00893F9A" w:rsidRDefault="00D33D81" w:rsidP="00B847CC">
      <w:pPr>
        <w:pStyle w:val="DipnotMetni"/>
      </w:pPr>
      <w:r>
        <w:rPr>
          <w:rStyle w:val="DipnotBavurusu"/>
        </w:rPr>
        <w:footnoteRef/>
      </w:r>
      <w:r>
        <w:t xml:space="preserve"> www.fao.org (24</w:t>
      </w:r>
      <w:r w:rsidRPr="00893F9A">
        <w:t>)</w:t>
      </w:r>
    </w:p>
  </w:footnote>
  <w:footnote w:id="35">
    <w:p w:rsidR="00D33D81" w:rsidRPr="001D4E4A" w:rsidRDefault="00D33D81" w:rsidP="001D4E4A">
      <w:pPr>
        <w:jc w:val="both"/>
        <w:rPr>
          <w:sz w:val="20"/>
          <w:szCs w:val="20"/>
        </w:rPr>
      </w:pPr>
      <w:r>
        <w:rPr>
          <w:rStyle w:val="DipnotBavurusu"/>
        </w:rPr>
        <w:footnoteRef/>
      </w:r>
      <w:r>
        <w:t xml:space="preserve"> </w:t>
      </w:r>
      <w:proofErr w:type="gramStart"/>
      <w:r w:rsidRPr="001D4E4A">
        <w:rPr>
          <w:sz w:val="20"/>
          <w:szCs w:val="20"/>
        </w:rPr>
        <w:t>Ek 1 ülkeleri; ABD</w:t>
      </w:r>
      <w:r>
        <w:rPr>
          <w:sz w:val="20"/>
          <w:szCs w:val="20"/>
        </w:rPr>
        <w:t>,</w:t>
      </w:r>
      <w:r w:rsidRPr="001D4E4A">
        <w:rPr>
          <w:sz w:val="20"/>
          <w:szCs w:val="20"/>
        </w:rPr>
        <w:t xml:space="preserve"> </w:t>
      </w:r>
      <w:r>
        <w:rPr>
          <w:sz w:val="20"/>
          <w:szCs w:val="20"/>
        </w:rPr>
        <w:t xml:space="preserve">Almanya, AB-15, Avustralya, Avusturya, </w:t>
      </w:r>
      <w:r w:rsidRPr="001D4E4A">
        <w:rPr>
          <w:sz w:val="20"/>
          <w:szCs w:val="20"/>
        </w:rPr>
        <w:t>Belçika,</w:t>
      </w:r>
      <w:r>
        <w:rPr>
          <w:sz w:val="20"/>
          <w:szCs w:val="20"/>
        </w:rPr>
        <w:t xml:space="preserve"> Beyaz Rusya, Bulgaristan,</w:t>
      </w:r>
      <w:r w:rsidRPr="001D4E4A">
        <w:rPr>
          <w:sz w:val="20"/>
          <w:szCs w:val="20"/>
        </w:rPr>
        <w:t xml:space="preserve"> </w:t>
      </w:r>
      <w:r>
        <w:rPr>
          <w:sz w:val="20"/>
          <w:szCs w:val="20"/>
        </w:rPr>
        <w:t xml:space="preserve">Çek Cumhuriyeti, </w:t>
      </w:r>
      <w:r w:rsidRPr="001D4E4A">
        <w:rPr>
          <w:sz w:val="20"/>
          <w:szCs w:val="20"/>
        </w:rPr>
        <w:t xml:space="preserve">Danimarka, </w:t>
      </w:r>
      <w:r>
        <w:rPr>
          <w:sz w:val="20"/>
          <w:szCs w:val="20"/>
        </w:rPr>
        <w:t xml:space="preserve">Estonya, </w:t>
      </w:r>
      <w:r w:rsidRPr="001D4E4A">
        <w:rPr>
          <w:sz w:val="20"/>
          <w:szCs w:val="20"/>
        </w:rPr>
        <w:t xml:space="preserve">Finlandiya, Fransa, </w:t>
      </w:r>
      <w:r>
        <w:rPr>
          <w:sz w:val="20"/>
          <w:szCs w:val="20"/>
        </w:rPr>
        <w:t xml:space="preserve">Hollanda, Hırvatistan, </w:t>
      </w:r>
      <w:r w:rsidRPr="001D4E4A">
        <w:rPr>
          <w:sz w:val="20"/>
          <w:szCs w:val="20"/>
        </w:rPr>
        <w:t>İngiltere, İrlanda, İspanya, İsveç, İsvi</w:t>
      </w:r>
      <w:r>
        <w:rPr>
          <w:sz w:val="20"/>
          <w:szCs w:val="20"/>
        </w:rPr>
        <w:t xml:space="preserve">çre, İtalya, İzlanda, Japonya, Letonya, Liechtenstein, Litvanya, </w:t>
      </w:r>
      <w:r w:rsidRPr="001D4E4A">
        <w:rPr>
          <w:sz w:val="20"/>
          <w:szCs w:val="20"/>
        </w:rPr>
        <w:t>Lüksemburg, Kanada,</w:t>
      </w:r>
      <w:r>
        <w:rPr>
          <w:sz w:val="20"/>
          <w:szCs w:val="20"/>
        </w:rPr>
        <w:t xml:space="preserve"> Macaristan, Malta, Monako,</w:t>
      </w:r>
      <w:r w:rsidRPr="001D4E4A">
        <w:rPr>
          <w:sz w:val="20"/>
          <w:szCs w:val="20"/>
        </w:rPr>
        <w:t xml:space="preserve"> Norveç, </w:t>
      </w:r>
      <w:r>
        <w:rPr>
          <w:sz w:val="20"/>
          <w:szCs w:val="20"/>
        </w:rPr>
        <w:t xml:space="preserve">Polonya, </w:t>
      </w:r>
      <w:r w:rsidRPr="001D4E4A">
        <w:rPr>
          <w:sz w:val="20"/>
          <w:szCs w:val="20"/>
        </w:rPr>
        <w:t>Port</w:t>
      </w:r>
      <w:r>
        <w:rPr>
          <w:sz w:val="20"/>
          <w:szCs w:val="20"/>
        </w:rPr>
        <w:t>ekiz, Romanya, Rusya Federasyonu, Slovenya, Slovakya, Ukrayna, Yeni Zelanda, Yunanistan, Türkiye (Özel şartlı Ek 1 ülkesi).</w:t>
      </w:r>
      <w:proofErr w:type="gramEnd"/>
    </w:p>
  </w:footnote>
  <w:footnote w:id="36">
    <w:p w:rsidR="00D33D81" w:rsidRPr="001D4E4A" w:rsidRDefault="00D33D81" w:rsidP="001D4E4A">
      <w:pPr>
        <w:pStyle w:val="DipnotMetni"/>
        <w:jc w:val="both"/>
      </w:pPr>
      <w:r>
        <w:rPr>
          <w:rStyle w:val="DipnotBavurusu"/>
        </w:rPr>
        <w:footnoteRef/>
      </w:r>
      <w:r>
        <w:t xml:space="preserve"> Ek 2 ülkeleri; </w:t>
      </w:r>
      <w:r w:rsidRPr="001D4E4A">
        <w:t>Almanya, ABD, AB-15, Avustralya, Avusturya, Belçika, Danimarka, Finlandiya, Fransa, İngiltere, Hollanda, İrlanda, İspanya, İsveç, İsviçre, İtalya, İzlanda</w:t>
      </w:r>
      <w:r>
        <w:t xml:space="preserve">, Japonya,  Lüksemburg, Kanada, </w:t>
      </w:r>
      <w:r w:rsidRPr="001D4E4A">
        <w:t>Norveç, Portekiz, Yeni Zelanda, Yunanistan.</w:t>
      </w:r>
    </w:p>
  </w:footnote>
  <w:footnote w:id="37">
    <w:p w:rsidR="00D33D81" w:rsidRDefault="00D33D81">
      <w:pPr>
        <w:pStyle w:val="DipnotMetni"/>
      </w:pPr>
      <w:r>
        <w:rPr>
          <w:rStyle w:val="DipnotBavurusu"/>
        </w:rPr>
        <w:footnoteRef/>
      </w:r>
      <w:r>
        <w:t xml:space="preserve"> </w:t>
      </w:r>
      <w:r w:rsidRPr="00280D73">
        <w:rPr>
          <w:sz w:val="24"/>
          <w:szCs w:val="24"/>
        </w:rPr>
        <w:t>http://www.climatevolunteers.com</w:t>
      </w:r>
      <w:r>
        <w:rPr>
          <w:sz w:val="24"/>
          <w:szCs w:val="24"/>
        </w:rPr>
        <w:t xml:space="preserve"> (26)</w:t>
      </w:r>
    </w:p>
  </w:footnote>
  <w:footnote w:id="38">
    <w:p w:rsidR="00D33D81" w:rsidRDefault="00D33D81">
      <w:pPr>
        <w:pStyle w:val="DipnotMetni"/>
      </w:pPr>
      <w:r>
        <w:rPr>
          <w:rStyle w:val="DipnotBavurusu"/>
        </w:rPr>
        <w:footnoteRef/>
      </w:r>
      <w:r>
        <w:t xml:space="preserve"> </w:t>
      </w:r>
      <w:r w:rsidRPr="00280D73">
        <w:rPr>
          <w:sz w:val="24"/>
          <w:szCs w:val="24"/>
        </w:rPr>
        <w:t>http://www.climatevolunteers.com</w:t>
      </w:r>
      <w:r>
        <w:rPr>
          <w:sz w:val="24"/>
          <w:szCs w:val="24"/>
        </w:rPr>
        <w:t xml:space="preserve"> (26)</w:t>
      </w:r>
    </w:p>
  </w:footnote>
  <w:footnote w:id="39">
    <w:p w:rsidR="00D33D81" w:rsidRDefault="00D33D81" w:rsidP="00376C0F">
      <w:pPr>
        <w:pStyle w:val="DipnotMetni"/>
      </w:pPr>
      <w:r>
        <w:rPr>
          <w:rStyle w:val="DipnotBavurusu"/>
        </w:rPr>
        <w:footnoteRef/>
      </w:r>
      <w:r>
        <w:t xml:space="preserve"> </w:t>
      </w:r>
      <w:r w:rsidRPr="00093D10">
        <w:t>http://www.bbc.co.uk (21)</w:t>
      </w:r>
    </w:p>
  </w:footnote>
  <w:footnote w:id="40">
    <w:p w:rsidR="00D33D81" w:rsidRDefault="00D33D81">
      <w:pPr>
        <w:pStyle w:val="DipnotMetni"/>
      </w:pPr>
      <w:r>
        <w:rPr>
          <w:rStyle w:val="DipnotBavurusu"/>
        </w:rPr>
        <w:footnoteRef/>
      </w:r>
      <w:r>
        <w:t xml:space="preserve"> Gelişmekte olan ülkelerin değişkenleri için yıldız (*) işaretini kullandık.</w:t>
      </w:r>
    </w:p>
  </w:footnote>
  <w:footnote w:id="41">
    <w:p w:rsidR="00D33D81" w:rsidRDefault="00D33D81">
      <w:pPr>
        <w:pStyle w:val="DipnotMetni"/>
      </w:pPr>
      <w:r>
        <w:rPr>
          <w:rStyle w:val="DipnotBavurusu"/>
        </w:rPr>
        <w:footnoteRef/>
      </w:r>
      <w:r>
        <w:t xml:space="preserve"> Fress, E.W</w:t>
      </w:r>
      <w:proofErr w:type="gramStart"/>
      <w:r>
        <w:t>.,</w:t>
      </w:r>
      <w:proofErr w:type="gramEnd"/>
      <w:r>
        <w:t xml:space="preserve"> Longitudinal and Panel Data, Analysis and Applications in the Social Sciences, USAi Cambridge University Press, 2004, p.2.</w:t>
      </w:r>
    </w:p>
  </w:footnote>
  <w:footnote w:id="42">
    <w:p w:rsidR="00D33D81" w:rsidRDefault="00D33D81" w:rsidP="00285765">
      <w:pPr>
        <w:pStyle w:val="DipnotMetni"/>
      </w:pPr>
      <w:r>
        <w:rPr>
          <w:rStyle w:val="DipnotBavurusu"/>
        </w:rPr>
        <w:footnoteRef/>
      </w:r>
      <w:r>
        <w:t xml:space="preserve"> Wooldridge (2009) a.g.e, s. 488</w:t>
      </w:r>
    </w:p>
  </w:footnote>
  <w:footnote w:id="43">
    <w:p w:rsidR="00D33D81" w:rsidRDefault="00D33D81" w:rsidP="002E2DB6">
      <w:pPr>
        <w:pStyle w:val="DipnotMetni"/>
      </w:pPr>
      <w:r>
        <w:rPr>
          <w:rStyle w:val="DipnotBavurusu"/>
        </w:rPr>
        <w:footnoteRef/>
      </w:r>
      <w:r>
        <w:t xml:space="preserve"> Çalışmaya alınan OECD ülkeleri: ABD, Almanya, Avustralya, Avusturya, Belçika, Danimarka, Finlandiya, Fransa, Güney Kore, Hollanda, İngiltere, İspanya, İsrail, İsveç, İtalya, Japonya, Kanada</w:t>
      </w:r>
      <w:proofErr w:type="gramStart"/>
      <w:r>
        <w:t>,,</w:t>
      </w:r>
      <w:proofErr w:type="gramEnd"/>
      <w:r>
        <w:t xml:space="preserve"> Macaristan, Meksika, Norveç, Portekiz, Şili, Türkiye, Yunanistan olmak üzere 24 ülkeyi kapsamaktadır.</w:t>
      </w:r>
    </w:p>
  </w:footnote>
  <w:footnote w:id="44">
    <w:p w:rsidR="00D33D81" w:rsidRPr="00F979E8" w:rsidRDefault="00D33D81" w:rsidP="00A832E7">
      <w:pPr>
        <w:pStyle w:val="Balk51"/>
        <w:spacing w:after="0" w:line="360" w:lineRule="auto"/>
        <w:ind w:left="60" w:hanging="60"/>
      </w:pPr>
      <w:r w:rsidRPr="00F979E8">
        <w:rPr>
          <w:rStyle w:val="DipnotBavurusu"/>
        </w:rPr>
        <w:sym w:font="Symbol" w:char="F02A"/>
      </w:r>
      <w:r>
        <w:t xml:space="preserve"> </w:t>
      </w:r>
      <m:oMath>
        <m:sSub>
          <m:sSubPr>
            <m:ctrlPr>
              <w:rPr>
                <w:rFonts w:ascii="Cambria Math" w:hAnsi="Cambria Math"/>
                <w:i/>
              </w:rPr>
            </m:ctrlPr>
          </m:sSubPr>
          <m:e>
            <m:r>
              <w:rPr>
                <w:rFonts w:ascii="Cambria Math" w:hAnsi="Cambria Math"/>
              </w:rPr>
              <m:t>i</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sSub>
          <m:sSubPr>
            <m:ctrlPr>
              <w:rPr>
                <w:rFonts w:ascii="Cambria Math" w:hAnsi="Cambria Math"/>
                <w:i/>
              </w:rPr>
            </m:ctrlPr>
          </m:sSubPr>
          <m:e>
            <m:r>
              <w:rPr>
                <w:rFonts w:ascii="Cambria Math" w:hAnsi="Cambria Math"/>
              </w:rPr>
              <m:t>π</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π</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i</m:t>
            </m:r>
          </m:sub>
        </m:sSub>
        <m:sSub>
          <m:sSubPr>
            <m:ctrlPr>
              <w:rPr>
                <w:rFonts w:ascii="Cambria Math" w:hAnsi="Cambria Math"/>
                <w:i/>
              </w:rPr>
            </m:ctrlPr>
          </m:sSubPr>
          <m:e>
            <m:r>
              <w:rPr>
                <w:rFonts w:ascii="Cambria Math" w:hAnsi="Cambria Math"/>
              </w:rPr>
              <m:t>π</m:t>
            </m:r>
          </m:e>
          <m:sub>
            <m:r>
              <w:rPr>
                <w:rFonts w:ascii="Cambria Math" w:hAnsi="Cambria Math"/>
              </w:rPr>
              <m:t>it-1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it</m:t>
            </m:r>
          </m:sub>
        </m:sSub>
      </m:oMath>
      <w:r>
        <w:t xml:space="preserve"> olup daha fazla bilgi için bkz: Westerlund (2008: 196, 199).</w:t>
      </w:r>
    </w:p>
    <w:p w:rsidR="00D33D81" w:rsidRDefault="00D33D81" w:rsidP="00A832E7">
      <w:pPr>
        <w:pStyle w:val="DipnotMetni"/>
      </w:pPr>
    </w:p>
  </w:footnote>
  <w:footnote w:id="45">
    <w:p w:rsidR="00D33D81" w:rsidRDefault="00D33D81" w:rsidP="009C1443">
      <w:pPr>
        <w:pStyle w:val="DipnotMetni"/>
      </w:pPr>
      <w:r>
        <w:rPr>
          <w:rStyle w:val="DipnotBavurusu"/>
        </w:rPr>
        <w:footnoteRef/>
      </w:r>
      <w:r>
        <w:t xml:space="preserve"> Daha fazla bilgi için bkz</w:t>
      </w:r>
      <w:proofErr w:type="gramStart"/>
      <w:r>
        <w:t>.:</w:t>
      </w:r>
      <w:proofErr w:type="gramEnd"/>
      <w:r>
        <w:t xml:space="preserve"> Pesaran (2006a: 971).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079684"/>
      <w:docPartObj>
        <w:docPartGallery w:val="Page Numbers (Top of Page)"/>
        <w:docPartUnique/>
      </w:docPartObj>
    </w:sdtPr>
    <w:sdtEndPr/>
    <w:sdtContent>
      <w:p w:rsidR="00D33D81" w:rsidRDefault="00D33D81">
        <w:pPr>
          <w:pStyle w:val="stbilgi"/>
          <w:jc w:val="right"/>
        </w:pPr>
        <w:r>
          <w:fldChar w:fldCharType="begin"/>
        </w:r>
        <w:r>
          <w:instrText>PAGE   \* MERGEFORMAT</w:instrText>
        </w:r>
        <w:r>
          <w:fldChar w:fldCharType="separate"/>
        </w:r>
        <w:r w:rsidR="007C769A">
          <w:rPr>
            <w:noProof/>
          </w:rPr>
          <w:t>xv</w:t>
        </w:r>
        <w:r>
          <w:fldChar w:fldCharType="end"/>
        </w:r>
      </w:p>
    </w:sdtContent>
  </w:sdt>
  <w:p w:rsidR="00D33D81" w:rsidRDefault="00D33D81" w:rsidP="00AF222B">
    <w:pPr>
      <w:pStyle w:val="stbilgi"/>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D81" w:rsidRDefault="00D33D81">
    <w:pPr>
      <w:pStyle w:val="stbilgi"/>
      <w:jc w:val="right"/>
    </w:pPr>
    <w:r>
      <w:fldChar w:fldCharType="begin"/>
    </w:r>
    <w:r>
      <w:instrText>PAGE   \* MERGEFORMAT</w:instrText>
    </w:r>
    <w:r>
      <w:fldChar w:fldCharType="separate"/>
    </w:r>
    <w:r w:rsidR="007C769A">
      <w:rPr>
        <w:noProof/>
      </w:rPr>
      <w:t>140</w:t>
    </w:r>
    <w:r>
      <w:rPr>
        <w:noProof/>
      </w:rPr>
      <w:fldChar w:fldCharType="end"/>
    </w:r>
  </w:p>
  <w:p w:rsidR="00D33D81" w:rsidRDefault="00D33D81" w:rsidP="00AF222B">
    <w:pPr>
      <w:pStyle w:val="stbilgi"/>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5220"/>
    <w:multiLevelType w:val="hybridMultilevel"/>
    <w:tmpl w:val="5F1E8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492B28"/>
    <w:multiLevelType w:val="multilevel"/>
    <w:tmpl w:val="CD3AE0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711A7B"/>
    <w:multiLevelType w:val="hybridMultilevel"/>
    <w:tmpl w:val="D46251DC"/>
    <w:lvl w:ilvl="0" w:tplc="0098314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3E53FB"/>
    <w:multiLevelType w:val="hybridMultilevel"/>
    <w:tmpl w:val="F9FCBA18"/>
    <w:lvl w:ilvl="0" w:tplc="106EB4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B160AD0"/>
    <w:multiLevelType w:val="hybridMultilevel"/>
    <w:tmpl w:val="03A6751A"/>
    <w:lvl w:ilvl="0" w:tplc="005E91EE">
      <w:start w:val="1"/>
      <w:numFmt w:val="bullet"/>
      <w:lvlText w:val=""/>
      <w:lvlJc w:val="left"/>
      <w:pPr>
        <w:tabs>
          <w:tab w:val="num" w:pos="720"/>
        </w:tabs>
        <w:ind w:left="720" w:hanging="360"/>
      </w:pPr>
      <w:rPr>
        <w:rFonts w:ascii="Wingdings" w:hAnsi="Wingdings" w:hint="default"/>
      </w:rPr>
    </w:lvl>
    <w:lvl w:ilvl="1" w:tplc="C4A47828" w:tentative="1">
      <w:start w:val="1"/>
      <w:numFmt w:val="bullet"/>
      <w:lvlText w:val=""/>
      <w:lvlJc w:val="left"/>
      <w:pPr>
        <w:tabs>
          <w:tab w:val="num" w:pos="1440"/>
        </w:tabs>
        <w:ind w:left="1440" w:hanging="360"/>
      </w:pPr>
      <w:rPr>
        <w:rFonts w:ascii="Wingdings" w:hAnsi="Wingdings" w:hint="default"/>
      </w:rPr>
    </w:lvl>
    <w:lvl w:ilvl="2" w:tplc="249E10D2" w:tentative="1">
      <w:start w:val="1"/>
      <w:numFmt w:val="bullet"/>
      <w:lvlText w:val=""/>
      <w:lvlJc w:val="left"/>
      <w:pPr>
        <w:tabs>
          <w:tab w:val="num" w:pos="2160"/>
        </w:tabs>
        <w:ind w:left="2160" w:hanging="360"/>
      </w:pPr>
      <w:rPr>
        <w:rFonts w:ascii="Wingdings" w:hAnsi="Wingdings" w:hint="default"/>
      </w:rPr>
    </w:lvl>
    <w:lvl w:ilvl="3" w:tplc="88AA7C0A" w:tentative="1">
      <w:start w:val="1"/>
      <w:numFmt w:val="bullet"/>
      <w:lvlText w:val=""/>
      <w:lvlJc w:val="left"/>
      <w:pPr>
        <w:tabs>
          <w:tab w:val="num" w:pos="2880"/>
        </w:tabs>
        <w:ind w:left="2880" w:hanging="360"/>
      </w:pPr>
      <w:rPr>
        <w:rFonts w:ascii="Wingdings" w:hAnsi="Wingdings" w:hint="default"/>
      </w:rPr>
    </w:lvl>
    <w:lvl w:ilvl="4" w:tplc="F58A62A0" w:tentative="1">
      <w:start w:val="1"/>
      <w:numFmt w:val="bullet"/>
      <w:lvlText w:val=""/>
      <w:lvlJc w:val="left"/>
      <w:pPr>
        <w:tabs>
          <w:tab w:val="num" w:pos="3600"/>
        </w:tabs>
        <w:ind w:left="3600" w:hanging="360"/>
      </w:pPr>
      <w:rPr>
        <w:rFonts w:ascii="Wingdings" w:hAnsi="Wingdings" w:hint="default"/>
      </w:rPr>
    </w:lvl>
    <w:lvl w:ilvl="5" w:tplc="EE105B50" w:tentative="1">
      <w:start w:val="1"/>
      <w:numFmt w:val="bullet"/>
      <w:lvlText w:val=""/>
      <w:lvlJc w:val="left"/>
      <w:pPr>
        <w:tabs>
          <w:tab w:val="num" w:pos="4320"/>
        </w:tabs>
        <w:ind w:left="4320" w:hanging="360"/>
      </w:pPr>
      <w:rPr>
        <w:rFonts w:ascii="Wingdings" w:hAnsi="Wingdings" w:hint="default"/>
      </w:rPr>
    </w:lvl>
    <w:lvl w:ilvl="6" w:tplc="A784E132" w:tentative="1">
      <w:start w:val="1"/>
      <w:numFmt w:val="bullet"/>
      <w:lvlText w:val=""/>
      <w:lvlJc w:val="left"/>
      <w:pPr>
        <w:tabs>
          <w:tab w:val="num" w:pos="5040"/>
        </w:tabs>
        <w:ind w:left="5040" w:hanging="360"/>
      </w:pPr>
      <w:rPr>
        <w:rFonts w:ascii="Wingdings" w:hAnsi="Wingdings" w:hint="default"/>
      </w:rPr>
    </w:lvl>
    <w:lvl w:ilvl="7" w:tplc="D220AFF4" w:tentative="1">
      <w:start w:val="1"/>
      <w:numFmt w:val="bullet"/>
      <w:lvlText w:val=""/>
      <w:lvlJc w:val="left"/>
      <w:pPr>
        <w:tabs>
          <w:tab w:val="num" w:pos="5760"/>
        </w:tabs>
        <w:ind w:left="5760" w:hanging="360"/>
      </w:pPr>
      <w:rPr>
        <w:rFonts w:ascii="Wingdings" w:hAnsi="Wingdings" w:hint="default"/>
      </w:rPr>
    </w:lvl>
    <w:lvl w:ilvl="8" w:tplc="CA641D5A" w:tentative="1">
      <w:start w:val="1"/>
      <w:numFmt w:val="bullet"/>
      <w:lvlText w:val=""/>
      <w:lvlJc w:val="left"/>
      <w:pPr>
        <w:tabs>
          <w:tab w:val="num" w:pos="6480"/>
        </w:tabs>
        <w:ind w:left="6480" w:hanging="360"/>
      </w:pPr>
      <w:rPr>
        <w:rFonts w:ascii="Wingdings" w:hAnsi="Wingdings" w:hint="default"/>
      </w:rPr>
    </w:lvl>
  </w:abstractNum>
  <w:abstractNum w:abstractNumId="5">
    <w:nsid w:val="0C6D5C4E"/>
    <w:multiLevelType w:val="multilevel"/>
    <w:tmpl w:val="0E36A2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6768DF"/>
    <w:multiLevelType w:val="hybridMultilevel"/>
    <w:tmpl w:val="1D3CDDC0"/>
    <w:lvl w:ilvl="0" w:tplc="AA82DE02">
      <w:start w:val="1"/>
      <w:numFmt w:val="bullet"/>
      <w:lvlText w:val=""/>
      <w:lvlJc w:val="left"/>
      <w:pPr>
        <w:tabs>
          <w:tab w:val="num" w:pos="720"/>
        </w:tabs>
        <w:ind w:left="720" w:hanging="360"/>
      </w:pPr>
      <w:rPr>
        <w:rFonts w:ascii="Wingdings" w:hAnsi="Wingdings" w:hint="default"/>
      </w:rPr>
    </w:lvl>
    <w:lvl w:ilvl="1" w:tplc="A0AC6586" w:tentative="1">
      <w:start w:val="1"/>
      <w:numFmt w:val="bullet"/>
      <w:lvlText w:val=""/>
      <w:lvlJc w:val="left"/>
      <w:pPr>
        <w:tabs>
          <w:tab w:val="num" w:pos="1440"/>
        </w:tabs>
        <w:ind w:left="1440" w:hanging="360"/>
      </w:pPr>
      <w:rPr>
        <w:rFonts w:ascii="Wingdings" w:hAnsi="Wingdings" w:hint="default"/>
      </w:rPr>
    </w:lvl>
    <w:lvl w:ilvl="2" w:tplc="61BA86A0" w:tentative="1">
      <w:start w:val="1"/>
      <w:numFmt w:val="bullet"/>
      <w:lvlText w:val=""/>
      <w:lvlJc w:val="left"/>
      <w:pPr>
        <w:tabs>
          <w:tab w:val="num" w:pos="2160"/>
        </w:tabs>
        <w:ind w:left="2160" w:hanging="360"/>
      </w:pPr>
      <w:rPr>
        <w:rFonts w:ascii="Wingdings" w:hAnsi="Wingdings" w:hint="default"/>
      </w:rPr>
    </w:lvl>
    <w:lvl w:ilvl="3" w:tplc="1C147C6A" w:tentative="1">
      <w:start w:val="1"/>
      <w:numFmt w:val="bullet"/>
      <w:lvlText w:val=""/>
      <w:lvlJc w:val="left"/>
      <w:pPr>
        <w:tabs>
          <w:tab w:val="num" w:pos="2880"/>
        </w:tabs>
        <w:ind w:left="2880" w:hanging="360"/>
      </w:pPr>
      <w:rPr>
        <w:rFonts w:ascii="Wingdings" w:hAnsi="Wingdings" w:hint="default"/>
      </w:rPr>
    </w:lvl>
    <w:lvl w:ilvl="4" w:tplc="6B869304" w:tentative="1">
      <w:start w:val="1"/>
      <w:numFmt w:val="bullet"/>
      <w:lvlText w:val=""/>
      <w:lvlJc w:val="left"/>
      <w:pPr>
        <w:tabs>
          <w:tab w:val="num" w:pos="3600"/>
        </w:tabs>
        <w:ind w:left="3600" w:hanging="360"/>
      </w:pPr>
      <w:rPr>
        <w:rFonts w:ascii="Wingdings" w:hAnsi="Wingdings" w:hint="default"/>
      </w:rPr>
    </w:lvl>
    <w:lvl w:ilvl="5" w:tplc="70F00E96" w:tentative="1">
      <w:start w:val="1"/>
      <w:numFmt w:val="bullet"/>
      <w:lvlText w:val=""/>
      <w:lvlJc w:val="left"/>
      <w:pPr>
        <w:tabs>
          <w:tab w:val="num" w:pos="4320"/>
        </w:tabs>
        <w:ind w:left="4320" w:hanging="360"/>
      </w:pPr>
      <w:rPr>
        <w:rFonts w:ascii="Wingdings" w:hAnsi="Wingdings" w:hint="default"/>
      </w:rPr>
    </w:lvl>
    <w:lvl w:ilvl="6" w:tplc="DAFC9506" w:tentative="1">
      <w:start w:val="1"/>
      <w:numFmt w:val="bullet"/>
      <w:lvlText w:val=""/>
      <w:lvlJc w:val="left"/>
      <w:pPr>
        <w:tabs>
          <w:tab w:val="num" w:pos="5040"/>
        </w:tabs>
        <w:ind w:left="5040" w:hanging="360"/>
      </w:pPr>
      <w:rPr>
        <w:rFonts w:ascii="Wingdings" w:hAnsi="Wingdings" w:hint="default"/>
      </w:rPr>
    </w:lvl>
    <w:lvl w:ilvl="7" w:tplc="9EACBE72" w:tentative="1">
      <w:start w:val="1"/>
      <w:numFmt w:val="bullet"/>
      <w:lvlText w:val=""/>
      <w:lvlJc w:val="left"/>
      <w:pPr>
        <w:tabs>
          <w:tab w:val="num" w:pos="5760"/>
        </w:tabs>
        <w:ind w:left="5760" w:hanging="360"/>
      </w:pPr>
      <w:rPr>
        <w:rFonts w:ascii="Wingdings" w:hAnsi="Wingdings" w:hint="default"/>
      </w:rPr>
    </w:lvl>
    <w:lvl w:ilvl="8" w:tplc="8E06087E" w:tentative="1">
      <w:start w:val="1"/>
      <w:numFmt w:val="bullet"/>
      <w:lvlText w:val=""/>
      <w:lvlJc w:val="left"/>
      <w:pPr>
        <w:tabs>
          <w:tab w:val="num" w:pos="6480"/>
        </w:tabs>
        <w:ind w:left="6480" w:hanging="360"/>
      </w:pPr>
      <w:rPr>
        <w:rFonts w:ascii="Wingdings" w:hAnsi="Wingdings" w:hint="default"/>
      </w:rPr>
    </w:lvl>
  </w:abstractNum>
  <w:abstractNum w:abstractNumId="7">
    <w:nsid w:val="0E98057B"/>
    <w:multiLevelType w:val="multilevel"/>
    <w:tmpl w:val="D2AE0780"/>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F41626F"/>
    <w:multiLevelType w:val="hybridMultilevel"/>
    <w:tmpl w:val="3350F7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F5A2B86"/>
    <w:multiLevelType w:val="hybridMultilevel"/>
    <w:tmpl w:val="F58ECF92"/>
    <w:lvl w:ilvl="0" w:tplc="B1546B1C">
      <w:start w:val="1"/>
      <w:numFmt w:val="bullet"/>
      <w:lvlText w:val=""/>
      <w:lvlJc w:val="left"/>
      <w:pPr>
        <w:tabs>
          <w:tab w:val="num" w:pos="720"/>
        </w:tabs>
        <w:ind w:left="720" w:hanging="360"/>
      </w:pPr>
      <w:rPr>
        <w:rFonts w:ascii="Wingdings" w:hAnsi="Wingdings" w:hint="default"/>
      </w:rPr>
    </w:lvl>
    <w:lvl w:ilvl="1" w:tplc="AD901C98" w:tentative="1">
      <w:start w:val="1"/>
      <w:numFmt w:val="bullet"/>
      <w:lvlText w:val=""/>
      <w:lvlJc w:val="left"/>
      <w:pPr>
        <w:tabs>
          <w:tab w:val="num" w:pos="1440"/>
        </w:tabs>
        <w:ind w:left="1440" w:hanging="360"/>
      </w:pPr>
      <w:rPr>
        <w:rFonts w:ascii="Wingdings" w:hAnsi="Wingdings" w:hint="default"/>
      </w:rPr>
    </w:lvl>
    <w:lvl w:ilvl="2" w:tplc="5D804C56" w:tentative="1">
      <w:start w:val="1"/>
      <w:numFmt w:val="bullet"/>
      <w:lvlText w:val=""/>
      <w:lvlJc w:val="left"/>
      <w:pPr>
        <w:tabs>
          <w:tab w:val="num" w:pos="2160"/>
        </w:tabs>
        <w:ind w:left="2160" w:hanging="360"/>
      </w:pPr>
      <w:rPr>
        <w:rFonts w:ascii="Wingdings" w:hAnsi="Wingdings" w:hint="default"/>
      </w:rPr>
    </w:lvl>
    <w:lvl w:ilvl="3" w:tplc="01F692E4" w:tentative="1">
      <w:start w:val="1"/>
      <w:numFmt w:val="bullet"/>
      <w:lvlText w:val=""/>
      <w:lvlJc w:val="left"/>
      <w:pPr>
        <w:tabs>
          <w:tab w:val="num" w:pos="2880"/>
        </w:tabs>
        <w:ind w:left="2880" w:hanging="360"/>
      </w:pPr>
      <w:rPr>
        <w:rFonts w:ascii="Wingdings" w:hAnsi="Wingdings" w:hint="default"/>
      </w:rPr>
    </w:lvl>
    <w:lvl w:ilvl="4" w:tplc="A4A6F396" w:tentative="1">
      <w:start w:val="1"/>
      <w:numFmt w:val="bullet"/>
      <w:lvlText w:val=""/>
      <w:lvlJc w:val="left"/>
      <w:pPr>
        <w:tabs>
          <w:tab w:val="num" w:pos="3600"/>
        </w:tabs>
        <w:ind w:left="3600" w:hanging="360"/>
      </w:pPr>
      <w:rPr>
        <w:rFonts w:ascii="Wingdings" w:hAnsi="Wingdings" w:hint="default"/>
      </w:rPr>
    </w:lvl>
    <w:lvl w:ilvl="5" w:tplc="8620FD14" w:tentative="1">
      <w:start w:val="1"/>
      <w:numFmt w:val="bullet"/>
      <w:lvlText w:val=""/>
      <w:lvlJc w:val="left"/>
      <w:pPr>
        <w:tabs>
          <w:tab w:val="num" w:pos="4320"/>
        </w:tabs>
        <w:ind w:left="4320" w:hanging="360"/>
      </w:pPr>
      <w:rPr>
        <w:rFonts w:ascii="Wingdings" w:hAnsi="Wingdings" w:hint="default"/>
      </w:rPr>
    </w:lvl>
    <w:lvl w:ilvl="6" w:tplc="8CC6FB5C" w:tentative="1">
      <w:start w:val="1"/>
      <w:numFmt w:val="bullet"/>
      <w:lvlText w:val=""/>
      <w:lvlJc w:val="left"/>
      <w:pPr>
        <w:tabs>
          <w:tab w:val="num" w:pos="5040"/>
        </w:tabs>
        <w:ind w:left="5040" w:hanging="360"/>
      </w:pPr>
      <w:rPr>
        <w:rFonts w:ascii="Wingdings" w:hAnsi="Wingdings" w:hint="default"/>
      </w:rPr>
    </w:lvl>
    <w:lvl w:ilvl="7" w:tplc="BBDC5FC6" w:tentative="1">
      <w:start w:val="1"/>
      <w:numFmt w:val="bullet"/>
      <w:lvlText w:val=""/>
      <w:lvlJc w:val="left"/>
      <w:pPr>
        <w:tabs>
          <w:tab w:val="num" w:pos="5760"/>
        </w:tabs>
        <w:ind w:left="5760" w:hanging="360"/>
      </w:pPr>
      <w:rPr>
        <w:rFonts w:ascii="Wingdings" w:hAnsi="Wingdings" w:hint="default"/>
      </w:rPr>
    </w:lvl>
    <w:lvl w:ilvl="8" w:tplc="C54EB446" w:tentative="1">
      <w:start w:val="1"/>
      <w:numFmt w:val="bullet"/>
      <w:lvlText w:val=""/>
      <w:lvlJc w:val="left"/>
      <w:pPr>
        <w:tabs>
          <w:tab w:val="num" w:pos="6480"/>
        </w:tabs>
        <w:ind w:left="6480" w:hanging="360"/>
      </w:pPr>
      <w:rPr>
        <w:rFonts w:ascii="Wingdings" w:hAnsi="Wingdings" w:hint="default"/>
      </w:rPr>
    </w:lvl>
  </w:abstractNum>
  <w:abstractNum w:abstractNumId="10">
    <w:nsid w:val="125E44A6"/>
    <w:multiLevelType w:val="multilevel"/>
    <w:tmpl w:val="B20C1A32"/>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47447FC"/>
    <w:multiLevelType w:val="multilevel"/>
    <w:tmpl w:val="78F0348E"/>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6352387"/>
    <w:multiLevelType w:val="hybridMultilevel"/>
    <w:tmpl w:val="BE040F40"/>
    <w:lvl w:ilvl="0" w:tplc="0588AF3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6834F81"/>
    <w:multiLevelType w:val="multilevel"/>
    <w:tmpl w:val="91CCC0FE"/>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8F229EE"/>
    <w:multiLevelType w:val="hybridMultilevel"/>
    <w:tmpl w:val="C2B4FD9A"/>
    <w:lvl w:ilvl="0" w:tplc="96780F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FAD6EB1"/>
    <w:multiLevelType w:val="multilevel"/>
    <w:tmpl w:val="AF40D7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18A7370"/>
    <w:multiLevelType w:val="hybridMultilevel"/>
    <w:tmpl w:val="CA943DA8"/>
    <w:lvl w:ilvl="0" w:tplc="D78EF0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5C41974"/>
    <w:multiLevelType w:val="multilevel"/>
    <w:tmpl w:val="5296A2E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75144F"/>
    <w:multiLevelType w:val="multilevel"/>
    <w:tmpl w:val="C9DA6AF8"/>
    <w:lvl w:ilvl="0">
      <w:start w:val="4"/>
      <w:numFmt w:val="decimal"/>
      <w:lvlText w:val="%1"/>
      <w:lvlJc w:val="left"/>
      <w:pPr>
        <w:ind w:left="360" w:hanging="360"/>
      </w:pPr>
      <w:rPr>
        <w:rFonts w:hint="default"/>
      </w:rPr>
    </w:lvl>
    <w:lvl w:ilvl="1">
      <w:start w:val="4"/>
      <w:numFmt w:val="decimal"/>
      <w:pStyle w:val="Balk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E370AC3"/>
    <w:multiLevelType w:val="multilevel"/>
    <w:tmpl w:val="251AD3F2"/>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3251C0F"/>
    <w:multiLevelType w:val="hybridMultilevel"/>
    <w:tmpl w:val="1774060C"/>
    <w:lvl w:ilvl="0" w:tplc="041F0019">
      <w:start w:val="32"/>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C843049"/>
    <w:multiLevelType w:val="hybridMultilevel"/>
    <w:tmpl w:val="FFD05D18"/>
    <w:lvl w:ilvl="0" w:tplc="BAD4EFA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D6F7178"/>
    <w:multiLevelType w:val="multilevel"/>
    <w:tmpl w:val="A8A076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E5562EF"/>
    <w:multiLevelType w:val="multilevel"/>
    <w:tmpl w:val="50CAC7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0330D90"/>
    <w:multiLevelType w:val="multilevel"/>
    <w:tmpl w:val="E9B2F7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517109B"/>
    <w:multiLevelType w:val="multilevel"/>
    <w:tmpl w:val="A49A21AA"/>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pStyle w:val="Balk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AED761C"/>
    <w:multiLevelType w:val="hybridMultilevel"/>
    <w:tmpl w:val="B2806B2A"/>
    <w:lvl w:ilvl="0" w:tplc="F3D4D2D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7">
    <w:nsid w:val="5DFE1781"/>
    <w:multiLevelType w:val="hybridMultilevel"/>
    <w:tmpl w:val="FAF41314"/>
    <w:lvl w:ilvl="0" w:tplc="ADE4A1A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8">
    <w:nsid w:val="61861083"/>
    <w:multiLevelType w:val="multilevel"/>
    <w:tmpl w:val="5E0C7AD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2D667CC"/>
    <w:multiLevelType w:val="hybridMultilevel"/>
    <w:tmpl w:val="A8A2C2A2"/>
    <w:lvl w:ilvl="0" w:tplc="D0063514">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8967528"/>
    <w:multiLevelType w:val="hybridMultilevel"/>
    <w:tmpl w:val="2B0CF02A"/>
    <w:lvl w:ilvl="0" w:tplc="335833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D434F6A"/>
    <w:multiLevelType w:val="multilevel"/>
    <w:tmpl w:val="B50E91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5"/>
  </w:num>
  <w:num w:numId="3">
    <w:abstractNumId w:val="29"/>
  </w:num>
  <w:num w:numId="4">
    <w:abstractNumId w:val="1"/>
  </w:num>
  <w:num w:numId="5">
    <w:abstractNumId w:val="23"/>
  </w:num>
  <w:num w:numId="6">
    <w:abstractNumId w:val="8"/>
  </w:num>
  <w:num w:numId="7">
    <w:abstractNumId w:val="4"/>
  </w:num>
  <w:num w:numId="8">
    <w:abstractNumId w:val="6"/>
  </w:num>
  <w:num w:numId="9">
    <w:abstractNumId w:val="9"/>
  </w:num>
  <w:num w:numId="10">
    <w:abstractNumId w:val="10"/>
  </w:num>
  <w:num w:numId="11">
    <w:abstractNumId w:val="14"/>
  </w:num>
  <w:num w:numId="12">
    <w:abstractNumId w:val="3"/>
  </w:num>
  <w:num w:numId="13">
    <w:abstractNumId w:val="30"/>
  </w:num>
  <w:num w:numId="14">
    <w:abstractNumId w:val="12"/>
  </w:num>
  <w:num w:numId="15">
    <w:abstractNumId w:val="31"/>
  </w:num>
  <w:num w:numId="16">
    <w:abstractNumId w:val="17"/>
  </w:num>
  <w:num w:numId="17">
    <w:abstractNumId w:val="16"/>
  </w:num>
  <w:num w:numId="18">
    <w:abstractNumId w:val="28"/>
  </w:num>
  <w:num w:numId="19">
    <w:abstractNumId w:val="15"/>
  </w:num>
  <w:num w:numId="20">
    <w:abstractNumId w:val="20"/>
  </w:num>
  <w:num w:numId="21">
    <w:abstractNumId w:val="2"/>
  </w:num>
  <w:num w:numId="22">
    <w:abstractNumId w:val="26"/>
  </w:num>
  <w:num w:numId="23">
    <w:abstractNumId w:val="0"/>
  </w:num>
  <w:num w:numId="24">
    <w:abstractNumId w:val="21"/>
  </w:num>
  <w:num w:numId="25">
    <w:abstractNumId w:val="27"/>
  </w:num>
  <w:num w:numId="26">
    <w:abstractNumId w:val="18"/>
  </w:num>
  <w:num w:numId="27">
    <w:abstractNumId w:val="7"/>
  </w:num>
  <w:num w:numId="28">
    <w:abstractNumId w:val="11"/>
  </w:num>
  <w:num w:numId="29">
    <w:abstractNumId w:val="25"/>
  </w:num>
  <w:num w:numId="30">
    <w:abstractNumId w:val="25"/>
    <w:lvlOverride w:ilvl="0">
      <w:startOverride w:val="4"/>
    </w:lvlOverride>
    <w:lvlOverride w:ilvl="1">
      <w:startOverride w:val="4"/>
    </w:lvlOverride>
    <w:lvlOverride w:ilvl="2">
      <w:startOverride w:val="2"/>
    </w:lvlOverride>
  </w:num>
  <w:num w:numId="31">
    <w:abstractNumId w:val="13"/>
  </w:num>
  <w:num w:numId="32">
    <w:abstractNumId w:val="22"/>
  </w:num>
  <w:num w:numId="33">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hideSpellingErrors/>
  <w:proofState w:grammar="clean"/>
  <w:defaultTabStop w:val="708"/>
  <w:hyphenationZone w:val="425"/>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A227FF"/>
    <w:rsid w:val="000005E4"/>
    <w:rsid w:val="00000605"/>
    <w:rsid w:val="0000066D"/>
    <w:rsid w:val="000009BA"/>
    <w:rsid w:val="00001350"/>
    <w:rsid w:val="000016F9"/>
    <w:rsid w:val="0000189F"/>
    <w:rsid w:val="0000194C"/>
    <w:rsid w:val="00001F4A"/>
    <w:rsid w:val="000020BC"/>
    <w:rsid w:val="00002360"/>
    <w:rsid w:val="000023D7"/>
    <w:rsid w:val="0000261B"/>
    <w:rsid w:val="00002888"/>
    <w:rsid w:val="00002A5A"/>
    <w:rsid w:val="00002A8F"/>
    <w:rsid w:val="00002D8B"/>
    <w:rsid w:val="00002E98"/>
    <w:rsid w:val="00002E99"/>
    <w:rsid w:val="0000323E"/>
    <w:rsid w:val="0000337F"/>
    <w:rsid w:val="00003895"/>
    <w:rsid w:val="00003D5E"/>
    <w:rsid w:val="00003DDE"/>
    <w:rsid w:val="00004061"/>
    <w:rsid w:val="000047E8"/>
    <w:rsid w:val="00004987"/>
    <w:rsid w:val="00004EA6"/>
    <w:rsid w:val="00005278"/>
    <w:rsid w:val="00005378"/>
    <w:rsid w:val="0000593B"/>
    <w:rsid w:val="0000638E"/>
    <w:rsid w:val="000063D5"/>
    <w:rsid w:val="000065D5"/>
    <w:rsid w:val="00006C39"/>
    <w:rsid w:val="00006D27"/>
    <w:rsid w:val="00006D84"/>
    <w:rsid w:val="00006E7A"/>
    <w:rsid w:val="0000749A"/>
    <w:rsid w:val="000076B5"/>
    <w:rsid w:val="000077C0"/>
    <w:rsid w:val="00007801"/>
    <w:rsid w:val="0001001D"/>
    <w:rsid w:val="00010B37"/>
    <w:rsid w:val="00010B80"/>
    <w:rsid w:val="000111C8"/>
    <w:rsid w:val="000114B9"/>
    <w:rsid w:val="000119D6"/>
    <w:rsid w:val="00011D36"/>
    <w:rsid w:val="00012105"/>
    <w:rsid w:val="00012370"/>
    <w:rsid w:val="00012677"/>
    <w:rsid w:val="0001304E"/>
    <w:rsid w:val="000131D0"/>
    <w:rsid w:val="0001365B"/>
    <w:rsid w:val="00013A99"/>
    <w:rsid w:val="00013C57"/>
    <w:rsid w:val="000141D6"/>
    <w:rsid w:val="000143DF"/>
    <w:rsid w:val="0001485F"/>
    <w:rsid w:val="00014926"/>
    <w:rsid w:val="000150C4"/>
    <w:rsid w:val="00015450"/>
    <w:rsid w:val="00015552"/>
    <w:rsid w:val="000156FD"/>
    <w:rsid w:val="00015F57"/>
    <w:rsid w:val="00016007"/>
    <w:rsid w:val="0001636F"/>
    <w:rsid w:val="00016461"/>
    <w:rsid w:val="00016573"/>
    <w:rsid w:val="0001665F"/>
    <w:rsid w:val="00016A0D"/>
    <w:rsid w:val="00016B88"/>
    <w:rsid w:val="0001746B"/>
    <w:rsid w:val="00017604"/>
    <w:rsid w:val="00017915"/>
    <w:rsid w:val="000179B1"/>
    <w:rsid w:val="00017A3D"/>
    <w:rsid w:val="0002004D"/>
    <w:rsid w:val="000206C6"/>
    <w:rsid w:val="000206D8"/>
    <w:rsid w:val="000208EF"/>
    <w:rsid w:val="00020A6A"/>
    <w:rsid w:val="00020EC6"/>
    <w:rsid w:val="00020F80"/>
    <w:rsid w:val="000218A6"/>
    <w:rsid w:val="00021A98"/>
    <w:rsid w:val="00021AE6"/>
    <w:rsid w:val="00021D38"/>
    <w:rsid w:val="00021D84"/>
    <w:rsid w:val="00021E98"/>
    <w:rsid w:val="000221CD"/>
    <w:rsid w:val="00022799"/>
    <w:rsid w:val="0002299A"/>
    <w:rsid w:val="00022BB1"/>
    <w:rsid w:val="00022DE4"/>
    <w:rsid w:val="00023013"/>
    <w:rsid w:val="0002335A"/>
    <w:rsid w:val="000234DF"/>
    <w:rsid w:val="000238DF"/>
    <w:rsid w:val="000239B4"/>
    <w:rsid w:val="00023A75"/>
    <w:rsid w:val="00023C99"/>
    <w:rsid w:val="000240CF"/>
    <w:rsid w:val="000247BA"/>
    <w:rsid w:val="00024ACA"/>
    <w:rsid w:val="00024E0E"/>
    <w:rsid w:val="0002536D"/>
    <w:rsid w:val="00025400"/>
    <w:rsid w:val="00025854"/>
    <w:rsid w:val="00025F78"/>
    <w:rsid w:val="0002618D"/>
    <w:rsid w:val="00026434"/>
    <w:rsid w:val="00026710"/>
    <w:rsid w:val="00026726"/>
    <w:rsid w:val="00026786"/>
    <w:rsid w:val="0002686F"/>
    <w:rsid w:val="000268AF"/>
    <w:rsid w:val="00026CD7"/>
    <w:rsid w:val="00026DF0"/>
    <w:rsid w:val="00026FE1"/>
    <w:rsid w:val="00027551"/>
    <w:rsid w:val="00027773"/>
    <w:rsid w:val="00027973"/>
    <w:rsid w:val="00027CBC"/>
    <w:rsid w:val="00027CF1"/>
    <w:rsid w:val="00027FF1"/>
    <w:rsid w:val="000309B1"/>
    <w:rsid w:val="00030A09"/>
    <w:rsid w:val="00030BEE"/>
    <w:rsid w:val="00030CC6"/>
    <w:rsid w:val="00030DB0"/>
    <w:rsid w:val="00030E49"/>
    <w:rsid w:val="0003133F"/>
    <w:rsid w:val="00031841"/>
    <w:rsid w:val="00031888"/>
    <w:rsid w:val="00031C00"/>
    <w:rsid w:val="00031ECF"/>
    <w:rsid w:val="00032037"/>
    <w:rsid w:val="0003238C"/>
    <w:rsid w:val="0003277F"/>
    <w:rsid w:val="000339E6"/>
    <w:rsid w:val="00033AA6"/>
    <w:rsid w:val="00033AA9"/>
    <w:rsid w:val="00033B0C"/>
    <w:rsid w:val="00033CC3"/>
    <w:rsid w:val="00033D98"/>
    <w:rsid w:val="00033DE3"/>
    <w:rsid w:val="00033FBE"/>
    <w:rsid w:val="00034446"/>
    <w:rsid w:val="00034795"/>
    <w:rsid w:val="00034BC6"/>
    <w:rsid w:val="00034CDB"/>
    <w:rsid w:val="0003544F"/>
    <w:rsid w:val="000355AF"/>
    <w:rsid w:val="0003588E"/>
    <w:rsid w:val="00035E49"/>
    <w:rsid w:val="00035EBC"/>
    <w:rsid w:val="00035EFD"/>
    <w:rsid w:val="00036025"/>
    <w:rsid w:val="0003609A"/>
    <w:rsid w:val="0003688C"/>
    <w:rsid w:val="000368D6"/>
    <w:rsid w:val="00036906"/>
    <w:rsid w:val="00036C05"/>
    <w:rsid w:val="00036DB3"/>
    <w:rsid w:val="00036E16"/>
    <w:rsid w:val="00037390"/>
    <w:rsid w:val="0003757F"/>
    <w:rsid w:val="00037AB5"/>
    <w:rsid w:val="00040002"/>
    <w:rsid w:val="000403CB"/>
    <w:rsid w:val="00040488"/>
    <w:rsid w:val="000404FF"/>
    <w:rsid w:val="00040609"/>
    <w:rsid w:val="0004081B"/>
    <w:rsid w:val="00040A01"/>
    <w:rsid w:val="00040DDC"/>
    <w:rsid w:val="00040F2F"/>
    <w:rsid w:val="000414F8"/>
    <w:rsid w:val="00041550"/>
    <w:rsid w:val="0004164D"/>
    <w:rsid w:val="00041F1C"/>
    <w:rsid w:val="000420B3"/>
    <w:rsid w:val="00042583"/>
    <w:rsid w:val="00042789"/>
    <w:rsid w:val="000429ED"/>
    <w:rsid w:val="00042AFF"/>
    <w:rsid w:val="00042B73"/>
    <w:rsid w:val="00043000"/>
    <w:rsid w:val="0004308B"/>
    <w:rsid w:val="000430A5"/>
    <w:rsid w:val="00043836"/>
    <w:rsid w:val="00043CFE"/>
    <w:rsid w:val="0004421B"/>
    <w:rsid w:val="0004421E"/>
    <w:rsid w:val="00044241"/>
    <w:rsid w:val="0004445F"/>
    <w:rsid w:val="0004451B"/>
    <w:rsid w:val="00044F33"/>
    <w:rsid w:val="00044F74"/>
    <w:rsid w:val="00045420"/>
    <w:rsid w:val="00045736"/>
    <w:rsid w:val="00045968"/>
    <w:rsid w:val="00045B22"/>
    <w:rsid w:val="00045B44"/>
    <w:rsid w:val="00045D4D"/>
    <w:rsid w:val="00045D73"/>
    <w:rsid w:val="00045DF2"/>
    <w:rsid w:val="00045E3B"/>
    <w:rsid w:val="00045F85"/>
    <w:rsid w:val="00046139"/>
    <w:rsid w:val="00046261"/>
    <w:rsid w:val="00046342"/>
    <w:rsid w:val="0004673B"/>
    <w:rsid w:val="000469E7"/>
    <w:rsid w:val="00046C67"/>
    <w:rsid w:val="00046C93"/>
    <w:rsid w:val="00046F63"/>
    <w:rsid w:val="00047004"/>
    <w:rsid w:val="000470FE"/>
    <w:rsid w:val="00047268"/>
    <w:rsid w:val="000503E2"/>
    <w:rsid w:val="000509CB"/>
    <w:rsid w:val="00050F04"/>
    <w:rsid w:val="00051003"/>
    <w:rsid w:val="0005113D"/>
    <w:rsid w:val="0005137F"/>
    <w:rsid w:val="000518E4"/>
    <w:rsid w:val="00051B32"/>
    <w:rsid w:val="00051E77"/>
    <w:rsid w:val="00052802"/>
    <w:rsid w:val="0005283B"/>
    <w:rsid w:val="00052BC2"/>
    <w:rsid w:val="00052C8B"/>
    <w:rsid w:val="00053473"/>
    <w:rsid w:val="000539D8"/>
    <w:rsid w:val="00053E7E"/>
    <w:rsid w:val="0005445E"/>
    <w:rsid w:val="000545B2"/>
    <w:rsid w:val="00054624"/>
    <w:rsid w:val="00054683"/>
    <w:rsid w:val="00054726"/>
    <w:rsid w:val="00054AEC"/>
    <w:rsid w:val="0005558B"/>
    <w:rsid w:val="00055966"/>
    <w:rsid w:val="00055AD9"/>
    <w:rsid w:val="00055D66"/>
    <w:rsid w:val="0005633B"/>
    <w:rsid w:val="000564E7"/>
    <w:rsid w:val="00056694"/>
    <w:rsid w:val="0005677A"/>
    <w:rsid w:val="00056830"/>
    <w:rsid w:val="0005684D"/>
    <w:rsid w:val="00056A16"/>
    <w:rsid w:val="00056EBA"/>
    <w:rsid w:val="000570C5"/>
    <w:rsid w:val="00057516"/>
    <w:rsid w:val="00057634"/>
    <w:rsid w:val="00057C96"/>
    <w:rsid w:val="00057D96"/>
    <w:rsid w:val="000600A8"/>
    <w:rsid w:val="00060165"/>
    <w:rsid w:val="00060346"/>
    <w:rsid w:val="00060703"/>
    <w:rsid w:val="00060EC0"/>
    <w:rsid w:val="00060F05"/>
    <w:rsid w:val="0006130E"/>
    <w:rsid w:val="00061A17"/>
    <w:rsid w:val="00061B31"/>
    <w:rsid w:val="00061C24"/>
    <w:rsid w:val="00061D8C"/>
    <w:rsid w:val="00061D93"/>
    <w:rsid w:val="000620A1"/>
    <w:rsid w:val="0006240C"/>
    <w:rsid w:val="000624A1"/>
    <w:rsid w:val="000625FE"/>
    <w:rsid w:val="00062871"/>
    <w:rsid w:val="000629F6"/>
    <w:rsid w:val="0006328A"/>
    <w:rsid w:val="00063302"/>
    <w:rsid w:val="000633BA"/>
    <w:rsid w:val="00063495"/>
    <w:rsid w:val="00063612"/>
    <w:rsid w:val="000638C1"/>
    <w:rsid w:val="0006394D"/>
    <w:rsid w:val="00063C2A"/>
    <w:rsid w:val="00063D25"/>
    <w:rsid w:val="00063F29"/>
    <w:rsid w:val="00063FCD"/>
    <w:rsid w:val="000641C8"/>
    <w:rsid w:val="000649D2"/>
    <w:rsid w:val="00064DED"/>
    <w:rsid w:val="00065223"/>
    <w:rsid w:val="00065A61"/>
    <w:rsid w:val="00065A7F"/>
    <w:rsid w:val="00065DF3"/>
    <w:rsid w:val="00065F28"/>
    <w:rsid w:val="000660F1"/>
    <w:rsid w:val="0006658D"/>
    <w:rsid w:val="0006659A"/>
    <w:rsid w:val="000666E3"/>
    <w:rsid w:val="00066A0F"/>
    <w:rsid w:val="000673F5"/>
    <w:rsid w:val="00067519"/>
    <w:rsid w:val="00067686"/>
    <w:rsid w:val="000679A8"/>
    <w:rsid w:val="00067AD9"/>
    <w:rsid w:val="00070252"/>
    <w:rsid w:val="00070418"/>
    <w:rsid w:val="0007055E"/>
    <w:rsid w:val="000705D1"/>
    <w:rsid w:val="00070A86"/>
    <w:rsid w:val="00071083"/>
    <w:rsid w:val="00071099"/>
    <w:rsid w:val="0007145F"/>
    <w:rsid w:val="000716C8"/>
    <w:rsid w:val="00071A1F"/>
    <w:rsid w:val="00071F67"/>
    <w:rsid w:val="000721AB"/>
    <w:rsid w:val="00072A5C"/>
    <w:rsid w:val="00072CE0"/>
    <w:rsid w:val="00072D86"/>
    <w:rsid w:val="00072FD2"/>
    <w:rsid w:val="0007313E"/>
    <w:rsid w:val="000731C0"/>
    <w:rsid w:val="000735D5"/>
    <w:rsid w:val="0007360F"/>
    <w:rsid w:val="00073D79"/>
    <w:rsid w:val="00074373"/>
    <w:rsid w:val="000745A1"/>
    <w:rsid w:val="0007460B"/>
    <w:rsid w:val="00074753"/>
    <w:rsid w:val="00074793"/>
    <w:rsid w:val="000747B7"/>
    <w:rsid w:val="00074980"/>
    <w:rsid w:val="00074B4E"/>
    <w:rsid w:val="00074DC1"/>
    <w:rsid w:val="00074E82"/>
    <w:rsid w:val="00075447"/>
    <w:rsid w:val="00075F1E"/>
    <w:rsid w:val="00076330"/>
    <w:rsid w:val="0007650C"/>
    <w:rsid w:val="00076802"/>
    <w:rsid w:val="00076A35"/>
    <w:rsid w:val="00076DE6"/>
    <w:rsid w:val="00076F24"/>
    <w:rsid w:val="00077344"/>
    <w:rsid w:val="000775EE"/>
    <w:rsid w:val="000776E7"/>
    <w:rsid w:val="00077B36"/>
    <w:rsid w:val="00077BF9"/>
    <w:rsid w:val="00077BFC"/>
    <w:rsid w:val="00077C2E"/>
    <w:rsid w:val="00077F46"/>
    <w:rsid w:val="000804A8"/>
    <w:rsid w:val="000804BB"/>
    <w:rsid w:val="00080654"/>
    <w:rsid w:val="00080A67"/>
    <w:rsid w:val="00080CC4"/>
    <w:rsid w:val="00080EB9"/>
    <w:rsid w:val="00080F07"/>
    <w:rsid w:val="0008102F"/>
    <w:rsid w:val="0008111B"/>
    <w:rsid w:val="000813DF"/>
    <w:rsid w:val="00081842"/>
    <w:rsid w:val="0008194E"/>
    <w:rsid w:val="00081BD7"/>
    <w:rsid w:val="00081E05"/>
    <w:rsid w:val="00082063"/>
    <w:rsid w:val="00082235"/>
    <w:rsid w:val="000822B3"/>
    <w:rsid w:val="00082737"/>
    <w:rsid w:val="00082935"/>
    <w:rsid w:val="00082CAD"/>
    <w:rsid w:val="00082EFE"/>
    <w:rsid w:val="0008360E"/>
    <w:rsid w:val="000839E7"/>
    <w:rsid w:val="00083BE0"/>
    <w:rsid w:val="00083CA4"/>
    <w:rsid w:val="00084310"/>
    <w:rsid w:val="000843F9"/>
    <w:rsid w:val="00084C35"/>
    <w:rsid w:val="00084FF2"/>
    <w:rsid w:val="0008505C"/>
    <w:rsid w:val="000854D7"/>
    <w:rsid w:val="00085524"/>
    <w:rsid w:val="00085617"/>
    <w:rsid w:val="00085885"/>
    <w:rsid w:val="00085A0D"/>
    <w:rsid w:val="00085BCC"/>
    <w:rsid w:val="0008600E"/>
    <w:rsid w:val="000860C9"/>
    <w:rsid w:val="000869FD"/>
    <w:rsid w:val="00086ABF"/>
    <w:rsid w:val="00086C6F"/>
    <w:rsid w:val="00086FEF"/>
    <w:rsid w:val="0008716F"/>
    <w:rsid w:val="000871AB"/>
    <w:rsid w:val="000875C2"/>
    <w:rsid w:val="0008787E"/>
    <w:rsid w:val="00087B35"/>
    <w:rsid w:val="000906E4"/>
    <w:rsid w:val="00090D57"/>
    <w:rsid w:val="00090D66"/>
    <w:rsid w:val="00090E0A"/>
    <w:rsid w:val="00090E34"/>
    <w:rsid w:val="00090E9E"/>
    <w:rsid w:val="00091279"/>
    <w:rsid w:val="000913AD"/>
    <w:rsid w:val="000913D7"/>
    <w:rsid w:val="00091B07"/>
    <w:rsid w:val="00092BA9"/>
    <w:rsid w:val="00092F01"/>
    <w:rsid w:val="000933BE"/>
    <w:rsid w:val="00093B11"/>
    <w:rsid w:val="00093D10"/>
    <w:rsid w:val="000940F0"/>
    <w:rsid w:val="00094238"/>
    <w:rsid w:val="000942D0"/>
    <w:rsid w:val="000944C3"/>
    <w:rsid w:val="000949EE"/>
    <w:rsid w:val="00094A8F"/>
    <w:rsid w:val="00094D43"/>
    <w:rsid w:val="00095015"/>
    <w:rsid w:val="00095429"/>
    <w:rsid w:val="000955F7"/>
    <w:rsid w:val="000955FA"/>
    <w:rsid w:val="0009586E"/>
    <w:rsid w:val="00095AC3"/>
    <w:rsid w:val="00095D61"/>
    <w:rsid w:val="000962E5"/>
    <w:rsid w:val="000963F6"/>
    <w:rsid w:val="000968BC"/>
    <w:rsid w:val="00096CE3"/>
    <w:rsid w:val="0009704E"/>
    <w:rsid w:val="00097137"/>
    <w:rsid w:val="0009730C"/>
    <w:rsid w:val="000975B0"/>
    <w:rsid w:val="0009778A"/>
    <w:rsid w:val="00097840"/>
    <w:rsid w:val="000978DF"/>
    <w:rsid w:val="00097C1E"/>
    <w:rsid w:val="00097FC7"/>
    <w:rsid w:val="000A040C"/>
    <w:rsid w:val="000A09C1"/>
    <w:rsid w:val="000A0ED3"/>
    <w:rsid w:val="000A14B4"/>
    <w:rsid w:val="000A17DC"/>
    <w:rsid w:val="000A18A1"/>
    <w:rsid w:val="000A199F"/>
    <w:rsid w:val="000A1BF7"/>
    <w:rsid w:val="000A1E3F"/>
    <w:rsid w:val="000A219F"/>
    <w:rsid w:val="000A2211"/>
    <w:rsid w:val="000A2224"/>
    <w:rsid w:val="000A2297"/>
    <w:rsid w:val="000A24F4"/>
    <w:rsid w:val="000A2805"/>
    <w:rsid w:val="000A3056"/>
    <w:rsid w:val="000A354F"/>
    <w:rsid w:val="000A3A8C"/>
    <w:rsid w:val="000A3D4F"/>
    <w:rsid w:val="000A3E84"/>
    <w:rsid w:val="000A430A"/>
    <w:rsid w:val="000A43AF"/>
    <w:rsid w:val="000A4512"/>
    <w:rsid w:val="000A513F"/>
    <w:rsid w:val="000A5547"/>
    <w:rsid w:val="000A57EF"/>
    <w:rsid w:val="000A5875"/>
    <w:rsid w:val="000A5986"/>
    <w:rsid w:val="000A5B3C"/>
    <w:rsid w:val="000A5E61"/>
    <w:rsid w:val="000A67F3"/>
    <w:rsid w:val="000A69DA"/>
    <w:rsid w:val="000A6ACE"/>
    <w:rsid w:val="000A6C81"/>
    <w:rsid w:val="000A6CB8"/>
    <w:rsid w:val="000A7032"/>
    <w:rsid w:val="000A754D"/>
    <w:rsid w:val="000A7A00"/>
    <w:rsid w:val="000A7C79"/>
    <w:rsid w:val="000B0299"/>
    <w:rsid w:val="000B03F0"/>
    <w:rsid w:val="000B1225"/>
    <w:rsid w:val="000B164F"/>
    <w:rsid w:val="000B1688"/>
    <w:rsid w:val="000B180C"/>
    <w:rsid w:val="000B1C13"/>
    <w:rsid w:val="000B1CA7"/>
    <w:rsid w:val="000B1D06"/>
    <w:rsid w:val="000B1D68"/>
    <w:rsid w:val="000B1D95"/>
    <w:rsid w:val="000B2122"/>
    <w:rsid w:val="000B243C"/>
    <w:rsid w:val="000B2980"/>
    <w:rsid w:val="000B2D3F"/>
    <w:rsid w:val="000B3144"/>
    <w:rsid w:val="000B358B"/>
    <w:rsid w:val="000B3B40"/>
    <w:rsid w:val="000B3BF4"/>
    <w:rsid w:val="000B42A6"/>
    <w:rsid w:val="000B4304"/>
    <w:rsid w:val="000B44F5"/>
    <w:rsid w:val="000B45D5"/>
    <w:rsid w:val="000B49C7"/>
    <w:rsid w:val="000B4AD3"/>
    <w:rsid w:val="000B4B2F"/>
    <w:rsid w:val="000B5062"/>
    <w:rsid w:val="000B5410"/>
    <w:rsid w:val="000B5661"/>
    <w:rsid w:val="000B5F71"/>
    <w:rsid w:val="000B6B55"/>
    <w:rsid w:val="000B6B62"/>
    <w:rsid w:val="000B6E9E"/>
    <w:rsid w:val="000B6F99"/>
    <w:rsid w:val="000B7471"/>
    <w:rsid w:val="000B7996"/>
    <w:rsid w:val="000B79F0"/>
    <w:rsid w:val="000B7E4E"/>
    <w:rsid w:val="000C068A"/>
    <w:rsid w:val="000C0F6D"/>
    <w:rsid w:val="000C1225"/>
    <w:rsid w:val="000C127D"/>
    <w:rsid w:val="000C1343"/>
    <w:rsid w:val="000C1889"/>
    <w:rsid w:val="000C2445"/>
    <w:rsid w:val="000C25B4"/>
    <w:rsid w:val="000C2F84"/>
    <w:rsid w:val="000C3999"/>
    <w:rsid w:val="000C3F10"/>
    <w:rsid w:val="000C4C31"/>
    <w:rsid w:val="000C4CD5"/>
    <w:rsid w:val="000C4F70"/>
    <w:rsid w:val="000C50BA"/>
    <w:rsid w:val="000C515A"/>
    <w:rsid w:val="000C5309"/>
    <w:rsid w:val="000C571E"/>
    <w:rsid w:val="000C60CC"/>
    <w:rsid w:val="000C61BB"/>
    <w:rsid w:val="000C63D2"/>
    <w:rsid w:val="000C6BD0"/>
    <w:rsid w:val="000C6C36"/>
    <w:rsid w:val="000C6D57"/>
    <w:rsid w:val="000C7171"/>
    <w:rsid w:val="000C7359"/>
    <w:rsid w:val="000C78B8"/>
    <w:rsid w:val="000C7D8A"/>
    <w:rsid w:val="000D04E7"/>
    <w:rsid w:val="000D0AD7"/>
    <w:rsid w:val="000D0B98"/>
    <w:rsid w:val="000D1621"/>
    <w:rsid w:val="000D1A11"/>
    <w:rsid w:val="000D21E3"/>
    <w:rsid w:val="000D2950"/>
    <w:rsid w:val="000D2BC5"/>
    <w:rsid w:val="000D2E99"/>
    <w:rsid w:val="000D31F1"/>
    <w:rsid w:val="000D3269"/>
    <w:rsid w:val="000D3860"/>
    <w:rsid w:val="000D38D2"/>
    <w:rsid w:val="000D3BC1"/>
    <w:rsid w:val="000D3D00"/>
    <w:rsid w:val="000D3D33"/>
    <w:rsid w:val="000D41BE"/>
    <w:rsid w:val="000D47E8"/>
    <w:rsid w:val="000D47FB"/>
    <w:rsid w:val="000D55A5"/>
    <w:rsid w:val="000D68A3"/>
    <w:rsid w:val="000D68BD"/>
    <w:rsid w:val="000D698C"/>
    <w:rsid w:val="000D6E8E"/>
    <w:rsid w:val="000D73D4"/>
    <w:rsid w:val="000D73EB"/>
    <w:rsid w:val="000D74CE"/>
    <w:rsid w:val="000D75FB"/>
    <w:rsid w:val="000D7A09"/>
    <w:rsid w:val="000D7B57"/>
    <w:rsid w:val="000D7CDE"/>
    <w:rsid w:val="000E0032"/>
    <w:rsid w:val="000E029E"/>
    <w:rsid w:val="000E03AA"/>
    <w:rsid w:val="000E03CC"/>
    <w:rsid w:val="000E068E"/>
    <w:rsid w:val="000E07B6"/>
    <w:rsid w:val="000E07D9"/>
    <w:rsid w:val="000E0832"/>
    <w:rsid w:val="000E08E9"/>
    <w:rsid w:val="000E09D8"/>
    <w:rsid w:val="000E09F6"/>
    <w:rsid w:val="000E0AF9"/>
    <w:rsid w:val="000E0B16"/>
    <w:rsid w:val="000E11C8"/>
    <w:rsid w:val="000E144F"/>
    <w:rsid w:val="000E1C27"/>
    <w:rsid w:val="000E1DFD"/>
    <w:rsid w:val="000E1F19"/>
    <w:rsid w:val="000E2253"/>
    <w:rsid w:val="000E2507"/>
    <w:rsid w:val="000E2A0A"/>
    <w:rsid w:val="000E2D4A"/>
    <w:rsid w:val="000E2FB9"/>
    <w:rsid w:val="000E300B"/>
    <w:rsid w:val="000E3471"/>
    <w:rsid w:val="000E3A89"/>
    <w:rsid w:val="000E3ADF"/>
    <w:rsid w:val="000E3CAF"/>
    <w:rsid w:val="000E42E4"/>
    <w:rsid w:val="000E4439"/>
    <w:rsid w:val="000E452F"/>
    <w:rsid w:val="000E476E"/>
    <w:rsid w:val="000E47DB"/>
    <w:rsid w:val="000E4912"/>
    <w:rsid w:val="000E4A41"/>
    <w:rsid w:val="000E4CE6"/>
    <w:rsid w:val="000E4DDA"/>
    <w:rsid w:val="000E52FE"/>
    <w:rsid w:val="000E55C7"/>
    <w:rsid w:val="000E58BF"/>
    <w:rsid w:val="000E5973"/>
    <w:rsid w:val="000E5F7F"/>
    <w:rsid w:val="000E661D"/>
    <w:rsid w:val="000E68C2"/>
    <w:rsid w:val="000E76AA"/>
    <w:rsid w:val="000E7CE0"/>
    <w:rsid w:val="000F024A"/>
    <w:rsid w:val="000F052F"/>
    <w:rsid w:val="000F09AA"/>
    <w:rsid w:val="000F0D79"/>
    <w:rsid w:val="000F0E0C"/>
    <w:rsid w:val="000F117E"/>
    <w:rsid w:val="000F16AA"/>
    <w:rsid w:val="000F16F8"/>
    <w:rsid w:val="000F179B"/>
    <w:rsid w:val="000F1940"/>
    <w:rsid w:val="000F1BD4"/>
    <w:rsid w:val="000F207F"/>
    <w:rsid w:val="000F21B4"/>
    <w:rsid w:val="000F23BB"/>
    <w:rsid w:val="000F2611"/>
    <w:rsid w:val="000F2C85"/>
    <w:rsid w:val="000F315B"/>
    <w:rsid w:val="000F315F"/>
    <w:rsid w:val="000F34B4"/>
    <w:rsid w:val="000F37F2"/>
    <w:rsid w:val="000F38CD"/>
    <w:rsid w:val="000F40C9"/>
    <w:rsid w:val="000F437C"/>
    <w:rsid w:val="000F4867"/>
    <w:rsid w:val="000F48E7"/>
    <w:rsid w:val="000F4907"/>
    <w:rsid w:val="000F4BF7"/>
    <w:rsid w:val="000F4D4A"/>
    <w:rsid w:val="000F4E87"/>
    <w:rsid w:val="000F5228"/>
    <w:rsid w:val="000F583D"/>
    <w:rsid w:val="000F5845"/>
    <w:rsid w:val="000F5C41"/>
    <w:rsid w:val="000F5C93"/>
    <w:rsid w:val="000F5D54"/>
    <w:rsid w:val="000F6E5F"/>
    <w:rsid w:val="000F7342"/>
    <w:rsid w:val="000F7614"/>
    <w:rsid w:val="000F7720"/>
    <w:rsid w:val="000F7829"/>
    <w:rsid w:val="000F7D0F"/>
    <w:rsid w:val="00100099"/>
    <w:rsid w:val="0010014E"/>
    <w:rsid w:val="001003E9"/>
    <w:rsid w:val="00100539"/>
    <w:rsid w:val="00100AC0"/>
    <w:rsid w:val="00100B67"/>
    <w:rsid w:val="00100DFE"/>
    <w:rsid w:val="00101175"/>
    <w:rsid w:val="001011E0"/>
    <w:rsid w:val="00101375"/>
    <w:rsid w:val="0010183B"/>
    <w:rsid w:val="00101DF8"/>
    <w:rsid w:val="00101E38"/>
    <w:rsid w:val="00101F34"/>
    <w:rsid w:val="001021A1"/>
    <w:rsid w:val="00102435"/>
    <w:rsid w:val="0010273E"/>
    <w:rsid w:val="0010310A"/>
    <w:rsid w:val="00103C0A"/>
    <w:rsid w:val="001052BC"/>
    <w:rsid w:val="0010536F"/>
    <w:rsid w:val="001053A4"/>
    <w:rsid w:val="00105439"/>
    <w:rsid w:val="00105891"/>
    <w:rsid w:val="00105B0B"/>
    <w:rsid w:val="00105B0C"/>
    <w:rsid w:val="00105DA1"/>
    <w:rsid w:val="00105F30"/>
    <w:rsid w:val="00105FCF"/>
    <w:rsid w:val="001061DF"/>
    <w:rsid w:val="001063F0"/>
    <w:rsid w:val="00106498"/>
    <w:rsid w:val="001066A5"/>
    <w:rsid w:val="001066D4"/>
    <w:rsid w:val="00107115"/>
    <w:rsid w:val="00107176"/>
    <w:rsid w:val="001075D8"/>
    <w:rsid w:val="00107A5B"/>
    <w:rsid w:val="0011040D"/>
    <w:rsid w:val="001106D1"/>
    <w:rsid w:val="00110784"/>
    <w:rsid w:val="001107CE"/>
    <w:rsid w:val="001108DD"/>
    <w:rsid w:val="001108ED"/>
    <w:rsid w:val="00110F37"/>
    <w:rsid w:val="00111203"/>
    <w:rsid w:val="00111288"/>
    <w:rsid w:val="00111301"/>
    <w:rsid w:val="001113A7"/>
    <w:rsid w:val="0011163F"/>
    <w:rsid w:val="001118F6"/>
    <w:rsid w:val="0011195D"/>
    <w:rsid w:val="00111C67"/>
    <w:rsid w:val="00111CC2"/>
    <w:rsid w:val="00112494"/>
    <w:rsid w:val="00112801"/>
    <w:rsid w:val="001128A7"/>
    <w:rsid w:val="00112913"/>
    <w:rsid w:val="00112977"/>
    <w:rsid w:val="001129A1"/>
    <w:rsid w:val="00113399"/>
    <w:rsid w:val="0011339D"/>
    <w:rsid w:val="001135F3"/>
    <w:rsid w:val="00113724"/>
    <w:rsid w:val="001137FB"/>
    <w:rsid w:val="00113A8D"/>
    <w:rsid w:val="0011401F"/>
    <w:rsid w:val="00114070"/>
    <w:rsid w:val="001147BA"/>
    <w:rsid w:val="00114B57"/>
    <w:rsid w:val="00114F4D"/>
    <w:rsid w:val="001154F4"/>
    <w:rsid w:val="00115789"/>
    <w:rsid w:val="001157BF"/>
    <w:rsid w:val="00116108"/>
    <w:rsid w:val="00116306"/>
    <w:rsid w:val="001164D4"/>
    <w:rsid w:val="00116D52"/>
    <w:rsid w:val="00117233"/>
    <w:rsid w:val="0011735B"/>
    <w:rsid w:val="00117FD4"/>
    <w:rsid w:val="00117FD6"/>
    <w:rsid w:val="00120363"/>
    <w:rsid w:val="00120409"/>
    <w:rsid w:val="001206BC"/>
    <w:rsid w:val="00120710"/>
    <w:rsid w:val="001207A0"/>
    <w:rsid w:val="00120838"/>
    <w:rsid w:val="00120A9F"/>
    <w:rsid w:val="00120BB8"/>
    <w:rsid w:val="00120C52"/>
    <w:rsid w:val="00120FF9"/>
    <w:rsid w:val="00121233"/>
    <w:rsid w:val="00122329"/>
    <w:rsid w:val="001228C3"/>
    <w:rsid w:val="00123457"/>
    <w:rsid w:val="00123AF2"/>
    <w:rsid w:val="001241A4"/>
    <w:rsid w:val="0012422B"/>
    <w:rsid w:val="001245CA"/>
    <w:rsid w:val="00125093"/>
    <w:rsid w:val="001254E2"/>
    <w:rsid w:val="001255DA"/>
    <w:rsid w:val="001258D6"/>
    <w:rsid w:val="0012594C"/>
    <w:rsid w:val="00125E6F"/>
    <w:rsid w:val="00126075"/>
    <w:rsid w:val="0012676D"/>
    <w:rsid w:val="0012681E"/>
    <w:rsid w:val="0012699A"/>
    <w:rsid w:val="00126FA4"/>
    <w:rsid w:val="00127104"/>
    <w:rsid w:val="001273BE"/>
    <w:rsid w:val="001279AE"/>
    <w:rsid w:val="00127C5B"/>
    <w:rsid w:val="00130623"/>
    <w:rsid w:val="00130928"/>
    <w:rsid w:val="00130CE7"/>
    <w:rsid w:val="00130F08"/>
    <w:rsid w:val="00131096"/>
    <w:rsid w:val="00131159"/>
    <w:rsid w:val="0013115C"/>
    <w:rsid w:val="0013183A"/>
    <w:rsid w:val="00131962"/>
    <w:rsid w:val="00131ABD"/>
    <w:rsid w:val="00131BE8"/>
    <w:rsid w:val="001322BF"/>
    <w:rsid w:val="0013233D"/>
    <w:rsid w:val="001323D0"/>
    <w:rsid w:val="00132403"/>
    <w:rsid w:val="00132540"/>
    <w:rsid w:val="0013285D"/>
    <w:rsid w:val="00132C0A"/>
    <w:rsid w:val="00133634"/>
    <w:rsid w:val="0013367E"/>
    <w:rsid w:val="001337AD"/>
    <w:rsid w:val="001337FB"/>
    <w:rsid w:val="00133A3D"/>
    <w:rsid w:val="00133CCD"/>
    <w:rsid w:val="00133E97"/>
    <w:rsid w:val="0013452A"/>
    <w:rsid w:val="00134635"/>
    <w:rsid w:val="001346AA"/>
    <w:rsid w:val="00134978"/>
    <w:rsid w:val="00134B41"/>
    <w:rsid w:val="00134C48"/>
    <w:rsid w:val="00134D35"/>
    <w:rsid w:val="00134EC6"/>
    <w:rsid w:val="0013504C"/>
    <w:rsid w:val="001350D2"/>
    <w:rsid w:val="00135177"/>
    <w:rsid w:val="00135416"/>
    <w:rsid w:val="0013575E"/>
    <w:rsid w:val="001358F6"/>
    <w:rsid w:val="00135A44"/>
    <w:rsid w:val="00135B51"/>
    <w:rsid w:val="00135C9D"/>
    <w:rsid w:val="00135DED"/>
    <w:rsid w:val="00135EB4"/>
    <w:rsid w:val="00135F0D"/>
    <w:rsid w:val="00135FEF"/>
    <w:rsid w:val="001362B9"/>
    <w:rsid w:val="0013661D"/>
    <w:rsid w:val="00136830"/>
    <w:rsid w:val="001368D5"/>
    <w:rsid w:val="00136DF6"/>
    <w:rsid w:val="00137003"/>
    <w:rsid w:val="0013705B"/>
    <w:rsid w:val="00137285"/>
    <w:rsid w:val="00137530"/>
    <w:rsid w:val="00137DF5"/>
    <w:rsid w:val="001402DE"/>
    <w:rsid w:val="0014069B"/>
    <w:rsid w:val="00140972"/>
    <w:rsid w:val="00140ABC"/>
    <w:rsid w:val="00141376"/>
    <w:rsid w:val="00141E47"/>
    <w:rsid w:val="001422AD"/>
    <w:rsid w:val="00142876"/>
    <w:rsid w:val="001432AC"/>
    <w:rsid w:val="00143324"/>
    <w:rsid w:val="001434D6"/>
    <w:rsid w:val="00143582"/>
    <w:rsid w:val="001437D6"/>
    <w:rsid w:val="00143F6F"/>
    <w:rsid w:val="001440BE"/>
    <w:rsid w:val="0014430A"/>
    <w:rsid w:val="00144311"/>
    <w:rsid w:val="00144784"/>
    <w:rsid w:val="001448BC"/>
    <w:rsid w:val="00145077"/>
    <w:rsid w:val="00145126"/>
    <w:rsid w:val="0014530D"/>
    <w:rsid w:val="0014557F"/>
    <w:rsid w:val="00145693"/>
    <w:rsid w:val="001457AE"/>
    <w:rsid w:val="00145C38"/>
    <w:rsid w:val="00145FD5"/>
    <w:rsid w:val="00146909"/>
    <w:rsid w:val="00146F32"/>
    <w:rsid w:val="00146F33"/>
    <w:rsid w:val="0014710E"/>
    <w:rsid w:val="00147375"/>
    <w:rsid w:val="001473AA"/>
    <w:rsid w:val="00147697"/>
    <w:rsid w:val="00147ECC"/>
    <w:rsid w:val="00147FCA"/>
    <w:rsid w:val="0015031E"/>
    <w:rsid w:val="001506C5"/>
    <w:rsid w:val="001508D5"/>
    <w:rsid w:val="00150DB4"/>
    <w:rsid w:val="001512E2"/>
    <w:rsid w:val="00151599"/>
    <w:rsid w:val="0015177A"/>
    <w:rsid w:val="001520B9"/>
    <w:rsid w:val="0015248A"/>
    <w:rsid w:val="00152591"/>
    <w:rsid w:val="00152630"/>
    <w:rsid w:val="00152729"/>
    <w:rsid w:val="00152A59"/>
    <w:rsid w:val="00152E5E"/>
    <w:rsid w:val="0015342C"/>
    <w:rsid w:val="0015354B"/>
    <w:rsid w:val="001536F7"/>
    <w:rsid w:val="00153756"/>
    <w:rsid w:val="00153B34"/>
    <w:rsid w:val="00153C4A"/>
    <w:rsid w:val="00153C65"/>
    <w:rsid w:val="00154339"/>
    <w:rsid w:val="00154B85"/>
    <w:rsid w:val="00154F24"/>
    <w:rsid w:val="001552C7"/>
    <w:rsid w:val="001558F8"/>
    <w:rsid w:val="0015635B"/>
    <w:rsid w:val="00156681"/>
    <w:rsid w:val="001566A3"/>
    <w:rsid w:val="001566E6"/>
    <w:rsid w:val="0015714D"/>
    <w:rsid w:val="001571C3"/>
    <w:rsid w:val="001573B8"/>
    <w:rsid w:val="001573CC"/>
    <w:rsid w:val="00157461"/>
    <w:rsid w:val="001579CC"/>
    <w:rsid w:val="00157BA1"/>
    <w:rsid w:val="001600D8"/>
    <w:rsid w:val="0016021B"/>
    <w:rsid w:val="001603FC"/>
    <w:rsid w:val="00160488"/>
    <w:rsid w:val="0016051F"/>
    <w:rsid w:val="001610EF"/>
    <w:rsid w:val="00161263"/>
    <w:rsid w:val="00161296"/>
    <w:rsid w:val="00161478"/>
    <w:rsid w:val="00161795"/>
    <w:rsid w:val="001623AF"/>
    <w:rsid w:val="00162CB9"/>
    <w:rsid w:val="00162EAE"/>
    <w:rsid w:val="001634EA"/>
    <w:rsid w:val="00163D1A"/>
    <w:rsid w:val="0016430A"/>
    <w:rsid w:val="001643A7"/>
    <w:rsid w:val="00164607"/>
    <w:rsid w:val="0016479C"/>
    <w:rsid w:val="0016494E"/>
    <w:rsid w:val="00164A4F"/>
    <w:rsid w:val="00164BB9"/>
    <w:rsid w:val="00164DE2"/>
    <w:rsid w:val="00165148"/>
    <w:rsid w:val="001651C4"/>
    <w:rsid w:val="00165363"/>
    <w:rsid w:val="00165591"/>
    <w:rsid w:val="00165795"/>
    <w:rsid w:val="00165FCC"/>
    <w:rsid w:val="001662C6"/>
    <w:rsid w:val="0016655B"/>
    <w:rsid w:val="00166570"/>
    <w:rsid w:val="001665E8"/>
    <w:rsid w:val="001667F4"/>
    <w:rsid w:val="001671F6"/>
    <w:rsid w:val="001672FC"/>
    <w:rsid w:val="00167432"/>
    <w:rsid w:val="001675C8"/>
    <w:rsid w:val="001678ED"/>
    <w:rsid w:val="001706D5"/>
    <w:rsid w:val="00170789"/>
    <w:rsid w:val="0017098A"/>
    <w:rsid w:val="00170AAB"/>
    <w:rsid w:val="00170DC4"/>
    <w:rsid w:val="00171243"/>
    <w:rsid w:val="00171A64"/>
    <w:rsid w:val="00172554"/>
    <w:rsid w:val="001726AE"/>
    <w:rsid w:val="00172771"/>
    <w:rsid w:val="00172A8B"/>
    <w:rsid w:val="00172AA4"/>
    <w:rsid w:val="00172F11"/>
    <w:rsid w:val="00172FDA"/>
    <w:rsid w:val="0017327C"/>
    <w:rsid w:val="00173677"/>
    <w:rsid w:val="00173DC7"/>
    <w:rsid w:val="00173F1D"/>
    <w:rsid w:val="00174056"/>
    <w:rsid w:val="0017454B"/>
    <w:rsid w:val="001746CF"/>
    <w:rsid w:val="00174F3B"/>
    <w:rsid w:val="001762E0"/>
    <w:rsid w:val="00176429"/>
    <w:rsid w:val="001767F5"/>
    <w:rsid w:val="001768E2"/>
    <w:rsid w:val="00176A27"/>
    <w:rsid w:val="00176B3D"/>
    <w:rsid w:val="00176F35"/>
    <w:rsid w:val="00176F67"/>
    <w:rsid w:val="001772EB"/>
    <w:rsid w:val="0017765A"/>
    <w:rsid w:val="0017773A"/>
    <w:rsid w:val="00177A24"/>
    <w:rsid w:val="00177B06"/>
    <w:rsid w:val="0018033F"/>
    <w:rsid w:val="001804AF"/>
    <w:rsid w:val="00180B19"/>
    <w:rsid w:val="00180C8C"/>
    <w:rsid w:val="00180FBB"/>
    <w:rsid w:val="00181650"/>
    <w:rsid w:val="001817B5"/>
    <w:rsid w:val="00181A57"/>
    <w:rsid w:val="00181AA3"/>
    <w:rsid w:val="00181B06"/>
    <w:rsid w:val="00181DC9"/>
    <w:rsid w:val="00181EBA"/>
    <w:rsid w:val="00182042"/>
    <w:rsid w:val="0018272C"/>
    <w:rsid w:val="00182D35"/>
    <w:rsid w:val="00182D3E"/>
    <w:rsid w:val="00182EE4"/>
    <w:rsid w:val="00183360"/>
    <w:rsid w:val="0018418A"/>
    <w:rsid w:val="0018427A"/>
    <w:rsid w:val="001844CC"/>
    <w:rsid w:val="001846CA"/>
    <w:rsid w:val="00184710"/>
    <w:rsid w:val="001849C7"/>
    <w:rsid w:val="00184A37"/>
    <w:rsid w:val="00184A4B"/>
    <w:rsid w:val="00184B67"/>
    <w:rsid w:val="00184E7D"/>
    <w:rsid w:val="00185665"/>
    <w:rsid w:val="00185AC9"/>
    <w:rsid w:val="00185F13"/>
    <w:rsid w:val="001861E9"/>
    <w:rsid w:val="001866AC"/>
    <w:rsid w:val="00186871"/>
    <w:rsid w:val="00186A42"/>
    <w:rsid w:val="00186C64"/>
    <w:rsid w:val="00186E0E"/>
    <w:rsid w:val="00187043"/>
    <w:rsid w:val="0018733B"/>
    <w:rsid w:val="001876A8"/>
    <w:rsid w:val="00187890"/>
    <w:rsid w:val="00187905"/>
    <w:rsid w:val="00187ABB"/>
    <w:rsid w:val="00187CB6"/>
    <w:rsid w:val="00190452"/>
    <w:rsid w:val="00190829"/>
    <w:rsid w:val="00190858"/>
    <w:rsid w:val="001919BA"/>
    <w:rsid w:val="00191E3B"/>
    <w:rsid w:val="00192482"/>
    <w:rsid w:val="00192A29"/>
    <w:rsid w:val="00192AAC"/>
    <w:rsid w:val="00192AC9"/>
    <w:rsid w:val="0019353D"/>
    <w:rsid w:val="0019393B"/>
    <w:rsid w:val="00193F6C"/>
    <w:rsid w:val="001942DA"/>
    <w:rsid w:val="00194A30"/>
    <w:rsid w:val="00194A89"/>
    <w:rsid w:val="00194EF2"/>
    <w:rsid w:val="00195459"/>
    <w:rsid w:val="0019557F"/>
    <w:rsid w:val="00195D3E"/>
    <w:rsid w:val="0019622E"/>
    <w:rsid w:val="0019635E"/>
    <w:rsid w:val="0019672F"/>
    <w:rsid w:val="001967C5"/>
    <w:rsid w:val="0019680E"/>
    <w:rsid w:val="00196DAD"/>
    <w:rsid w:val="00196FF8"/>
    <w:rsid w:val="0019734D"/>
    <w:rsid w:val="0019749A"/>
    <w:rsid w:val="001974ED"/>
    <w:rsid w:val="001976A0"/>
    <w:rsid w:val="001978CA"/>
    <w:rsid w:val="00197A30"/>
    <w:rsid w:val="00197B22"/>
    <w:rsid w:val="00197C87"/>
    <w:rsid w:val="00197EFA"/>
    <w:rsid w:val="00197F0F"/>
    <w:rsid w:val="001A05B5"/>
    <w:rsid w:val="001A0906"/>
    <w:rsid w:val="001A0966"/>
    <w:rsid w:val="001A0F6F"/>
    <w:rsid w:val="001A0FB6"/>
    <w:rsid w:val="001A11E1"/>
    <w:rsid w:val="001A137E"/>
    <w:rsid w:val="001A1AA8"/>
    <w:rsid w:val="001A20B7"/>
    <w:rsid w:val="001A2445"/>
    <w:rsid w:val="001A2464"/>
    <w:rsid w:val="001A26C6"/>
    <w:rsid w:val="001A2AAA"/>
    <w:rsid w:val="001A2B6D"/>
    <w:rsid w:val="001A2EB0"/>
    <w:rsid w:val="001A31E1"/>
    <w:rsid w:val="001A340A"/>
    <w:rsid w:val="001A3527"/>
    <w:rsid w:val="001A3A8A"/>
    <w:rsid w:val="001A3B1E"/>
    <w:rsid w:val="001A3D8F"/>
    <w:rsid w:val="001A3F01"/>
    <w:rsid w:val="001A433D"/>
    <w:rsid w:val="001A470E"/>
    <w:rsid w:val="001A49DB"/>
    <w:rsid w:val="001A4BCE"/>
    <w:rsid w:val="001A533C"/>
    <w:rsid w:val="001A5652"/>
    <w:rsid w:val="001A565E"/>
    <w:rsid w:val="001A6176"/>
    <w:rsid w:val="001A61E7"/>
    <w:rsid w:val="001A6324"/>
    <w:rsid w:val="001A65AA"/>
    <w:rsid w:val="001A6AD6"/>
    <w:rsid w:val="001A6AF7"/>
    <w:rsid w:val="001A6D43"/>
    <w:rsid w:val="001A6E17"/>
    <w:rsid w:val="001A6EBE"/>
    <w:rsid w:val="001A70B9"/>
    <w:rsid w:val="001A71FF"/>
    <w:rsid w:val="001A7747"/>
    <w:rsid w:val="001A77C0"/>
    <w:rsid w:val="001A79F4"/>
    <w:rsid w:val="001A7EAB"/>
    <w:rsid w:val="001B022F"/>
    <w:rsid w:val="001B0551"/>
    <w:rsid w:val="001B0828"/>
    <w:rsid w:val="001B0906"/>
    <w:rsid w:val="001B09A3"/>
    <w:rsid w:val="001B1528"/>
    <w:rsid w:val="001B1611"/>
    <w:rsid w:val="001B182C"/>
    <w:rsid w:val="001B1FD6"/>
    <w:rsid w:val="001B2237"/>
    <w:rsid w:val="001B287A"/>
    <w:rsid w:val="001B2C0D"/>
    <w:rsid w:val="001B2D23"/>
    <w:rsid w:val="001B2E6A"/>
    <w:rsid w:val="001B2F87"/>
    <w:rsid w:val="001B337F"/>
    <w:rsid w:val="001B37B6"/>
    <w:rsid w:val="001B3A56"/>
    <w:rsid w:val="001B3C40"/>
    <w:rsid w:val="001B3E23"/>
    <w:rsid w:val="001B4014"/>
    <w:rsid w:val="001B4225"/>
    <w:rsid w:val="001B4342"/>
    <w:rsid w:val="001B438B"/>
    <w:rsid w:val="001B49AF"/>
    <w:rsid w:val="001B49B6"/>
    <w:rsid w:val="001B4BA4"/>
    <w:rsid w:val="001B4BB3"/>
    <w:rsid w:val="001B4E12"/>
    <w:rsid w:val="001B5077"/>
    <w:rsid w:val="001B55E4"/>
    <w:rsid w:val="001B5642"/>
    <w:rsid w:val="001B5847"/>
    <w:rsid w:val="001B5A3B"/>
    <w:rsid w:val="001B5B41"/>
    <w:rsid w:val="001B61CA"/>
    <w:rsid w:val="001B6625"/>
    <w:rsid w:val="001B668B"/>
    <w:rsid w:val="001B69E4"/>
    <w:rsid w:val="001B6E98"/>
    <w:rsid w:val="001B71C5"/>
    <w:rsid w:val="001B753F"/>
    <w:rsid w:val="001B78D8"/>
    <w:rsid w:val="001B799C"/>
    <w:rsid w:val="001B7A97"/>
    <w:rsid w:val="001C04F8"/>
    <w:rsid w:val="001C085C"/>
    <w:rsid w:val="001C0BDF"/>
    <w:rsid w:val="001C0CA7"/>
    <w:rsid w:val="001C0DE1"/>
    <w:rsid w:val="001C1000"/>
    <w:rsid w:val="001C176A"/>
    <w:rsid w:val="001C18AB"/>
    <w:rsid w:val="001C19BD"/>
    <w:rsid w:val="001C1C57"/>
    <w:rsid w:val="001C1DFA"/>
    <w:rsid w:val="001C1EDB"/>
    <w:rsid w:val="001C1F10"/>
    <w:rsid w:val="001C1F60"/>
    <w:rsid w:val="001C1FAC"/>
    <w:rsid w:val="001C2094"/>
    <w:rsid w:val="001C269A"/>
    <w:rsid w:val="001C28F4"/>
    <w:rsid w:val="001C2A51"/>
    <w:rsid w:val="001C3277"/>
    <w:rsid w:val="001C369D"/>
    <w:rsid w:val="001C3E09"/>
    <w:rsid w:val="001C3E93"/>
    <w:rsid w:val="001C3F1E"/>
    <w:rsid w:val="001C4519"/>
    <w:rsid w:val="001C457F"/>
    <w:rsid w:val="001C473C"/>
    <w:rsid w:val="001C5CE8"/>
    <w:rsid w:val="001C6A93"/>
    <w:rsid w:val="001C6AD7"/>
    <w:rsid w:val="001C6B82"/>
    <w:rsid w:val="001C7164"/>
    <w:rsid w:val="001C78B0"/>
    <w:rsid w:val="001D0188"/>
    <w:rsid w:val="001D053C"/>
    <w:rsid w:val="001D091A"/>
    <w:rsid w:val="001D095A"/>
    <w:rsid w:val="001D0AF1"/>
    <w:rsid w:val="001D196B"/>
    <w:rsid w:val="001D1C0A"/>
    <w:rsid w:val="001D1C70"/>
    <w:rsid w:val="001D2298"/>
    <w:rsid w:val="001D24AC"/>
    <w:rsid w:val="001D2E09"/>
    <w:rsid w:val="001D2E5D"/>
    <w:rsid w:val="001D3838"/>
    <w:rsid w:val="001D385F"/>
    <w:rsid w:val="001D3A0B"/>
    <w:rsid w:val="001D3AD7"/>
    <w:rsid w:val="001D3C76"/>
    <w:rsid w:val="001D3E4E"/>
    <w:rsid w:val="001D40A7"/>
    <w:rsid w:val="001D4765"/>
    <w:rsid w:val="001D49E3"/>
    <w:rsid w:val="001D4C46"/>
    <w:rsid w:val="001D4E4A"/>
    <w:rsid w:val="001D5242"/>
    <w:rsid w:val="001D54E4"/>
    <w:rsid w:val="001D5AB5"/>
    <w:rsid w:val="001D5C0D"/>
    <w:rsid w:val="001D6588"/>
    <w:rsid w:val="001D6802"/>
    <w:rsid w:val="001D6E02"/>
    <w:rsid w:val="001D6E90"/>
    <w:rsid w:val="001D716A"/>
    <w:rsid w:val="001D7B35"/>
    <w:rsid w:val="001E069D"/>
    <w:rsid w:val="001E102E"/>
    <w:rsid w:val="001E10D9"/>
    <w:rsid w:val="001E1A35"/>
    <w:rsid w:val="001E1A50"/>
    <w:rsid w:val="001E22DC"/>
    <w:rsid w:val="001E26D4"/>
    <w:rsid w:val="001E2A72"/>
    <w:rsid w:val="001E2B53"/>
    <w:rsid w:val="001E2B55"/>
    <w:rsid w:val="001E2CE8"/>
    <w:rsid w:val="001E3605"/>
    <w:rsid w:val="001E370A"/>
    <w:rsid w:val="001E380E"/>
    <w:rsid w:val="001E3B73"/>
    <w:rsid w:val="001E3C52"/>
    <w:rsid w:val="001E3C9C"/>
    <w:rsid w:val="001E3EBA"/>
    <w:rsid w:val="001E4053"/>
    <w:rsid w:val="001E4280"/>
    <w:rsid w:val="001E42D9"/>
    <w:rsid w:val="001E4325"/>
    <w:rsid w:val="001E5076"/>
    <w:rsid w:val="001E5143"/>
    <w:rsid w:val="001E51FA"/>
    <w:rsid w:val="001E52D9"/>
    <w:rsid w:val="001E537B"/>
    <w:rsid w:val="001E579B"/>
    <w:rsid w:val="001E58A0"/>
    <w:rsid w:val="001E5B61"/>
    <w:rsid w:val="001E5DF3"/>
    <w:rsid w:val="001E5F31"/>
    <w:rsid w:val="001E6188"/>
    <w:rsid w:val="001E623A"/>
    <w:rsid w:val="001E63B1"/>
    <w:rsid w:val="001E68A3"/>
    <w:rsid w:val="001E6DAF"/>
    <w:rsid w:val="001E7412"/>
    <w:rsid w:val="001E74E4"/>
    <w:rsid w:val="001E7890"/>
    <w:rsid w:val="001E7A73"/>
    <w:rsid w:val="001E7BB9"/>
    <w:rsid w:val="001F087C"/>
    <w:rsid w:val="001F0DDE"/>
    <w:rsid w:val="001F1216"/>
    <w:rsid w:val="001F17B4"/>
    <w:rsid w:val="001F23ED"/>
    <w:rsid w:val="001F278A"/>
    <w:rsid w:val="001F2B8F"/>
    <w:rsid w:val="001F310F"/>
    <w:rsid w:val="001F32EC"/>
    <w:rsid w:val="001F3488"/>
    <w:rsid w:val="001F3606"/>
    <w:rsid w:val="001F39C0"/>
    <w:rsid w:val="001F3C23"/>
    <w:rsid w:val="001F3FDE"/>
    <w:rsid w:val="001F422C"/>
    <w:rsid w:val="001F444D"/>
    <w:rsid w:val="001F47BA"/>
    <w:rsid w:val="001F48A1"/>
    <w:rsid w:val="001F48DD"/>
    <w:rsid w:val="001F4A1A"/>
    <w:rsid w:val="001F52FA"/>
    <w:rsid w:val="001F533C"/>
    <w:rsid w:val="001F533E"/>
    <w:rsid w:val="001F5464"/>
    <w:rsid w:val="001F558D"/>
    <w:rsid w:val="001F55D2"/>
    <w:rsid w:val="001F5923"/>
    <w:rsid w:val="001F5B50"/>
    <w:rsid w:val="001F5D17"/>
    <w:rsid w:val="001F67E1"/>
    <w:rsid w:val="001F6937"/>
    <w:rsid w:val="001F69D9"/>
    <w:rsid w:val="001F6A2D"/>
    <w:rsid w:val="001F6D45"/>
    <w:rsid w:val="001F6FD8"/>
    <w:rsid w:val="001F7385"/>
    <w:rsid w:val="001F767A"/>
    <w:rsid w:val="001F79C4"/>
    <w:rsid w:val="001F7C5D"/>
    <w:rsid w:val="001F7DB8"/>
    <w:rsid w:val="002005C3"/>
    <w:rsid w:val="002006EA"/>
    <w:rsid w:val="00200767"/>
    <w:rsid w:val="00200943"/>
    <w:rsid w:val="00200A9B"/>
    <w:rsid w:val="00200BB5"/>
    <w:rsid w:val="00200DF3"/>
    <w:rsid w:val="00201303"/>
    <w:rsid w:val="0020155D"/>
    <w:rsid w:val="002016C9"/>
    <w:rsid w:val="0020174C"/>
    <w:rsid w:val="002018F3"/>
    <w:rsid w:val="002019FB"/>
    <w:rsid w:val="0020215A"/>
    <w:rsid w:val="002026E6"/>
    <w:rsid w:val="0020277E"/>
    <w:rsid w:val="00202852"/>
    <w:rsid w:val="00202B71"/>
    <w:rsid w:val="00202CC9"/>
    <w:rsid w:val="00202D6C"/>
    <w:rsid w:val="00202DE7"/>
    <w:rsid w:val="00203242"/>
    <w:rsid w:val="002033EC"/>
    <w:rsid w:val="00203490"/>
    <w:rsid w:val="00203962"/>
    <w:rsid w:val="00203D1C"/>
    <w:rsid w:val="00204612"/>
    <w:rsid w:val="0020472F"/>
    <w:rsid w:val="0020484D"/>
    <w:rsid w:val="00204B4F"/>
    <w:rsid w:val="00204D09"/>
    <w:rsid w:val="00204EF1"/>
    <w:rsid w:val="00204F6A"/>
    <w:rsid w:val="002055D7"/>
    <w:rsid w:val="00205C62"/>
    <w:rsid w:val="002061B5"/>
    <w:rsid w:val="00206938"/>
    <w:rsid w:val="00206BC5"/>
    <w:rsid w:val="00206CBD"/>
    <w:rsid w:val="00207203"/>
    <w:rsid w:val="00207530"/>
    <w:rsid w:val="00207727"/>
    <w:rsid w:val="00207EB6"/>
    <w:rsid w:val="00207FF7"/>
    <w:rsid w:val="00210777"/>
    <w:rsid w:val="00210B48"/>
    <w:rsid w:val="00210F1E"/>
    <w:rsid w:val="00210F98"/>
    <w:rsid w:val="00211020"/>
    <w:rsid w:val="00211561"/>
    <w:rsid w:val="002115D0"/>
    <w:rsid w:val="00211661"/>
    <w:rsid w:val="00211B2A"/>
    <w:rsid w:val="00211B80"/>
    <w:rsid w:val="00211BD2"/>
    <w:rsid w:val="00211CC3"/>
    <w:rsid w:val="00211F2B"/>
    <w:rsid w:val="002127D7"/>
    <w:rsid w:val="00212C11"/>
    <w:rsid w:val="00212F41"/>
    <w:rsid w:val="0021311F"/>
    <w:rsid w:val="00213D1F"/>
    <w:rsid w:val="00213F31"/>
    <w:rsid w:val="00214120"/>
    <w:rsid w:val="00214548"/>
    <w:rsid w:val="00214601"/>
    <w:rsid w:val="0021472C"/>
    <w:rsid w:val="00214918"/>
    <w:rsid w:val="00214A2E"/>
    <w:rsid w:val="0021558C"/>
    <w:rsid w:val="002158D3"/>
    <w:rsid w:val="00215BD0"/>
    <w:rsid w:val="00215D86"/>
    <w:rsid w:val="00215E26"/>
    <w:rsid w:val="00216213"/>
    <w:rsid w:val="002164AD"/>
    <w:rsid w:val="002165FC"/>
    <w:rsid w:val="0021660C"/>
    <w:rsid w:val="002169E5"/>
    <w:rsid w:val="00216B87"/>
    <w:rsid w:val="00216CB7"/>
    <w:rsid w:val="0021729C"/>
    <w:rsid w:val="00217963"/>
    <w:rsid w:val="00217B2F"/>
    <w:rsid w:val="00217DBF"/>
    <w:rsid w:val="0022008A"/>
    <w:rsid w:val="0022025E"/>
    <w:rsid w:val="00220755"/>
    <w:rsid w:val="00220834"/>
    <w:rsid w:val="002209A9"/>
    <w:rsid w:val="00220FCD"/>
    <w:rsid w:val="0022145C"/>
    <w:rsid w:val="00221AA4"/>
    <w:rsid w:val="00221D08"/>
    <w:rsid w:val="00221E1D"/>
    <w:rsid w:val="002220F5"/>
    <w:rsid w:val="002223F2"/>
    <w:rsid w:val="002224CB"/>
    <w:rsid w:val="002224EA"/>
    <w:rsid w:val="00222787"/>
    <w:rsid w:val="002230F7"/>
    <w:rsid w:val="002235D1"/>
    <w:rsid w:val="00223A00"/>
    <w:rsid w:val="00223A34"/>
    <w:rsid w:val="00223B2E"/>
    <w:rsid w:val="00223E06"/>
    <w:rsid w:val="00224087"/>
    <w:rsid w:val="00224132"/>
    <w:rsid w:val="002241BD"/>
    <w:rsid w:val="002242D6"/>
    <w:rsid w:val="0022432C"/>
    <w:rsid w:val="0022439B"/>
    <w:rsid w:val="00224870"/>
    <w:rsid w:val="00224902"/>
    <w:rsid w:val="00224AF2"/>
    <w:rsid w:val="00224CAC"/>
    <w:rsid w:val="00224F46"/>
    <w:rsid w:val="00224F94"/>
    <w:rsid w:val="002251B5"/>
    <w:rsid w:val="00225509"/>
    <w:rsid w:val="0022593C"/>
    <w:rsid w:val="00225A71"/>
    <w:rsid w:val="00225C16"/>
    <w:rsid w:val="00225DEF"/>
    <w:rsid w:val="00225E6A"/>
    <w:rsid w:val="002267CF"/>
    <w:rsid w:val="00226911"/>
    <w:rsid w:val="00226CEB"/>
    <w:rsid w:val="00226DD2"/>
    <w:rsid w:val="002271EC"/>
    <w:rsid w:val="00227263"/>
    <w:rsid w:val="002274EC"/>
    <w:rsid w:val="002277EC"/>
    <w:rsid w:val="00227B28"/>
    <w:rsid w:val="00227CC1"/>
    <w:rsid w:val="00227F8B"/>
    <w:rsid w:val="00227FEF"/>
    <w:rsid w:val="0023015F"/>
    <w:rsid w:val="00230270"/>
    <w:rsid w:val="0023093C"/>
    <w:rsid w:val="0023096F"/>
    <w:rsid w:val="00230B51"/>
    <w:rsid w:val="00230F1E"/>
    <w:rsid w:val="00231483"/>
    <w:rsid w:val="00231993"/>
    <w:rsid w:val="002319E1"/>
    <w:rsid w:val="00231C64"/>
    <w:rsid w:val="00231F8D"/>
    <w:rsid w:val="00232340"/>
    <w:rsid w:val="002330A4"/>
    <w:rsid w:val="002331AC"/>
    <w:rsid w:val="00233249"/>
    <w:rsid w:val="00233356"/>
    <w:rsid w:val="00233B03"/>
    <w:rsid w:val="00233BAE"/>
    <w:rsid w:val="00233F68"/>
    <w:rsid w:val="00234003"/>
    <w:rsid w:val="00234067"/>
    <w:rsid w:val="002340B4"/>
    <w:rsid w:val="0023421D"/>
    <w:rsid w:val="0023431D"/>
    <w:rsid w:val="00234A2C"/>
    <w:rsid w:val="00234E42"/>
    <w:rsid w:val="0023516D"/>
    <w:rsid w:val="00235295"/>
    <w:rsid w:val="002355B2"/>
    <w:rsid w:val="002358F4"/>
    <w:rsid w:val="0023594E"/>
    <w:rsid w:val="002359DB"/>
    <w:rsid w:val="00235BDD"/>
    <w:rsid w:val="00235BE3"/>
    <w:rsid w:val="00235E8C"/>
    <w:rsid w:val="00236288"/>
    <w:rsid w:val="00236416"/>
    <w:rsid w:val="0023684C"/>
    <w:rsid w:val="00236866"/>
    <w:rsid w:val="00236C8C"/>
    <w:rsid w:val="00236E6D"/>
    <w:rsid w:val="00236E87"/>
    <w:rsid w:val="002377D6"/>
    <w:rsid w:val="002377DA"/>
    <w:rsid w:val="0023787F"/>
    <w:rsid w:val="002400DB"/>
    <w:rsid w:val="002403FA"/>
    <w:rsid w:val="0024068E"/>
    <w:rsid w:val="00240858"/>
    <w:rsid w:val="00240A50"/>
    <w:rsid w:val="00240AC7"/>
    <w:rsid w:val="00240B5A"/>
    <w:rsid w:val="00240C63"/>
    <w:rsid w:val="00240D9C"/>
    <w:rsid w:val="00240DAF"/>
    <w:rsid w:val="002414F1"/>
    <w:rsid w:val="0024160F"/>
    <w:rsid w:val="0024166C"/>
    <w:rsid w:val="00241684"/>
    <w:rsid w:val="00241950"/>
    <w:rsid w:val="00241FD5"/>
    <w:rsid w:val="002427F4"/>
    <w:rsid w:val="00242E79"/>
    <w:rsid w:val="0024313C"/>
    <w:rsid w:val="002431B9"/>
    <w:rsid w:val="00243937"/>
    <w:rsid w:val="0024415E"/>
    <w:rsid w:val="00244330"/>
    <w:rsid w:val="00244AB2"/>
    <w:rsid w:val="00244AB8"/>
    <w:rsid w:val="00244BF8"/>
    <w:rsid w:val="002450F5"/>
    <w:rsid w:val="00245138"/>
    <w:rsid w:val="00245433"/>
    <w:rsid w:val="00245683"/>
    <w:rsid w:val="00245995"/>
    <w:rsid w:val="00245A4F"/>
    <w:rsid w:val="002461DB"/>
    <w:rsid w:val="002469DC"/>
    <w:rsid w:val="00246A04"/>
    <w:rsid w:val="00246A89"/>
    <w:rsid w:val="002470CB"/>
    <w:rsid w:val="00247958"/>
    <w:rsid w:val="00247CF6"/>
    <w:rsid w:val="00247DC1"/>
    <w:rsid w:val="00247F96"/>
    <w:rsid w:val="0025050F"/>
    <w:rsid w:val="00250817"/>
    <w:rsid w:val="00250E96"/>
    <w:rsid w:val="002517A8"/>
    <w:rsid w:val="00251955"/>
    <w:rsid w:val="00251EC4"/>
    <w:rsid w:val="00251EE5"/>
    <w:rsid w:val="00252037"/>
    <w:rsid w:val="0025218D"/>
    <w:rsid w:val="002521C2"/>
    <w:rsid w:val="00252489"/>
    <w:rsid w:val="0025253E"/>
    <w:rsid w:val="00252601"/>
    <w:rsid w:val="0025299C"/>
    <w:rsid w:val="00252BA2"/>
    <w:rsid w:val="00252C43"/>
    <w:rsid w:val="00252CF8"/>
    <w:rsid w:val="00253186"/>
    <w:rsid w:val="00253649"/>
    <w:rsid w:val="00253B3E"/>
    <w:rsid w:val="00253DD5"/>
    <w:rsid w:val="00253EC2"/>
    <w:rsid w:val="00253F31"/>
    <w:rsid w:val="00254488"/>
    <w:rsid w:val="00254566"/>
    <w:rsid w:val="0025482C"/>
    <w:rsid w:val="002548D3"/>
    <w:rsid w:val="00254F39"/>
    <w:rsid w:val="00255056"/>
    <w:rsid w:val="00255066"/>
    <w:rsid w:val="0025529E"/>
    <w:rsid w:val="00255336"/>
    <w:rsid w:val="00255CCF"/>
    <w:rsid w:val="00255D77"/>
    <w:rsid w:val="002560BE"/>
    <w:rsid w:val="00256138"/>
    <w:rsid w:val="0025644B"/>
    <w:rsid w:val="0025652E"/>
    <w:rsid w:val="00256834"/>
    <w:rsid w:val="0025699F"/>
    <w:rsid w:val="00256A06"/>
    <w:rsid w:val="00256AB0"/>
    <w:rsid w:val="0025765B"/>
    <w:rsid w:val="00257767"/>
    <w:rsid w:val="00257983"/>
    <w:rsid w:val="00257D0D"/>
    <w:rsid w:val="002603E7"/>
    <w:rsid w:val="002606F5"/>
    <w:rsid w:val="00260C02"/>
    <w:rsid w:val="00260DE5"/>
    <w:rsid w:val="002613CC"/>
    <w:rsid w:val="002614DB"/>
    <w:rsid w:val="00261AD1"/>
    <w:rsid w:val="00261D88"/>
    <w:rsid w:val="00262D99"/>
    <w:rsid w:val="00262FA4"/>
    <w:rsid w:val="00263284"/>
    <w:rsid w:val="0026357A"/>
    <w:rsid w:val="002635B8"/>
    <w:rsid w:val="00263C2E"/>
    <w:rsid w:val="002641A8"/>
    <w:rsid w:val="002645E0"/>
    <w:rsid w:val="002647EF"/>
    <w:rsid w:val="0026481D"/>
    <w:rsid w:val="00264905"/>
    <w:rsid w:val="00264AAA"/>
    <w:rsid w:val="00264B7E"/>
    <w:rsid w:val="00264E79"/>
    <w:rsid w:val="00265166"/>
    <w:rsid w:val="00265260"/>
    <w:rsid w:val="00265413"/>
    <w:rsid w:val="00265482"/>
    <w:rsid w:val="002656E2"/>
    <w:rsid w:val="00265A80"/>
    <w:rsid w:val="00265B63"/>
    <w:rsid w:val="00266050"/>
    <w:rsid w:val="002663FA"/>
    <w:rsid w:val="0026676D"/>
    <w:rsid w:val="00266D92"/>
    <w:rsid w:val="0026741F"/>
    <w:rsid w:val="00267592"/>
    <w:rsid w:val="002676EF"/>
    <w:rsid w:val="00267C1F"/>
    <w:rsid w:val="00267D6D"/>
    <w:rsid w:val="00267EDC"/>
    <w:rsid w:val="0027003D"/>
    <w:rsid w:val="0027020A"/>
    <w:rsid w:val="002702F3"/>
    <w:rsid w:val="00270305"/>
    <w:rsid w:val="00270501"/>
    <w:rsid w:val="0027097D"/>
    <w:rsid w:val="0027116F"/>
    <w:rsid w:val="0027140F"/>
    <w:rsid w:val="00271619"/>
    <w:rsid w:val="00271A5D"/>
    <w:rsid w:val="00271AB1"/>
    <w:rsid w:val="00271C44"/>
    <w:rsid w:val="00271EE0"/>
    <w:rsid w:val="002722D1"/>
    <w:rsid w:val="002723C1"/>
    <w:rsid w:val="00272559"/>
    <w:rsid w:val="002727D4"/>
    <w:rsid w:val="00273048"/>
    <w:rsid w:val="002731E1"/>
    <w:rsid w:val="0027355F"/>
    <w:rsid w:val="002735D5"/>
    <w:rsid w:val="00273D86"/>
    <w:rsid w:val="0027400F"/>
    <w:rsid w:val="002740CD"/>
    <w:rsid w:val="00274244"/>
    <w:rsid w:val="00274939"/>
    <w:rsid w:val="00274971"/>
    <w:rsid w:val="00274B75"/>
    <w:rsid w:val="00274C8A"/>
    <w:rsid w:val="00274E4A"/>
    <w:rsid w:val="00275144"/>
    <w:rsid w:val="002751E8"/>
    <w:rsid w:val="0027537E"/>
    <w:rsid w:val="0027622A"/>
    <w:rsid w:val="00276453"/>
    <w:rsid w:val="002766A5"/>
    <w:rsid w:val="0027693C"/>
    <w:rsid w:val="00276D4F"/>
    <w:rsid w:val="00276EBA"/>
    <w:rsid w:val="00276F97"/>
    <w:rsid w:val="00277058"/>
    <w:rsid w:val="0027775B"/>
    <w:rsid w:val="00277B61"/>
    <w:rsid w:val="00277B8C"/>
    <w:rsid w:val="0028008B"/>
    <w:rsid w:val="00280286"/>
    <w:rsid w:val="0028041D"/>
    <w:rsid w:val="002804AD"/>
    <w:rsid w:val="00280CA9"/>
    <w:rsid w:val="00280D73"/>
    <w:rsid w:val="00280EB6"/>
    <w:rsid w:val="00281270"/>
    <w:rsid w:val="002812CD"/>
    <w:rsid w:val="0028136D"/>
    <w:rsid w:val="002813DF"/>
    <w:rsid w:val="00281487"/>
    <w:rsid w:val="00281765"/>
    <w:rsid w:val="00281D7C"/>
    <w:rsid w:val="00281DCC"/>
    <w:rsid w:val="00281EF7"/>
    <w:rsid w:val="0028249B"/>
    <w:rsid w:val="00282784"/>
    <w:rsid w:val="002829BE"/>
    <w:rsid w:val="00282A05"/>
    <w:rsid w:val="00282A77"/>
    <w:rsid w:val="00282D0A"/>
    <w:rsid w:val="00282F76"/>
    <w:rsid w:val="002834CA"/>
    <w:rsid w:val="00283B6F"/>
    <w:rsid w:val="00283FE6"/>
    <w:rsid w:val="0028407D"/>
    <w:rsid w:val="00284234"/>
    <w:rsid w:val="002844C2"/>
    <w:rsid w:val="002845AB"/>
    <w:rsid w:val="00284914"/>
    <w:rsid w:val="00284C33"/>
    <w:rsid w:val="00285429"/>
    <w:rsid w:val="002854E6"/>
    <w:rsid w:val="0028565C"/>
    <w:rsid w:val="00285765"/>
    <w:rsid w:val="00285939"/>
    <w:rsid w:val="0028639A"/>
    <w:rsid w:val="002865A2"/>
    <w:rsid w:val="00286610"/>
    <w:rsid w:val="0028678A"/>
    <w:rsid w:val="00286E1E"/>
    <w:rsid w:val="00286F81"/>
    <w:rsid w:val="002872B7"/>
    <w:rsid w:val="002873BB"/>
    <w:rsid w:val="00287BAE"/>
    <w:rsid w:val="00290091"/>
    <w:rsid w:val="00290127"/>
    <w:rsid w:val="002907DE"/>
    <w:rsid w:val="002919EE"/>
    <w:rsid w:val="00291DF9"/>
    <w:rsid w:val="00291EFD"/>
    <w:rsid w:val="002920C4"/>
    <w:rsid w:val="002920F0"/>
    <w:rsid w:val="002927F1"/>
    <w:rsid w:val="00292A58"/>
    <w:rsid w:val="00293002"/>
    <w:rsid w:val="002931B4"/>
    <w:rsid w:val="0029363C"/>
    <w:rsid w:val="00293A4A"/>
    <w:rsid w:val="00293AA1"/>
    <w:rsid w:val="002941ED"/>
    <w:rsid w:val="00294283"/>
    <w:rsid w:val="00294AFE"/>
    <w:rsid w:val="00294B87"/>
    <w:rsid w:val="00295062"/>
    <w:rsid w:val="00295350"/>
    <w:rsid w:val="00295649"/>
    <w:rsid w:val="002957E2"/>
    <w:rsid w:val="0029580D"/>
    <w:rsid w:val="00295875"/>
    <w:rsid w:val="00295881"/>
    <w:rsid w:val="002958CA"/>
    <w:rsid w:val="00295BD4"/>
    <w:rsid w:val="00295F9E"/>
    <w:rsid w:val="00296237"/>
    <w:rsid w:val="0029626C"/>
    <w:rsid w:val="00296311"/>
    <w:rsid w:val="0029661C"/>
    <w:rsid w:val="00296848"/>
    <w:rsid w:val="00297226"/>
    <w:rsid w:val="0029747F"/>
    <w:rsid w:val="00297C36"/>
    <w:rsid w:val="00297CBB"/>
    <w:rsid w:val="002A0521"/>
    <w:rsid w:val="002A0702"/>
    <w:rsid w:val="002A0862"/>
    <w:rsid w:val="002A08C7"/>
    <w:rsid w:val="002A0CCF"/>
    <w:rsid w:val="002A126E"/>
    <w:rsid w:val="002A1344"/>
    <w:rsid w:val="002A1F9A"/>
    <w:rsid w:val="002A21B2"/>
    <w:rsid w:val="002A24D1"/>
    <w:rsid w:val="002A2ABD"/>
    <w:rsid w:val="002A2C31"/>
    <w:rsid w:val="002A310B"/>
    <w:rsid w:val="002A34F0"/>
    <w:rsid w:val="002A38A3"/>
    <w:rsid w:val="002A392D"/>
    <w:rsid w:val="002A3A1E"/>
    <w:rsid w:val="002A3EB9"/>
    <w:rsid w:val="002A3FBC"/>
    <w:rsid w:val="002A4201"/>
    <w:rsid w:val="002A4335"/>
    <w:rsid w:val="002A440D"/>
    <w:rsid w:val="002A4444"/>
    <w:rsid w:val="002A4A7D"/>
    <w:rsid w:val="002A4D5D"/>
    <w:rsid w:val="002A4EB9"/>
    <w:rsid w:val="002A4EC0"/>
    <w:rsid w:val="002A526F"/>
    <w:rsid w:val="002A52F0"/>
    <w:rsid w:val="002A55FB"/>
    <w:rsid w:val="002A5661"/>
    <w:rsid w:val="002A5760"/>
    <w:rsid w:val="002A5A00"/>
    <w:rsid w:val="002A5DE8"/>
    <w:rsid w:val="002A6283"/>
    <w:rsid w:val="002A65D0"/>
    <w:rsid w:val="002A669A"/>
    <w:rsid w:val="002A6FDF"/>
    <w:rsid w:val="002A72CB"/>
    <w:rsid w:val="002A7539"/>
    <w:rsid w:val="002A76A0"/>
    <w:rsid w:val="002A7879"/>
    <w:rsid w:val="002A7907"/>
    <w:rsid w:val="002A79AE"/>
    <w:rsid w:val="002A7A99"/>
    <w:rsid w:val="002A7DDF"/>
    <w:rsid w:val="002A7E74"/>
    <w:rsid w:val="002A7F6B"/>
    <w:rsid w:val="002A7FC0"/>
    <w:rsid w:val="002B02C7"/>
    <w:rsid w:val="002B07CF"/>
    <w:rsid w:val="002B0844"/>
    <w:rsid w:val="002B0EB1"/>
    <w:rsid w:val="002B1168"/>
    <w:rsid w:val="002B161F"/>
    <w:rsid w:val="002B1730"/>
    <w:rsid w:val="002B1775"/>
    <w:rsid w:val="002B17DB"/>
    <w:rsid w:val="002B19EB"/>
    <w:rsid w:val="002B1A7B"/>
    <w:rsid w:val="002B1AB9"/>
    <w:rsid w:val="002B1C35"/>
    <w:rsid w:val="002B1DF7"/>
    <w:rsid w:val="002B2576"/>
    <w:rsid w:val="002B287D"/>
    <w:rsid w:val="002B32D2"/>
    <w:rsid w:val="002B3782"/>
    <w:rsid w:val="002B38B8"/>
    <w:rsid w:val="002B395F"/>
    <w:rsid w:val="002B3C08"/>
    <w:rsid w:val="002B3CED"/>
    <w:rsid w:val="002B3DF3"/>
    <w:rsid w:val="002B3EA8"/>
    <w:rsid w:val="002B40C2"/>
    <w:rsid w:val="002B49F2"/>
    <w:rsid w:val="002B4DA1"/>
    <w:rsid w:val="002B53BF"/>
    <w:rsid w:val="002B56BB"/>
    <w:rsid w:val="002B56E3"/>
    <w:rsid w:val="002B5A23"/>
    <w:rsid w:val="002B5DED"/>
    <w:rsid w:val="002B5F3D"/>
    <w:rsid w:val="002B5F45"/>
    <w:rsid w:val="002B6521"/>
    <w:rsid w:val="002B6C1F"/>
    <w:rsid w:val="002B6DB4"/>
    <w:rsid w:val="002B6F4F"/>
    <w:rsid w:val="002B717C"/>
    <w:rsid w:val="002B7705"/>
    <w:rsid w:val="002B79FF"/>
    <w:rsid w:val="002B7A7C"/>
    <w:rsid w:val="002B7B53"/>
    <w:rsid w:val="002B7EB1"/>
    <w:rsid w:val="002B7FE7"/>
    <w:rsid w:val="002C0069"/>
    <w:rsid w:val="002C02F3"/>
    <w:rsid w:val="002C03CF"/>
    <w:rsid w:val="002C0467"/>
    <w:rsid w:val="002C05EC"/>
    <w:rsid w:val="002C0880"/>
    <w:rsid w:val="002C0945"/>
    <w:rsid w:val="002C0FE9"/>
    <w:rsid w:val="002C1289"/>
    <w:rsid w:val="002C1377"/>
    <w:rsid w:val="002C1450"/>
    <w:rsid w:val="002C14C5"/>
    <w:rsid w:val="002C16D5"/>
    <w:rsid w:val="002C174D"/>
    <w:rsid w:val="002C1F47"/>
    <w:rsid w:val="002C1FC7"/>
    <w:rsid w:val="002C2154"/>
    <w:rsid w:val="002C2331"/>
    <w:rsid w:val="002C2577"/>
    <w:rsid w:val="002C27C5"/>
    <w:rsid w:val="002C2A70"/>
    <w:rsid w:val="002C2DCD"/>
    <w:rsid w:val="002C3565"/>
    <w:rsid w:val="002C37E4"/>
    <w:rsid w:val="002C397C"/>
    <w:rsid w:val="002C3A05"/>
    <w:rsid w:val="002C3EC0"/>
    <w:rsid w:val="002C3FBF"/>
    <w:rsid w:val="002C4B8C"/>
    <w:rsid w:val="002C4C67"/>
    <w:rsid w:val="002C4F5C"/>
    <w:rsid w:val="002C4F72"/>
    <w:rsid w:val="002C5154"/>
    <w:rsid w:val="002C5616"/>
    <w:rsid w:val="002C58EF"/>
    <w:rsid w:val="002C5946"/>
    <w:rsid w:val="002C59DE"/>
    <w:rsid w:val="002C63C4"/>
    <w:rsid w:val="002C6654"/>
    <w:rsid w:val="002C67C7"/>
    <w:rsid w:val="002C6A30"/>
    <w:rsid w:val="002C6CA1"/>
    <w:rsid w:val="002C7015"/>
    <w:rsid w:val="002C7187"/>
    <w:rsid w:val="002C71B3"/>
    <w:rsid w:val="002C73D7"/>
    <w:rsid w:val="002C74FD"/>
    <w:rsid w:val="002C7CC0"/>
    <w:rsid w:val="002C7DB9"/>
    <w:rsid w:val="002C7EB3"/>
    <w:rsid w:val="002D01AF"/>
    <w:rsid w:val="002D050D"/>
    <w:rsid w:val="002D079C"/>
    <w:rsid w:val="002D0A70"/>
    <w:rsid w:val="002D0AC7"/>
    <w:rsid w:val="002D101E"/>
    <w:rsid w:val="002D10E7"/>
    <w:rsid w:val="002D13E1"/>
    <w:rsid w:val="002D1486"/>
    <w:rsid w:val="002D15F2"/>
    <w:rsid w:val="002D1A57"/>
    <w:rsid w:val="002D2184"/>
    <w:rsid w:val="002D2448"/>
    <w:rsid w:val="002D2456"/>
    <w:rsid w:val="002D2762"/>
    <w:rsid w:val="002D340B"/>
    <w:rsid w:val="002D3733"/>
    <w:rsid w:val="002D4065"/>
    <w:rsid w:val="002D419F"/>
    <w:rsid w:val="002D424F"/>
    <w:rsid w:val="002D508B"/>
    <w:rsid w:val="002D52D3"/>
    <w:rsid w:val="002D54FC"/>
    <w:rsid w:val="002D5CF3"/>
    <w:rsid w:val="002D63D9"/>
    <w:rsid w:val="002D63DA"/>
    <w:rsid w:val="002D675C"/>
    <w:rsid w:val="002D6805"/>
    <w:rsid w:val="002D6870"/>
    <w:rsid w:val="002D68B4"/>
    <w:rsid w:val="002D6CB9"/>
    <w:rsid w:val="002D7099"/>
    <w:rsid w:val="002D7585"/>
    <w:rsid w:val="002D7645"/>
    <w:rsid w:val="002D774D"/>
    <w:rsid w:val="002D7E15"/>
    <w:rsid w:val="002D7E95"/>
    <w:rsid w:val="002E0CE8"/>
    <w:rsid w:val="002E0E28"/>
    <w:rsid w:val="002E163D"/>
    <w:rsid w:val="002E1A61"/>
    <w:rsid w:val="002E1B91"/>
    <w:rsid w:val="002E1F23"/>
    <w:rsid w:val="002E1F48"/>
    <w:rsid w:val="002E2078"/>
    <w:rsid w:val="002E229F"/>
    <w:rsid w:val="002E28DF"/>
    <w:rsid w:val="002E29F0"/>
    <w:rsid w:val="002E2DB6"/>
    <w:rsid w:val="002E33E8"/>
    <w:rsid w:val="002E3D36"/>
    <w:rsid w:val="002E3F7E"/>
    <w:rsid w:val="002E4A92"/>
    <w:rsid w:val="002E4C46"/>
    <w:rsid w:val="002E4DDC"/>
    <w:rsid w:val="002E5182"/>
    <w:rsid w:val="002E52E8"/>
    <w:rsid w:val="002E584B"/>
    <w:rsid w:val="002E5F0B"/>
    <w:rsid w:val="002E6171"/>
    <w:rsid w:val="002E6601"/>
    <w:rsid w:val="002E6CCE"/>
    <w:rsid w:val="002E6E61"/>
    <w:rsid w:val="002E6FF7"/>
    <w:rsid w:val="002E74DB"/>
    <w:rsid w:val="002E7647"/>
    <w:rsid w:val="002E7D86"/>
    <w:rsid w:val="002E7EC1"/>
    <w:rsid w:val="002E7F58"/>
    <w:rsid w:val="002E7F88"/>
    <w:rsid w:val="002F02ED"/>
    <w:rsid w:val="002F04E4"/>
    <w:rsid w:val="002F05BD"/>
    <w:rsid w:val="002F05F1"/>
    <w:rsid w:val="002F081F"/>
    <w:rsid w:val="002F0D43"/>
    <w:rsid w:val="002F0F50"/>
    <w:rsid w:val="002F1130"/>
    <w:rsid w:val="002F1C18"/>
    <w:rsid w:val="002F1C7C"/>
    <w:rsid w:val="002F225B"/>
    <w:rsid w:val="002F2781"/>
    <w:rsid w:val="002F2811"/>
    <w:rsid w:val="002F2B24"/>
    <w:rsid w:val="002F2E8B"/>
    <w:rsid w:val="002F323F"/>
    <w:rsid w:val="002F33FF"/>
    <w:rsid w:val="002F346B"/>
    <w:rsid w:val="002F35C1"/>
    <w:rsid w:val="002F35EC"/>
    <w:rsid w:val="002F3763"/>
    <w:rsid w:val="002F3B81"/>
    <w:rsid w:val="002F3B86"/>
    <w:rsid w:val="002F3DB3"/>
    <w:rsid w:val="002F452F"/>
    <w:rsid w:val="002F4E1A"/>
    <w:rsid w:val="002F4F1C"/>
    <w:rsid w:val="002F50DF"/>
    <w:rsid w:val="002F54FC"/>
    <w:rsid w:val="002F5803"/>
    <w:rsid w:val="002F5925"/>
    <w:rsid w:val="002F64E9"/>
    <w:rsid w:val="002F6A5D"/>
    <w:rsid w:val="002F6B40"/>
    <w:rsid w:val="002F6C32"/>
    <w:rsid w:val="002F6F73"/>
    <w:rsid w:val="002F6FB1"/>
    <w:rsid w:val="002F725E"/>
    <w:rsid w:val="002F7474"/>
    <w:rsid w:val="002F74FD"/>
    <w:rsid w:val="002F75E7"/>
    <w:rsid w:val="002F77FA"/>
    <w:rsid w:val="00300638"/>
    <w:rsid w:val="003006E5"/>
    <w:rsid w:val="00300C10"/>
    <w:rsid w:val="00300EFF"/>
    <w:rsid w:val="00300F47"/>
    <w:rsid w:val="00301045"/>
    <w:rsid w:val="003011A4"/>
    <w:rsid w:val="0030123B"/>
    <w:rsid w:val="00301387"/>
    <w:rsid w:val="00301876"/>
    <w:rsid w:val="00301877"/>
    <w:rsid w:val="003019A4"/>
    <w:rsid w:val="00301B3C"/>
    <w:rsid w:val="00301DB5"/>
    <w:rsid w:val="00301E6C"/>
    <w:rsid w:val="003026E0"/>
    <w:rsid w:val="003028FA"/>
    <w:rsid w:val="003029D1"/>
    <w:rsid w:val="00302A6F"/>
    <w:rsid w:val="00302B50"/>
    <w:rsid w:val="0030309C"/>
    <w:rsid w:val="003037B5"/>
    <w:rsid w:val="003039BB"/>
    <w:rsid w:val="00303B0E"/>
    <w:rsid w:val="00303C54"/>
    <w:rsid w:val="00303E52"/>
    <w:rsid w:val="0030414D"/>
    <w:rsid w:val="00304259"/>
    <w:rsid w:val="003043BE"/>
    <w:rsid w:val="00304412"/>
    <w:rsid w:val="003049E8"/>
    <w:rsid w:val="00304D4A"/>
    <w:rsid w:val="00305093"/>
    <w:rsid w:val="00305506"/>
    <w:rsid w:val="0030584E"/>
    <w:rsid w:val="003058E6"/>
    <w:rsid w:val="00305DD3"/>
    <w:rsid w:val="00305EC1"/>
    <w:rsid w:val="00305F0B"/>
    <w:rsid w:val="003062C8"/>
    <w:rsid w:val="00306600"/>
    <w:rsid w:val="0030689B"/>
    <w:rsid w:val="00306A44"/>
    <w:rsid w:val="00306CE4"/>
    <w:rsid w:val="00306DBD"/>
    <w:rsid w:val="00306E4C"/>
    <w:rsid w:val="0030717E"/>
    <w:rsid w:val="003071BD"/>
    <w:rsid w:val="0030742D"/>
    <w:rsid w:val="00307761"/>
    <w:rsid w:val="00310388"/>
    <w:rsid w:val="003105C0"/>
    <w:rsid w:val="00310670"/>
    <w:rsid w:val="0031082B"/>
    <w:rsid w:val="00310AC4"/>
    <w:rsid w:val="00310D12"/>
    <w:rsid w:val="003112C5"/>
    <w:rsid w:val="0031165C"/>
    <w:rsid w:val="00311748"/>
    <w:rsid w:val="00311CFE"/>
    <w:rsid w:val="00311E51"/>
    <w:rsid w:val="00311EBB"/>
    <w:rsid w:val="00312004"/>
    <w:rsid w:val="00312064"/>
    <w:rsid w:val="00312066"/>
    <w:rsid w:val="00312396"/>
    <w:rsid w:val="00313091"/>
    <w:rsid w:val="003130B1"/>
    <w:rsid w:val="003131F3"/>
    <w:rsid w:val="0031328B"/>
    <w:rsid w:val="00313485"/>
    <w:rsid w:val="0031379D"/>
    <w:rsid w:val="00313825"/>
    <w:rsid w:val="00313C9F"/>
    <w:rsid w:val="0031427A"/>
    <w:rsid w:val="003143FD"/>
    <w:rsid w:val="0031447B"/>
    <w:rsid w:val="00314A23"/>
    <w:rsid w:val="00314FD9"/>
    <w:rsid w:val="003154CB"/>
    <w:rsid w:val="003159FB"/>
    <w:rsid w:val="00316412"/>
    <w:rsid w:val="003169FD"/>
    <w:rsid w:val="00316AAA"/>
    <w:rsid w:val="00316E1F"/>
    <w:rsid w:val="0031716B"/>
    <w:rsid w:val="0031734D"/>
    <w:rsid w:val="00317660"/>
    <w:rsid w:val="003178A4"/>
    <w:rsid w:val="003179E5"/>
    <w:rsid w:val="003179F3"/>
    <w:rsid w:val="00317E35"/>
    <w:rsid w:val="003200DA"/>
    <w:rsid w:val="00320172"/>
    <w:rsid w:val="003206FC"/>
    <w:rsid w:val="00320E56"/>
    <w:rsid w:val="003213AC"/>
    <w:rsid w:val="00321424"/>
    <w:rsid w:val="00321984"/>
    <w:rsid w:val="00321DAE"/>
    <w:rsid w:val="00321EBB"/>
    <w:rsid w:val="00321F1D"/>
    <w:rsid w:val="00322308"/>
    <w:rsid w:val="003231D0"/>
    <w:rsid w:val="003238B7"/>
    <w:rsid w:val="00323CC0"/>
    <w:rsid w:val="00323F1B"/>
    <w:rsid w:val="00323F42"/>
    <w:rsid w:val="003240CD"/>
    <w:rsid w:val="00324195"/>
    <w:rsid w:val="00324470"/>
    <w:rsid w:val="003245C7"/>
    <w:rsid w:val="00324773"/>
    <w:rsid w:val="0032517B"/>
    <w:rsid w:val="003251FE"/>
    <w:rsid w:val="0032551B"/>
    <w:rsid w:val="00325880"/>
    <w:rsid w:val="00325958"/>
    <w:rsid w:val="00325A18"/>
    <w:rsid w:val="0032651C"/>
    <w:rsid w:val="003265F7"/>
    <w:rsid w:val="00326636"/>
    <w:rsid w:val="0032667F"/>
    <w:rsid w:val="003266C6"/>
    <w:rsid w:val="0032691B"/>
    <w:rsid w:val="00326B78"/>
    <w:rsid w:val="00326C45"/>
    <w:rsid w:val="00326D34"/>
    <w:rsid w:val="00327094"/>
    <w:rsid w:val="003270ED"/>
    <w:rsid w:val="00327192"/>
    <w:rsid w:val="00327A1A"/>
    <w:rsid w:val="00327B23"/>
    <w:rsid w:val="00327DC3"/>
    <w:rsid w:val="003303E1"/>
    <w:rsid w:val="00330466"/>
    <w:rsid w:val="00330592"/>
    <w:rsid w:val="003305B2"/>
    <w:rsid w:val="00330784"/>
    <w:rsid w:val="00330C3A"/>
    <w:rsid w:val="00330C67"/>
    <w:rsid w:val="00330E40"/>
    <w:rsid w:val="00330F1C"/>
    <w:rsid w:val="00331115"/>
    <w:rsid w:val="003311F5"/>
    <w:rsid w:val="00331583"/>
    <w:rsid w:val="003315BD"/>
    <w:rsid w:val="003316D1"/>
    <w:rsid w:val="003317D4"/>
    <w:rsid w:val="00331C22"/>
    <w:rsid w:val="00331F81"/>
    <w:rsid w:val="0033208D"/>
    <w:rsid w:val="003321BB"/>
    <w:rsid w:val="0033251B"/>
    <w:rsid w:val="00332989"/>
    <w:rsid w:val="00332BA8"/>
    <w:rsid w:val="00332EE9"/>
    <w:rsid w:val="003332BE"/>
    <w:rsid w:val="0033339B"/>
    <w:rsid w:val="0033346F"/>
    <w:rsid w:val="0033381A"/>
    <w:rsid w:val="0033399F"/>
    <w:rsid w:val="00334483"/>
    <w:rsid w:val="003345A8"/>
    <w:rsid w:val="00334B28"/>
    <w:rsid w:val="00334D4E"/>
    <w:rsid w:val="0033539F"/>
    <w:rsid w:val="003358C9"/>
    <w:rsid w:val="00335F0A"/>
    <w:rsid w:val="003367F4"/>
    <w:rsid w:val="00336CC3"/>
    <w:rsid w:val="00336E22"/>
    <w:rsid w:val="00336F10"/>
    <w:rsid w:val="0033720B"/>
    <w:rsid w:val="0033765E"/>
    <w:rsid w:val="00337CE6"/>
    <w:rsid w:val="003403EA"/>
    <w:rsid w:val="0034056A"/>
    <w:rsid w:val="00340622"/>
    <w:rsid w:val="00340C82"/>
    <w:rsid w:val="00340EFF"/>
    <w:rsid w:val="00340F1D"/>
    <w:rsid w:val="003414F5"/>
    <w:rsid w:val="003417AC"/>
    <w:rsid w:val="003418DB"/>
    <w:rsid w:val="0034194B"/>
    <w:rsid w:val="003419F0"/>
    <w:rsid w:val="00341C2C"/>
    <w:rsid w:val="00341C45"/>
    <w:rsid w:val="00341E92"/>
    <w:rsid w:val="003422A0"/>
    <w:rsid w:val="00342499"/>
    <w:rsid w:val="00342B72"/>
    <w:rsid w:val="00342D85"/>
    <w:rsid w:val="0034308B"/>
    <w:rsid w:val="003431E8"/>
    <w:rsid w:val="00343414"/>
    <w:rsid w:val="00343790"/>
    <w:rsid w:val="003437A8"/>
    <w:rsid w:val="00343AC0"/>
    <w:rsid w:val="00343D77"/>
    <w:rsid w:val="00343E55"/>
    <w:rsid w:val="0034437D"/>
    <w:rsid w:val="003444CA"/>
    <w:rsid w:val="003445B6"/>
    <w:rsid w:val="0034495C"/>
    <w:rsid w:val="00344998"/>
    <w:rsid w:val="0034505D"/>
    <w:rsid w:val="003458BC"/>
    <w:rsid w:val="00345EE3"/>
    <w:rsid w:val="00346334"/>
    <w:rsid w:val="003463A8"/>
    <w:rsid w:val="0034661D"/>
    <w:rsid w:val="00346652"/>
    <w:rsid w:val="003466A0"/>
    <w:rsid w:val="00346765"/>
    <w:rsid w:val="00346A85"/>
    <w:rsid w:val="00346CE1"/>
    <w:rsid w:val="00346D75"/>
    <w:rsid w:val="00346E9F"/>
    <w:rsid w:val="00346F75"/>
    <w:rsid w:val="00347701"/>
    <w:rsid w:val="00347ACC"/>
    <w:rsid w:val="00347BE8"/>
    <w:rsid w:val="00347FA6"/>
    <w:rsid w:val="00350389"/>
    <w:rsid w:val="00350515"/>
    <w:rsid w:val="00350773"/>
    <w:rsid w:val="00350892"/>
    <w:rsid w:val="00350B02"/>
    <w:rsid w:val="00350D0F"/>
    <w:rsid w:val="003510FC"/>
    <w:rsid w:val="00351105"/>
    <w:rsid w:val="003513DB"/>
    <w:rsid w:val="00351ACD"/>
    <w:rsid w:val="00351E0A"/>
    <w:rsid w:val="003522AE"/>
    <w:rsid w:val="003528EB"/>
    <w:rsid w:val="00352943"/>
    <w:rsid w:val="00352A96"/>
    <w:rsid w:val="00352D09"/>
    <w:rsid w:val="0035324B"/>
    <w:rsid w:val="003536E2"/>
    <w:rsid w:val="00353CA8"/>
    <w:rsid w:val="00353E3A"/>
    <w:rsid w:val="0035410E"/>
    <w:rsid w:val="003543C8"/>
    <w:rsid w:val="00354709"/>
    <w:rsid w:val="00354C20"/>
    <w:rsid w:val="00354DF1"/>
    <w:rsid w:val="00354F32"/>
    <w:rsid w:val="00355022"/>
    <w:rsid w:val="003551C6"/>
    <w:rsid w:val="003554AE"/>
    <w:rsid w:val="00355FB3"/>
    <w:rsid w:val="00356DED"/>
    <w:rsid w:val="00356F7D"/>
    <w:rsid w:val="00357199"/>
    <w:rsid w:val="0035745A"/>
    <w:rsid w:val="00357E97"/>
    <w:rsid w:val="00360170"/>
    <w:rsid w:val="003601C4"/>
    <w:rsid w:val="003607B6"/>
    <w:rsid w:val="003616C3"/>
    <w:rsid w:val="003619D2"/>
    <w:rsid w:val="00362854"/>
    <w:rsid w:val="00362916"/>
    <w:rsid w:val="00362CBA"/>
    <w:rsid w:val="00362D05"/>
    <w:rsid w:val="00363230"/>
    <w:rsid w:val="00363341"/>
    <w:rsid w:val="00363A06"/>
    <w:rsid w:val="00363AEE"/>
    <w:rsid w:val="00363B55"/>
    <w:rsid w:val="00364076"/>
    <w:rsid w:val="003641FD"/>
    <w:rsid w:val="00364A0A"/>
    <w:rsid w:val="00364B5C"/>
    <w:rsid w:val="00364C54"/>
    <w:rsid w:val="003651EF"/>
    <w:rsid w:val="00365341"/>
    <w:rsid w:val="00365352"/>
    <w:rsid w:val="0036535B"/>
    <w:rsid w:val="003657D3"/>
    <w:rsid w:val="003659A0"/>
    <w:rsid w:val="00365ADF"/>
    <w:rsid w:val="00365D6F"/>
    <w:rsid w:val="0036618F"/>
    <w:rsid w:val="00366694"/>
    <w:rsid w:val="0036684B"/>
    <w:rsid w:val="003669BF"/>
    <w:rsid w:val="00366A60"/>
    <w:rsid w:val="00366C60"/>
    <w:rsid w:val="00366DC2"/>
    <w:rsid w:val="00366F1F"/>
    <w:rsid w:val="003670CC"/>
    <w:rsid w:val="00367663"/>
    <w:rsid w:val="0036799D"/>
    <w:rsid w:val="003679AE"/>
    <w:rsid w:val="00367A26"/>
    <w:rsid w:val="00367BC1"/>
    <w:rsid w:val="0037023F"/>
    <w:rsid w:val="003704C9"/>
    <w:rsid w:val="00370742"/>
    <w:rsid w:val="00370C27"/>
    <w:rsid w:val="00370CDF"/>
    <w:rsid w:val="00370F98"/>
    <w:rsid w:val="003710B3"/>
    <w:rsid w:val="0037120F"/>
    <w:rsid w:val="003718BE"/>
    <w:rsid w:val="00371944"/>
    <w:rsid w:val="00371B55"/>
    <w:rsid w:val="00371BD4"/>
    <w:rsid w:val="00371C62"/>
    <w:rsid w:val="003725C0"/>
    <w:rsid w:val="003725F2"/>
    <w:rsid w:val="00372C2B"/>
    <w:rsid w:val="00372F5A"/>
    <w:rsid w:val="003730B6"/>
    <w:rsid w:val="0037328D"/>
    <w:rsid w:val="003734D7"/>
    <w:rsid w:val="003735C5"/>
    <w:rsid w:val="003735CF"/>
    <w:rsid w:val="003736F8"/>
    <w:rsid w:val="0037374B"/>
    <w:rsid w:val="00373A1D"/>
    <w:rsid w:val="003740F0"/>
    <w:rsid w:val="003741FC"/>
    <w:rsid w:val="00374C53"/>
    <w:rsid w:val="00375349"/>
    <w:rsid w:val="00375538"/>
    <w:rsid w:val="00375745"/>
    <w:rsid w:val="00375970"/>
    <w:rsid w:val="00375C59"/>
    <w:rsid w:val="00375FBF"/>
    <w:rsid w:val="00375FEF"/>
    <w:rsid w:val="00376472"/>
    <w:rsid w:val="00376554"/>
    <w:rsid w:val="003766F1"/>
    <w:rsid w:val="003769BB"/>
    <w:rsid w:val="00376C0F"/>
    <w:rsid w:val="00377098"/>
    <w:rsid w:val="003774C8"/>
    <w:rsid w:val="00380436"/>
    <w:rsid w:val="00380561"/>
    <w:rsid w:val="00380D5F"/>
    <w:rsid w:val="00381104"/>
    <w:rsid w:val="0038113C"/>
    <w:rsid w:val="00381B9D"/>
    <w:rsid w:val="00381E5F"/>
    <w:rsid w:val="00381F2E"/>
    <w:rsid w:val="003820CF"/>
    <w:rsid w:val="003821F0"/>
    <w:rsid w:val="003823B9"/>
    <w:rsid w:val="00382513"/>
    <w:rsid w:val="003827FD"/>
    <w:rsid w:val="00382F1C"/>
    <w:rsid w:val="00383083"/>
    <w:rsid w:val="00383228"/>
    <w:rsid w:val="003832F0"/>
    <w:rsid w:val="00383459"/>
    <w:rsid w:val="00383653"/>
    <w:rsid w:val="00383D62"/>
    <w:rsid w:val="00383F2F"/>
    <w:rsid w:val="00384963"/>
    <w:rsid w:val="00384991"/>
    <w:rsid w:val="00384A06"/>
    <w:rsid w:val="00384B90"/>
    <w:rsid w:val="00384DF2"/>
    <w:rsid w:val="00384E4D"/>
    <w:rsid w:val="003854A2"/>
    <w:rsid w:val="003857DC"/>
    <w:rsid w:val="003858B7"/>
    <w:rsid w:val="00385A6E"/>
    <w:rsid w:val="00385C07"/>
    <w:rsid w:val="0038639E"/>
    <w:rsid w:val="00386619"/>
    <w:rsid w:val="00386629"/>
    <w:rsid w:val="0038666D"/>
    <w:rsid w:val="003868EE"/>
    <w:rsid w:val="00387154"/>
    <w:rsid w:val="003872F2"/>
    <w:rsid w:val="00387770"/>
    <w:rsid w:val="0038777A"/>
    <w:rsid w:val="003877EC"/>
    <w:rsid w:val="00387DB7"/>
    <w:rsid w:val="00387E25"/>
    <w:rsid w:val="00390264"/>
    <w:rsid w:val="003903EE"/>
    <w:rsid w:val="00391057"/>
    <w:rsid w:val="003912AB"/>
    <w:rsid w:val="00391477"/>
    <w:rsid w:val="00391668"/>
    <w:rsid w:val="003916D6"/>
    <w:rsid w:val="00391886"/>
    <w:rsid w:val="00391BB7"/>
    <w:rsid w:val="0039230B"/>
    <w:rsid w:val="003926D2"/>
    <w:rsid w:val="003931FB"/>
    <w:rsid w:val="00393F4C"/>
    <w:rsid w:val="00393F61"/>
    <w:rsid w:val="00394318"/>
    <w:rsid w:val="003945EC"/>
    <w:rsid w:val="003946FC"/>
    <w:rsid w:val="00394779"/>
    <w:rsid w:val="00394E15"/>
    <w:rsid w:val="003950D5"/>
    <w:rsid w:val="0039547D"/>
    <w:rsid w:val="00395656"/>
    <w:rsid w:val="0039575D"/>
    <w:rsid w:val="003959F9"/>
    <w:rsid w:val="00395BD9"/>
    <w:rsid w:val="003965D6"/>
    <w:rsid w:val="003965DB"/>
    <w:rsid w:val="0039677D"/>
    <w:rsid w:val="00396BA4"/>
    <w:rsid w:val="00396DD0"/>
    <w:rsid w:val="003970B2"/>
    <w:rsid w:val="0039718D"/>
    <w:rsid w:val="0039734C"/>
    <w:rsid w:val="003975EA"/>
    <w:rsid w:val="0039767C"/>
    <w:rsid w:val="00397E1C"/>
    <w:rsid w:val="00397F9A"/>
    <w:rsid w:val="003A0655"/>
    <w:rsid w:val="003A073F"/>
    <w:rsid w:val="003A081E"/>
    <w:rsid w:val="003A0B7F"/>
    <w:rsid w:val="003A12DE"/>
    <w:rsid w:val="003A1823"/>
    <w:rsid w:val="003A1A5B"/>
    <w:rsid w:val="003A1B76"/>
    <w:rsid w:val="003A1D42"/>
    <w:rsid w:val="003A1D5D"/>
    <w:rsid w:val="003A1D5E"/>
    <w:rsid w:val="003A23BF"/>
    <w:rsid w:val="003A35B2"/>
    <w:rsid w:val="003A35F7"/>
    <w:rsid w:val="003A380C"/>
    <w:rsid w:val="003A39F3"/>
    <w:rsid w:val="003A3D98"/>
    <w:rsid w:val="003A3FDC"/>
    <w:rsid w:val="003A4047"/>
    <w:rsid w:val="003A40D4"/>
    <w:rsid w:val="003A46D7"/>
    <w:rsid w:val="003A4882"/>
    <w:rsid w:val="003A4E6E"/>
    <w:rsid w:val="003A501F"/>
    <w:rsid w:val="003A57E2"/>
    <w:rsid w:val="003A59D9"/>
    <w:rsid w:val="003A5D33"/>
    <w:rsid w:val="003A6132"/>
    <w:rsid w:val="003A6963"/>
    <w:rsid w:val="003A6A7A"/>
    <w:rsid w:val="003A6A9A"/>
    <w:rsid w:val="003A6AD2"/>
    <w:rsid w:val="003A6B68"/>
    <w:rsid w:val="003A6B85"/>
    <w:rsid w:val="003A6C4B"/>
    <w:rsid w:val="003A6FB4"/>
    <w:rsid w:val="003A7140"/>
    <w:rsid w:val="003A7EF4"/>
    <w:rsid w:val="003A7F30"/>
    <w:rsid w:val="003A7FD0"/>
    <w:rsid w:val="003B0123"/>
    <w:rsid w:val="003B05EF"/>
    <w:rsid w:val="003B0AB1"/>
    <w:rsid w:val="003B0ACA"/>
    <w:rsid w:val="003B0AF1"/>
    <w:rsid w:val="003B0C00"/>
    <w:rsid w:val="003B110C"/>
    <w:rsid w:val="003B1651"/>
    <w:rsid w:val="003B1C0C"/>
    <w:rsid w:val="003B2250"/>
    <w:rsid w:val="003B2AF9"/>
    <w:rsid w:val="003B3B3E"/>
    <w:rsid w:val="003B3C30"/>
    <w:rsid w:val="003B3EA5"/>
    <w:rsid w:val="003B3F1A"/>
    <w:rsid w:val="003B415C"/>
    <w:rsid w:val="003B42CA"/>
    <w:rsid w:val="003B439C"/>
    <w:rsid w:val="003B4A45"/>
    <w:rsid w:val="003B4EE9"/>
    <w:rsid w:val="003B5133"/>
    <w:rsid w:val="003B51E3"/>
    <w:rsid w:val="003B5A79"/>
    <w:rsid w:val="003B5B64"/>
    <w:rsid w:val="003B5C26"/>
    <w:rsid w:val="003B5C91"/>
    <w:rsid w:val="003B5E31"/>
    <w:rsid w:val="003B5E4E"/>
    <w:rsid w:val="003B5E52"/>
    <w:rsid w:val="003B5F0D"/>
    <w:rsid w:val="003B5F3C"/>
    <w:rsid w:val="003B5F9F"/>
    <w:rsid w:val="003B6001"/>
    <w:rsid w:val="003B6900"/>
    <w:rsid w:val="003B6B4A"/>
    <w:rsid w:val="003B6E7D"/>
    <w:rsid w:val="003B70D0"/>
    <w:rsid w:val="003B7263"/>
    <w:rsid w:val="003B72B1"/>
    <w:rsid w:val="003C0256"/>
    <w:rsid w:val="003C0550"/>
    <w:rsid w:val="003C06FD"/>
    <w:rsid w:val="003C07FB"/>
    <w:rsid w:val="003C1547"/>
    <w:rsid w:val="003C1C08"/>
    <w:rsid w:val="003C1C9C"/>
    <w:rsid w:val="003C1D8D"/>
    <w:rsid w:val="003C238A"/>
    <w:rsid w:val="003C23E3"/>
    <w:rsid w:val="003C2758"/>
    <w:rsid w:val="003C2981"/>
    <w:rsid w:val="003C2994"/>
    <w:rsid w:val="003C2A6D"/>
    <w:rsid w:val="003C2EE8"/>
    <w:rsid w:val="003C31C8"/>
    <w:rsid w:val="003C36BE"/>
    <w:rsid w:val="003C37C0"/>
    <w:rsid w:val="003C4299"/>
    <w:rsid w:val="003C43BA"/>
    <w:rsid w:val="003C4463"/>
    <w:rsid w:val="003C491D"/>
    <w:rsid w:val="003C4920"/>
    <w:rsid w:val="003C50D9"/>
    <w:rsid w:val="003C523E"/>
    <w:rsid w:val="003C5787"/>
    <w:rsid w:val="003C5E1F"/>
    <w:rsid w:val="003C610B"/>
    <w:rsid w:val="003C6AA5"/>
    <w:rsid w:val="003C6D4F"/>
    <w:rsid w:val="003C70B6"/>
    <w:rsid w:val="003C7210"/>
    <w:rsid w:val="003C782E"/>
    <w:rsid w:val="003C7C78"/>
    <w:rsid w:val="003D00BC"/>
    <w:rsid w:val="003D00D9"/>
    <w:rsid w:val="003D01C6"/>
    <w:rsid w:val="003D0345"/>
    <w:rsid w:val="003D0426"/>
    <w:rsid w:val="003D057F"/>
    <w:rsid w:val="003D0775"/>
    <w:rsid w:val="003D0A29"/>
    <w:rsid w:val="003D0F59"/>
    <w:rsid w:val="003D111C"/>
    <w:rsid w:val="003D16C4"/>
    <w:rsid w:val="003D16CE"/>
    <w:rsid w:val="003D1756"/>
    <w:rsid w:val="003D1C29"/>
    <w:rsid w:val="003D1CB8"/>
    <w:rsid w:val="003D220C"/>
    <w:rsid w:val="003D2242"/>
    <w:rsid w:val="003D22F9"/>
    <w:rsid w:val="003D294D"/>
    <w:rsid w:val="003D2952"/>
    <w:rsid w:val="003D2A1B"/>
    <w:rsid w:val="003D2B0D"/>
    <w:rsid w:val="003D2B16"/>
    <w:rsid w:val="003D2F18"/>
    <w:rsid w:val="003D341E"/>
    <w:rsid w:val="003D3A10"/>
    <w:rsid w:val="003D427A"/>
    <w:rsid w:val="003D4A53"/>
    <w:rsid w:val="003D4A6E"/>
    <w:rsid w:val="003D4BC4"/>
    <w:rsid w:val="003D5544"/>
    <w:rsid w:val="003D55DE"/>
    <w:rsid w:val="003D5662"/>
    <w:rsid w:val="003D587F"/>
    <w:rsid w:val="003D5E48"/>
    <w:rsid w:val="003D5E77"/>
    <w:rsid w:val="003D5FDA"/>
    <w:rsid w:val="003D62FF"/>
    <w:rsid w:val="003D67AD"/>
    <w:rsid w:val="003D6DA1"/>
    <w:rsid w:val="003D6E88"/>
    <w:rsid w:val="003D6EF7"/>
    <w:rsid w:val="003D72C9"/>
    <w:rsid w:val="003D734C"/>
    <w:rsid w:val="003D7390"/>
    <w:rsid w:val="003D756D"/>
    <w:rsid w:val="003D75FA"/>
    <w:rsid w:val="003D7A75"/>
    <w:rsid w:val="003D7ECF"/>
    <w:rsid w:val="003D7F38"/>
    <w:rsid w:val="003E0250"/>
    <w:rsid w:val="003E0344"/>
    <w:rsid w:val="003E0886"/>
    <w:rsid w:val="003E08BE"/>
    <w:rsid w:val="003E0D08"/>
    <w:rsid w:val="003E0F65"/>
    <w:rsid w:val="003E1173"/>
    <w:rsid w:val="003E1368"/>
    <w:rsid w:val="003E163B"/>
    <w:rsid w:val="003E17B3"/>
    <w:rsid w:val="003E1873"/>
    <w:rsid w:val="003E1918"/>
    <w:rsid w:val="003E1AF7"/>
    <w:rsid w:val="003E1AFF"/>
    <w:rsid w:val="003E1CCC"/>
    <w:rsid w:val="003E1F59"/>
    <w:rsid w:val="003E2366"/>
    <w:rsid w:val="003E275C"/>
    <w:rsid w:val="003E2E9F"/>
    <w:rsid w:val="003E2F7B"/>
    <w:rsid w:val="003E310C"/>
    <w:rsid w:val="003E3122"/>
    <w:rsid w:val="003E32B6"/>
    <w:rsid w:val="003E367C"/>
    <w:rsid w:val="003E39BE"/>
    <w:rsid w:val="003E3D6F"/>
    <w:rsid w:val="003E3E45"/>
    <w:rsid w:val="003E4050"/>
    <w:rsid w:val="003E4185"/>
    <w:rsid w:val="003E4872"/>
    <w:rsid w:val="003E48C4"/>
    <w:rsid w:val="003E5700"/>
    <w:rsid w:val="003E59B4"/>
    <w:rsid w:val="003E5C3D"/>
    <w:rsid w:val="003E5D43"/>
    <w:rsid w:val="003E6378"/>
    <w:rsid w:val="003E6473"/>
    <w:rsid w:val="003E6A5E"/>
    <w:rsid w:val="003E6B11"/>
    <w:rsid w:val="003E6DFA"/>
    <w:rsid w:val="003E73E7"/>
    <w:rsid w:val="003E7489"/>
    <w:rsid w:val="003E789B"/>
    <w:rsid w:val="003E7C3C"/>
    <w:rsid w:val="003E7CEF"/>
    <w:rsid w:val="003F0149"/>
    <w:rsid w:val="003F056E"/>
    <w:rsid w:val="003F05AC"/>
    <w:rsid w:val="003F0984"/>
    <w:rsid w:val="003F11EC"/>
    <w:rsid w:val="003F1A9C"/>
    <w:rsid w:val="003F1BFF"/>
    <w:rsid w:val="003F1DDC"/>
    <w:rsid w:val="003F1E15"/>
    <w:rsid w:val="003F20E4"/>
    <w:rsid w:val="003F20FF"/>
    <w:rsid w:val="003F28E9"/>
    <w:rsid w:val="003F2C09"/>
    <w:rsid w:val="003F2D65"/>
    <w:rsid w:val="003F2D85"/>
    <w:rsid w:val="003F31D1"/>
    <w:rsid w:val="003F398D"/>
    <w:rsid w:val="003F3999"/>
    <w:rsid w:val="003F3CC4"/>
    <w:rsid w:val="003F3F46"/>
    <w:rsid w:val="003F412D"/>
    <w:rsid w:val="003F4215"/>
    <w:rsid w:val="003F422C"/>
    <w:rsid w:val="003F45C8"/>
    <w:rsid w:val="003F4C71"/>
    <w:rsid w:val="003F4CFE"/>
    <w:rsid w:val="003F4DD9"/>
    <w:rsid w:val="003F52A0"/>
    <w:rsid w:val="003F53DA"/>
    <w:rsid w:val="003F553C"/>
    <w:rsid w:val="003F55DF"/>
    <w:rsid w:val="003F5DCD"/>
    <w:rsid w:val="003F64F1"/>
    <w:rsid w:val="003F65BE"/>
    <w:rsid w:val="003F66AE"/>
    <w:rsid w:val="003F6A57"/>
    <w:rsid w:val="003F6ADE"/>
    <w:rsid w:val="003F6BF5"/>
    <w:rsid w:val="003F7090"/>
    <w:rsid w:val="003F72E5"/>
    <w:rsid w:val="003F77BC"/>
    <w:rsid w:val="003F77C4"/>
    <w:rsid w:val="003F7929"/>
    <w:rsid w:val="003F7A9E"/>
    <w:rsid w:val="003F7E9C"/>
    <w:rsid w:val="00400504"/>
    <w:rsid w:val="004007A8"/>
    <w:rsid w:val="00400FE7"/>
    <w:rsid w:val="004010DB"/>
    <w:rsid w:val="0040158F"/>
    <w:rsid w:val="004015AB"/>
    <w:rsid w:val="0040173B"/>
    <w:rsid w:val="00401BCA"/>
    <w:rsid w:val="00401FAE"/>
    <w:rsid w:val="0040219E"/>
    <w:rsid w:val="0040249E"/>
    <w:rsid w:val="0040284C"/>
    <w:rsid w:val="00402A12"/>
    <w:rsid w:val="00402A7D"/>
    <w:rsid w:val="004032A3"/>
    <w:rsid w:val="00403333"/>
    <w:rsid w:val="00403360"/>
    <w:rsid w:val="00403E4D"/>
    <w:rsid w:val="00404006"/>
    <w:rsid w:val="00404BC3"/>
    <w:rsid w:val="004052AD"/>
    <w:rsid w:val="004057D8"/>
    <w:rsid w:val="00406A9C"/>
    <w:rsid w:val="00406EDF"/>
    <w:rsid w:val="0040707B"/>
    <w:rsid w:val="00407152"/>
    <w:rsid w:val="004075F8"/>
    <w:rsid w:val="004077B1"/>
    <w:rsid w:val="004079EA"/>
    <w:rsid w:val="00407A28"/>
    <w:rsid w:val="00407DEE"/>
    <w:rsid w:val="00407FFA"/>
    <w:rsid w:val="0041023B"/>
    <w:rsid w:val="00410265"/>
    <w:rsid w:val="004109A7"/>
    <w:rsid w:val="00410E80"/>
    <w:rsid w:val="00411537"/>
    <w:rsid w:val="00411634"/>
    <w:rsid w:val="00411DEF"/>
    <w:rsid w:val="00412DF5"/>
    <w:rsid w:val="00412E45"/>
    <w:rsid w:val="0041303E"/>
    <w:rsid w:val="0041377E"/>
    <w:rsid w:val="00413F57"/>
    <w:rsid w:val="00413F92"/>
    <w:rsid w:val="0041479F"/>
    <w:rsid w:val="004147D7"/>
    <w:rsid w:val="00414C37"/>
    <w:rsid w:val="00414F68"/>
    <w:rsid w:val="00414F7C"/>
    <w:rsid w:val="004150AA"/>
    <w:rsid w:val="004153C9"/>
    <w:rsid w:val="00415582"/>
    <w:rsid w:val="0041567D"/>
    <w:rsid w:val="00415686"/>
    <w:rsid w:val="00415AAA"/>
    <w:rsid w:val="00415B2F"/>
    <w:rsid w:val="00415EFD"/>
    <w:rsid w:val="0041616F"/>
    <w:rsid w:val="0041628F"/>
    <w:rsid w:val="0041659D"/>
    <w:rsid w:val="0041676C"/>
    <w:rsid w:val="00416ACD"/>
    <w:rsid w:val="00416FAF"/>
    <w:rsid w:val="00417066"/>
    <w:rsid w:val="00417152"/>
    <w:rsid w:val="00417254"/>
    <w:rsid w:val="0041728B"/>
    <w:rsid w:val="00417394"/>
    <w:rsid w:val="004177F1"/>
    <w:rsid w:val="00417826"/>
    <w:rsid w:val="00417A9B"/>
    <w:rsid w:val="00417DDE"/>
    <w:rsid w:val="00420045"/>
    <w:rsid w:val="0042067D"/>
    <w:rsid w:val="00420D0A"/>
    <w:rsid w:val="00420F56"/>
    <w:rsid w:val="00420FB0"/>
    <w:rsid w:val="0042147D"/>
    <w:rsid w:val="004215DB"/>
    <w:rsid w:val="00421829"/>
    <w:rsid w:val="004219FC"/>
    <w:rsid w:val="00422197"/>
    <w:rsid w:val="00422284"/>
    <w:rsid w:val="0042239C"/>
    <w:rsid w:val="004223F3"/>
    <w:rsid w:val="00422930"/>
    <w:rsid w:val="00422A19"/>
    <w:rsid w:val="00422AD5"/>
    <w:rsid w:val="004230BD"/>
    <w:rsid w:val="004231DD"/>
    <w:rsid w:val="0042342D"/>
    <w:rsid w:val="00423744"/>
    <w:rsid w:val="00423750"/>
    <w:rsid w:val="004239F9"/>
    <w:rsid w:val="00423F06"/>
    <w:rsid w:val="004247DF"/>
    <w:rsid w:val="004249EB"/>
    <w:rsid w:val="00424ADD"/>
    <w:rsid w:val="00425330"/>
    <w:rsid w:val="004258F4"/>
    <w:rsid w:val="00425AF5"/>
    <w:rsid w:val="00425BF9"/>
    <w:rsid w:val="00425C40"/>
    <w:rsid w:val="00426039"/>
    <w:rsid w:val="0042604C"/>
    <w:rsid w:val="0042621C"/>
    <w:rsid w:val="00426456"/>
    <w:rsid w:val="004264AB"/>
    <w:rsid w:val="00426520"/>
    <w:rsid w:val="00426679"/>
    <w:rsid w:val="00426A79"/>
    <w:rsid w:val="00426B03"/>
    <w:rsid w:val="00426C56"/>
    <w:rsid w:val="00427392"/>
    <w:rsid w:val="004274F5"/>
    <w:rsid w:val="004275DD"/>
    <w:rsid w:val="004276C0"/>
    <w:rsid w:val="00427866"/>
    <w:rsid w:val="004279F5"/>
    <w:rsid w:val="00430027"/>
    <w:rsid w:val="004304C2"/>
    <w:rsid w:val="00430691"/>
    <w:rsid w:val="004306FD"/>
    <w:rsid w:val="00430B7D"/>
    <w:rsid w:val="00430E1D"/>
    <w:rsid w:val="00430E99"/>
    <w:rsid w:val="0043139A"/>
    <w:rsid w:val="004316A4"/>
    <w:rsid w:val="00432096"/>
    <w:rsid w:val="004321DA"/>
    <w:rsid w:val="004325C3"/>
    <w:rsid w:val="00432694"/>
    <w:rsid w:val="0043275B"/>
    <w:rsid w:val="004327A4"/>
    <w:rsid w:val="00432885"/>
    <w:rsid w:val="00432A64"/>
    <w:rsid w:val="00432E94"/>
    <w:rsid w:val="004331CC"/>
    <w:rsid w:val="004332FC"/>
    <w:rsid w:val="00433619"/>
    <w:rsid w:val="0043376A"/>
    <w:rsid w:val="004338E3"/>
    <w:rsid w:val="00433DC3"/>
    <w:rsid w:val="00433E76"/>
    <w:rsid w:val="00434253"/>
    <w:rsid w:val="00434DBB"/>
    <w:rsid w:val="00435BD6"/>
    <w:rsid w:val="00435CFF"/>
    <w:rsid w:val="004361FD"/>
    <w:rsid w:val="00436361"/>
    <w:rsid w:val="00436522"/>
    <w:rsid w:val="004367E6"/>
    <w:rsid w:val="00436E79"/>
    <w:rsid w:val="00437151"/>
    <w:rsid w:val="004378F0"/>
    <w:rsid w:val="00437D30"/>
    <w:rsid w:val="00437E1F"/>
    <w:rsid w:val="00437F14"/>
    <w:rsid w:val="00437FA2"/>
    <w:rsid w:val="00440049"/>
    <w:rsid w:val="004404EA"/>
    <w:rsid w:val="004405EC"/>
    <w:rsid w:val="0044073A"/>
    <w:rsid w:val="00440F49"/>
    <w:rsid w:val="00440F98"/>
    <w:rsid w:val="0044138A"/>
    <w:rsid w:val="004413AF"/>
    <w:rsid w:val="00441411"/>
    <w:rsid w:val="0044150D"/>
    <w:rsid w:val="004415D8"/>
    <w:rsid w:val="004419A1"/>
    <w:rsid w:val="00441B1E"/>
    <w:rsid w:val="00441C3F"/>
    <w:rsid w:val="0044219D"/>
    <w:rsid w:val="00442403"/>
    <w:rsid w:val="0044255F"/>
    <w:rsid w:val="004425C5"/>
    <w:rsid w:val="004425D4"/>
    <w:rsid w:val="0044261F"/>
    <w:rsid w:val="0044273C"/>
    <w:rsid w:val="00442798"/>
    <w:rsid w:val="00442A89"/>
    <w:rsid w:val="00442BBC"/>
    <w:rsid w:val="00443523"/>
    <w:rsid w:val="00443579"/>
    <w:rsid w:val="004437BC"/>
    <w:rsid w:val="00443889"/>
    <w:rsid w:val="0044445B"/>
    <w:rsid w:val="00444576"/>
    <w:rsid w:val="0044474E"/>
    <w:rsid w:val="00444A85"/>
    <w:rsid w:val="0044580D"/>
    <w:rsid w:val="00445AD0"/>
    <w:rsid w:val="00446359"/>
    <w:rsid w:val="004464AC"/>
    <w:rsid w:val="00446500"/>
    <w:rsid w:val="00446599"/>
    <w:rsid w:val="0044662E"/>
    <w:rsid w:val="0044668E"/>
    <w:rsid w:val="00446A3C"/>
    <w:rsid w:val="00446DA7"/>
    <w:rsid w:val="00446EAA"/>
    <w:rsid w:val="00446FBB"/>
    <w:rsid w:val="004471FD"/>
    <w:rsid w:val="004479EB"/>
    <w:rsid w:val="00447BB8"/>
    <w:rsid w:val="00447CD8"/>
    <w:rsid w:val="00447D4D"/>
    <w:rsid w:val="00447E07"/>
    <w:rsid w:val="00447EB5"/>
    <w:rsid w:val="00447EF8"/>
    <w:rsid w:val="00447F73"/>
    <w:rsid w:val="00450505"/>
    <w:rsid w:val="0045053C"/>
    <w:rsid w:val="00450986"/>
    <w:rsid w:val="00451933"/>
    <w:rsid w:val="00451AD0"/>
    <w:rsid w:val="00451C71"/>
    <w:rsid w:val="00452A47"/>
    <w:rsid w:val="00452B22"/>
    <w:rsid w:val="00452B4A"/>
    <w:rsid w:val="00452ED8"/>
    <w:rsid w:val="00453400"/>
    <w:rsid w:val="00453745"/>
    <w:rsid w:val="0045397B"/>
    <w:rsid w:val="00454B0D"/>
    <w:rsid w:val="00454E4B"/>
    <w:rsid w:val="004551C9"/>
    <w:rsid w:val="00455466"/>
    <w:rsid w:val="00455903"/>
    <w:rsid w:val="00455C54"/>
    <w:rsid w:val="00455C71"/>
    <w:rsid w:val="00456154"/>
    <w:rsid w:val="00456499"/>
    <w:rsid w:val="00456B43"/>
    <w:rsid w:val="00456B95"/>
    <w:rsid w:val="00457359"/>
    <w:rsid w:val="004576B7"/>
    <w:rsid w:val="004578EB"/>
    <w:rsid w:val="00457E03"/>
    <w:rsid w:val="00457E69"/>
    <w:rsid w:val="004602A6"/>
    <w:rsid w:val="004603DA"/>
    <w:rsid w:val="0046042D"/>
    <w:rsid w:val="00460506"/>
    <w:rsid w:val="0046055A"/>
    <w:rsid w:val="0046060C"/>
    <w:rsid w:val="004607CB"/>
    <w:rsid w:val="004609D3"/>
    <w:rsid w:val="00460BDC"/>
    <w:rsid w:val="00460E29"/>
    <w:rsid w:val="00460FAB"/>
    <w:rsid w:val="00461425"/>
    <w:rsid w:val="0046168C"/>
    <w:rsid w:val="004617CF"/>
    <w:rsid w:val="004618DE"/>
    <w:rsid w:val="00461B07"/>
    <w:rsid w:val="00461CF6"/>
    <w:rsid w:val="00462389"/>
    <w:rsid w:val="00462504"/>
    <w:rsid w:val="0046267E"/>
    <w:rsid w:val="0046278C"/>
    <w:rsid w:val="00462CDD"/>
    <w:rsid w:val="00462D5D"/>
    <w:rsid w:val="00462E39"/>
    <w:rsid w:val="00462FD7"/>
    <w:rsid w:val="004633A0"/>
    <w:rsid w:val="00463693"/>
    <w:rsid w:val="00463BE2"/>
    <w:rsid w:val="004642A5"/>
    <w:rsid w:val="004642E3"/>
    <w:rsid w:val="0046493F"/>
    <w:rsid w:val="004649CA"/>
    <w:rsid w:val="00464A2B"/>
    <w:rsid w:val="00464E08"/>
    <w:rsid w:val="0046553E"/>
    <w:rsid w:val="0046574E"/>
    <w:rsid w:val="00465B1E"/>
    <w:rsid w:val="0046770E"/>
    <w:rsid w:val="00470354"/>
    <w:rsid w:val="0047097A"/>
    <w:rsid w:val="00471004"/>
    <w:rsid w:val="00471202"/>
    <w:rsid w:val="00471494"/>
    <w:rsid w:val="004714CE"/>
    <w:rsid w:val="00471738"/>
    <w:rsid w:val="004717FE"/>
    <w:rsid w:val="00471932"/>
    <w:rsid w:val="00471A09"/>
    <w:rsid w:val="00471A7C"/>
    <w:rsid w:val="00471CDB"/>
    <w:rsid w:val="004727E5"/>
    <w:rsid w:val="004730A7"/>
    <w:rsid w:val="0047319B"/>
    <w:rsid w:val="00473291"/>
    <w:rsid w:val="004734F0"/>
    <w:rsid w:val="00473567"/>
    <w:rsid w:val="00473A50"/>
    <w:rsid w:val="00473BFB"/>
    <w:rsid w:val="00473DE3"/>
    <w:rsid w:val="004746E3"/>
    <w:rsid w:val="004747C4"/>
    <w:rsid w:val="0047509F"/>
    <w:rsid w:val="004754A1"/>
    <w:rsid w:val="00475FDB"/>
    <w:rsid w:val="00476383"/>
    <w:rsid w:val="00476426"/>
    <w:rsid w:val="00476709"/>
    <w:rsid w:val="00476BFA"/>
    <w:rsid w:val="004770C5"/>
    <w:rsid w:val="00477430"/>
    <w:rsid w:val="004776A4"/>
    <w:rsid w:val="00477BB3"/>
    <w:rsid w:val="0048044D"/>
    <w:rsid w:val="00480770"/>
    <w:rsid w:val="00480D71"/>
    <w:rsid w:val="0048122E"/>
    <w:rsid w:val="00481517"/>
    <w:rsid w:val="00481572"/>
    <w:rsid w:val="004815FB"/>
    <w:rsid w:val="004819B2"/>
    <w:rsid w:val="00481AD1"/>
    <w:rsid w:val="00481CE3"/>
    <w:rsid w:val="00481D8B"/>
    <w:rsid w:val="00482037"/>
    <w:rsid w:val="00482223"/>
    <w:rsid w:val="00482599"/>
    <w:rsid w:val="004827BE"/>
    <w:rsid w:val="00482803"/>
    <w:rsid w:val="004829C2"/>
    <w:rsid w:val="004829D2"/>
    <w:rsid w:val="00482CC6"/>
    <w:rsid w:val="00482DD7"/>
    <w:rsid w:val="00482DDD"/>
    <w:rsid w:val="00482F34"/>
    <w:rsid w:val="0048321F"/>
    <w:rsid w:val="00483303"/>
    <w:rsid w:val="0048345A"/>
    <w:rsid w:val="00483988"/>
    <w:rsid w:val="00483E76"/>
    <w:rsid w:val="004841BA"/>
    <w:rsid w:val="0048463A"/>
    <w:rsid w:val="00484640"/>
    <w:rsid w:val="004846CA"/>
    <w:rsid w:val="00484EF3"/>
    <w:rsid w:val="00485068"/>
    <w:rsid w:val="00485B38"/>
    <w:rsid w:val="00485F4E"/>
    <w:rsid w:val="00486046"/>
    <w:rsid w:val="00486166"/>
    <w:rsid w:val="004862C0"/>
    <w:rsid w:val="00486A19"/>
    <w:rsid w:val="00486D8A"/>
    <w:rsid w:val="00487100"/>
    <w:rsid w:val="004876CA"/>
    <w:rsid w:val="00487759"/>
    <w:rsid w:val="0048782C"/>
    <w:rsid w:val="0048789E"/>
    <w:rsid w:val="00487A61"/>
    <w:rsid w:val="00487EF4"/>
    <w:rsid w:val="0049018E"/>
    <w:rsid w:val="004905E7"/>
    <w:rsid w:val="00490958"/>
    <w:rsid w:val="00490FCE"/>
    <w:rsid w:val="004917C6"/>
    <w:rsid w:val="004917EF"/>
    <w:rsid w:val="00491B46"/>
    <w:rsid w:val="00492056"/>
    <w:rsid w:val="00492346"/>
    <w:rsid w:val="0049239D"/>
    <w:rsid w:val="00492442"/>
    <w:rsid w:val="00492713"/>
    <w:rsid w:val="00492893"/>
    <w:rsid w:val="00492AA5"/>
    <w:rsid w:val="00492B37"/>
    <w:rsid w:val="00493047"/>
    <w:rsid w:val="004935D8"/>
    <w:rsid w:val="0049379A"/>
    <w:rsid w:val="00493B27"/>
    <w:rsid w:val="00493C47"/>
    <w:rsid w:val="00493DBF"/>
    <w:rsid w:val="00493E4C"/>
    <w:rsid w:val="00494506"/>
    <w:rsid w:val="0049470D"/>
    <w:rsid w:val="0049480E"/>
    <w:rsid w:val="00494877"/>
    <w:rsid w:val="004948A9"/>
    <w:rsid w:val="004948AE"/>
    <w:rsid w:val="00494A54"/>
    <w:rsid w:val="00494F72"/>
    <w:rsid w:val="00494FAC"/>
    <w:rsid w:val="00494FEC"/>
    <w:rsid w:val="0049596D"/>
    <w:rsid w:val="00495C3C"/>
    <w:rsid w:val="00495E3F"/>
    <w:rsid w:val="004963D0"/>
    <w:rsid w:val="00496943"/>
    <w:rsid w:val="00496ECD"/>
    <w:rsid w:val="00496F6D"/>
    <w:rsid w:val="004973C2"/>
    <w:rsid w:val="0049740F"/>
    <w:rsid w:val="0049779A"/>
    <w:rsid w:val="004977B7"/>
    <w:rsid w:val="00497FD0"/>
    <w:rsid w:val="004A08F3"/>
    <w:rsid w:val="004A0C82"/>
    <w:rsid w:val="004A0D6E"/>
    <w:rsid w:val="004A0FA3"/>
    <w:rsid w:val="004A1063"/>
    <w:rsid w:val="004A1E22"/>
    <w:rsid w:val="004A1F34"/>
    <w:rsid w:val="004A2693"/>
    <w:rsid w:val="004A2768"/>
    <w:rsid w:val="004A2B36"/>
    <w:rsid w:val="004A2C35"/>
    <w:rsid w:val="004A2E5C"/>
    <w:rsid w:val="004A307B"/>
    <w:rsid w:val="004A3171"/>
    <w:rsid w:val="004A324B"/>
    <w:rsid w:val="004A36D8"/>
    <w:rsid w:val="004A3941"/>
    <w:rsid w:val="004A3A19"/>
    <w:rsid w:val="004A3A9A"/>
    <w:rsid w:val="004A3CFB"/>
    <w:rsid w:val="004A4008"/>
    <w:rsid w:val="004A44DA"/>
    <w:rsid w:val="004A4C08"/>
    <w:rsid w:val="004A500E"/>
    <w:rsid w:val="004A52E5"/>
    <w:rsid w:val="004A5F06"/>
    <w:rsid w:val="004A6432"/>
    <w:rsid w:val="004A6A71"/>
    <w:rsid w:val="004A6D57"/>
    <w:rsid w:val="004A6DC1"/>
    <w:rsid w:val="004A7172"/>
    <w:rsid w:val="004A73BD"/>
    <w:rsid w:val="004A7484"/>
    <w:rsid w:val="004A76E8"/>
    <w:rsid w:val="004B00C5"/>
    <w:rsid w:val="004B07CE"/>
    <w:rsid w:val="004B0C0A"/>
    <w:rsid w:val="004B0CAF"/>
    <w:rsid w:val="004B0D2D"/>
    <w:rsid w:val="004B0E10"/>
    <w:rsid w:val="004B0EC3"/>
    <w:rsid w:val="004B1264"/>
    <w:rsid w:val="004B1504"/>
    <w:rsid w:val="004B15B9"/>
    <w:rsid w:val="004B1631"/>
    <w:rsid w:val="004B1A73"/>
    <w:rsid w:val="004B1C41"/>
    <w:rsid w:val="004B1F7E"/>
    <w:rsid w:val="004B2020"/>
    <w:rsid w:val="004B2098"/>
    <w:rsid w:val="004B20F6"/>
    <w:rsid w:val="004B253C"/>
    <w:rsid w:val="004B27F5"/>
    <w:rsid w:val="004B3263"/>
    <w:rsid w:val="004B3294"/>
    <w:rsid w:val="004B335F"/>
    <w:rsid w:val="004B3397"/>
    <w:rsid w:val="004B3FF3"/>
    <w:rsid w:val="004B44AE"/>
    <w:rsid w:val="004B4784"/>
    <w:rsid w:val="004B48A4"/>
    <w:rsid w:val="004B4A74"/>
    <w:rsid w:val="004B4B4D"/>
    <w:rsid w:val="004B4D72"/>
    <w:rsid w:val="004B561B"/>
    <w:rsid w:val="004B5DCA"/>
    <w:rsid w:val="004B60C1"/>
    <w:rsid w:val="004B62D2"/>
    <w:rsid w:val="004B642A"/>
    <w:rsid w:val="004B690F"/>
    <w:rsid w:val="004B6A49"/>
    <w:rsid w:val="004B6BC0"/>
    <w:rsid w:val="004B7669"/>
    <w:rsid w:val="004B788B"/>
    <w:rsid w:val="004B7A00"/>
    <w:rsid w:val="004B7AEA"/>
    <w:rsid w:val="004B7B31"/>
    <w:rsid w:val="004B7BCD"/>
    <w:rsid w:val="004B7BDA"/>
    <w:rsid w:val="004B7D17"/>
    <w:rsid w:val="004C09CA"/>
    <w:rsid w:val="004C0C8C"/>
    <w:rsid w:val="004C0F29"/>
    <w:rsid w:val="004C1302"/>
    <w:rsid w:val="004C185F"/>
    <w:rsid w:val="004C1DEC"/>
    <w:rsid w:val="004C1EEB"/>
    <w:rsid w:val="004C1F83"/>
    <w:rsid w:val="004C1F8D"/>
    <w:rsid w:val="004C237E"/>
    <w:rsid w:val="004C26F1"/>
    <w:rsid w:val="004C2D19"/>
    <w:rsid w:val="004C2E63"/>
    <w:rsid w:val="004C2EAB"/>
    <w:rsid w:val="004C397C"/>
    <w:rsid w:val="004C3A1D"/>
    <w:rsid w:val="004C3FB2"/>
    <w:rsid w:val="004C4543"/>
    <w:rsid w:val="004C4751"/>
    <w:rsid w:val="004C48C5"/>
    <w:rsid w:val="004C4961"/>
    <w:rsid w:val="004C4A8B"/>
    <w:rsid w:val="004C4B43"/>
    <w:rsid w:val="004C54C8"/>
    <w:rsid w:val="004C5581"/>
    <w:rsid w:val="004C569B"/>
    <w:rsid w:val="004C5725"/>
    <w:rsid w:val="004C5C63"/>
    <w:rsid w:val="004C5E33"/>
    <w:rsid w:val="004C6325"/>
    <w:rsid w:val="004C63FE"/>
    <w:rsid w:val="004C66CF"/>
    <w:rsid w:val="004C6729"/>
    <w:rsid w:val="004C6A6E"/>
    <w:rsid w:val="004C7103"/>
    <w:rsid w:val="004C738A"/>
    <w:rsid w:val="004C7423"/>
    <w:rsid w:val="004C74FD"/>
    <w:rsid w:val="004C756A"/>
    <w:rsid w:val="004C7716"/>
    <w:rsid w:val="004C773A"/>
    <w:rsid w:val="004C7945"/>
    <w:rsid w:val="004C797D"/>
    <w:rsid w:val="004D0090"/>
    <w:rsid w:val="004D04B4"/>
    <w:rsid w:val="004D05AB"/>
    <w:rsid w:val="004D082F"/>
    <w:rsid w:val="004D0B62"/>
    <w:rsid w:val="004D10F8"/>
    <w:rsid w:val="004D1462"/>
    <w:rsid w:val="004D1520"/>
    <w:rsid w:val="004D19F8"/>
    <w:rsid w:val="004D1BBE"/>
    <w:rsid w:val="004D1DC6"/>
    <w:rsid w:val="004D1E04"/>
    <w:rsid w:val="004D2356"/>
    <w:rsid w:val="004D2395"/>
    <w:rsid w:val="004D2555"/>
    <w:rsid w:val="004D269D"/>
    <w:rsid w:val="004D2810"/>
    <w:rsid w:val="004D28C4"/>
    <w:rsid w:val="004D29C7"/>
    <w:rsid w:val="004D2D3A"/>
    <w:rsid w:val="004D2DCD"/>
    <w:rsid w:val="004D2DE8"/>
    <w:rsid w:val="004D3209"/>
    <w:rsid w:val="004D32D1"/>
    <w:rsid w:val="004D33D4"/>
    <w:rsid w:val="004D3641"/>
    <w:rsid w:val="004D3C5A"/>
    <w:rsid w:val="004D4472"/>
    <w:rsid w:val="004D447F"/>
    <w:rsid w:val="004D44C3"/>
    <w:rsid w:val="004D4501"/>
    <w:rsid w:val="004D45EB"/>
    <w:rsid w:val="004D46CB"/>
    <w:rsid w:val="004D48E6"/>
    <w:rsid w:val="004D495E"/>
    <w:rsid w:val="004D496A"/>
    <w:rsid w:val="004D4A87"/>
    <w:rsid w:val="004D4BAB"/>
    <w:rsid w:val="004D4C42"/>
    <w:rsid w:val="004D4D7B"/>
    <w:rsid w:val="004D4D7E"/>
    <w:rsid w:val="004D4F1D"/>
    <w:rsid w:val="004D5326"/>
    <w:rsid w:val="004D5334"/>
    <w:rsid w:val="004D5451"/>
    <w:rsid w:val="004D644E"/>
    <w:rsid w:val="004D65D8"/>
    <w:rsid w:val="004D668F"/>
    <w:rsid w:val="004D67C1"/>
    <w:rsid w:val="004D6881"/>
    <w:rsid w:val="004D69BE"/>
    <w:rsid w:val="004D6E29"/>
    <w:rsid w:val="004D6EEC"/>
    <w:rsid w:val="004D79B6"/>
    <w:rsid w:val="004D79FE"/>
    <w:rsid w:val="004D7AEE"/>
    <w:rsid w:val="004D7D6E"/>
    <w:rsid w:val="004D7D78"/>
    <w:rsid w:val="004D7FFC"/>
    <w:rsid w:val="004E028D"/>
    <w:rsid w:val="004E0467"/>
    <w:rsid w:val="004E0CB0"/>
    <w:rsid w:val="004E0E96"/>
    <w:rsid w:val="004E1812"/>
    <w:rsid w:val="004E1A76"/>
    <w:rsid w:val="004E2050"/>
    <w:rsid w:val="004E250C"/>
    <w:rsid w:val="004E28E4"/>
    <w:rsid w:val="004E29C8"/>
    <w:rsid w:val="004E3031"/>
    <w:rsid w:val="004E3193"/>
    <w:rsid w:val="004E33F9"/>
    <w:rsid w:val="004E3566"/>
    <w:rsid w:val="004E36C7"/>
    <w:rsid w:val="004E40ED"/>
    <w:rsid w:val="004E41EB"/>
    <w:rsid w:val="004E4337"/>
    <w:rsid w:val="004E43DE"/>
    <w:rsid w:val="004E4887"/>
    <w:rsid w:val="004E4A0F"/>
    <w:rsid w:val="004E4AF8"/>
    <w:rsid w:val="004E4E3C"/>
    <w:rsid w:val="004E4FF7"/>
    <w:rsid w:val="004E56E4"/>
    <w:rsid w:val="004E570A"/>
    <w:rsid w:val="004E5B89"/>
    <w:rsid w:val="004E5E81"/>
    <w:rsid w:val="004E60CF"/>
    <w:rsid w:val="004E6205"/>
    <w:rsid w:val="004E6639"/>
    <w:rsid w:val="004E6C70"/>
    <w:rsid w:val="004E6F59"/>
    <w:rsid w:val="004E6F64"/>
    <w:rsid w:val="004E786E"/>
    <w:rsid w:val="004E7C0C"/>
    <w:rsid w:val="004F022D"/>
    <w:rsid w:val="004F04B2"/>
    <w:rsid w:val="004F0A40"/>
    <w:rsid w:val="004F11F7"/>
    <w:rsid w:val="004F12D6"/>
    <w:rsid w:val="004F150F"/>
    <w:rsid w:val="004F1689"/>
    <w:rsid w:val="004F1733"/>
    <w:rsid w:val="004F1854"/>
    <w:rsid w:val="004F1DEB"/>
    <w:rsid w:val="004F2186"/>
    <w:rsid w:val="004F253D"/>
    <w:rsid w:val="004F2729"/>
    <w:rsid w:val="004F28EF"/>
    <w:rsid w:val="004F2942"/>
    <w:rsid w:val="004F2B97"/>
    <w:rsid w:val="004F2DAC"/>
    <w:rsid w:val="004F2F8F"/>
    <w:rsid w:val="004F2FB8"/>
    <w:rsid w:val="004F30AE"/>
    <w:rsid w:val="004F3298"/>
    <w:rsid w:val="004F3BF8"/>
    <w:rsid w:val="004F3BFE"/>
    <w:rsid w:val="004F4434"/>
    <w:rsid w:val="004F47AE"/>
    <w:rsid w:val="004F5268"/>
    <w:rsid w:val="004F5678"/>
    <w:rsid w:val="004F57AA"/>
    <w:rsid w:val="004F5808"/>
    <w:rsid w:val="004F5C75"/>
    <w:rsid w:val="004F5D44"/>
    <w:rsid w:val="004F5D47"/>
    <w:rsid w:val="004F602B"/>
    <w:rsid w:val="004F60EF"/>
    <w:rsid w:val="004F640E"/>
    <w:rsid w:val="004F68C1"/>
    <w:rsid w:val="004F6D52"/>
    <w:rsid w:val="004F6E0E"/>
    <w:rsid w:val="004F7133"/>
    <w:rsid w:val="004F79B9"/>
    <w:rsid w:val="004F79F3"/>
    <w:rsid w:val="004F7A0C"/>
    <w:rsid w:val="004F7ACE"/>
    <w:rsid w:val="00500004"/>
    <w:rsid w:val="0050023D"/>
    <w:rsid w:val="005008A9"/>
    <w:rsid w:val="00500DAE"/>
    <w:rsid w:val="005014EB"/>
    <w:rsid w:val="005019FF"/>
    <w:rsid w:val="00502045"/>
    <w:rsid w:val="005025CD"/>
    <w:rsid w:val="0050260D"/>
    <w:rsid w:val="00502B1B"/>
    <w:rsid w:val="00502E76"/>
    <w:rsid w:val="00503090"/>
    <w:rsid w:val="00503178"/>
    <w:rsid w:val="00503340"/>
    <w:rsid w:val="005038CC"/>
    <w:rsid w:val="00503B81"/>
    <w:rsid w:val="00503ED8"/>
    <w:rsid w:val="0050439A"/>
    <w:rsid w:val="005045B2"/>
    <w:rsid w:val="005047A1"/>
    <w:rsid w:val="00504B01"/>
    <w:rsid w:val="00504BB0"/>
    <w:rsid w:val="00504C79"/>
    <w:rsid w:val="005052FF"/>
    <w:rsid w:val="00505738"/>
    <w:rsid w:val="005059C1"/>
    <w:rsid w:val="005059D3"/>
    <w:rsid w:val="00505BF0"/>
    <w:rsid w:val="00505EA7"/>
    <w:rsid w:val="00506187"/>
    <w:rsid w:val="00506207"/>
    <w:rsid w:val="005067CB"/>
    <w:rsid w:val="00506AE2"/>
    <w:rsid w:val="00506B03"/>
    <w:rsid w:val="00506B3F"/>
    <w:rsid w:val="00506C5B"/>
    <w:rsid w:val="005070C7"/>
    <w:rsid w:val="00507521"/>
    <w:rsid w:val="00507691"/>
    <w:rsid w:val="00507975"/>
    <w:rsid w:val="00507B44"/>
    <w:rsid w:val="005107A9"/>
    <w:rsid w:val="00510B53"/>
    <w:rsid w:val="00510FD9"/>
    <w:rsid w:val="0051122A"/>
    <w:rsid w:val="0051140F"/>
    <w:rsid w:val="00511852"/>
    <w:rsid w:val="005118BA"/>
    <w:rsid w:val="005118C7"/>
    <w:rsid w:val="00511931"/>
    <w:rsid w:val="005119DC"/>
    <w:rsid w:val="00512497"/>
    <w:rsid w:val="00512632"/>
    <w:rsid w:val="00512DB5"/>
    <w:rsid w:val="005131A2"/>
    <w:rsid w:val="00513353"/>
    <w:rsid w:val="005136D0"/>
    <w:rsid w:val="00513AE3"/>
    <w:rsid w:val="00513BC3"/>
    <w:rsid w:val="0051447A"/>
    <w:rsid w:val="00514CDF"/>
    <w:rsid w:val="0051502A"/>
    <w:rsid w:val="0051575B"/>
    <w:rsid w:val="005159D1"/>
    <w:rsid w:val="00515D7A"/>
    <w:rsid w:val="00515DF9"/>
    <w:rsid w:val="0051606C"/>
    <w:rsid w:val="005161EB"/>
    <w:rsid w:val="005162E5"/>
    <w:rsid w:val="00516519"/>
    <w:rsid w:val="005167C1"/>
    <w:rsid w:val="00516E5C"/>
    <w:rsid w:val="00517233"/>
    <w:rsid w:val="00517429"/>
    <w:rsid w:val="00517888"/>
    <w:rsid w:val="00517CA4"/>
    <w:rsid w:val="00517D67"/>
    <w:rsid w:val="00517D82"/>
    <w:rsid w:val="00517F51"/>
    <w:rsid w:val="0052003D"/>
    <w:rsid w:val="0052040B"/>
    <w:rsid w:val="00520430"/>
    <w:rsid w:val="00520510"/>
    <w:rsid w:val="00520A51"/>
    <w:rsid w:val="00520C22"/>
    <w:rsid w:val="0052102A"/>
    <w:rsid w:val="005219AB"/>
    <w:rsid w:val="00521C71"/>
    <w:rsid w:val="005222E0"/>
    <w:rsid w:val="00522357"/>
    <w:rsid w:val="0052265B"/>
    <w:rsid w:val="005228F1"/>
    <w:rsid w:val="00523098"/>
    <w:rsid w:val="00523138"/>
    <w:rsid w:val="0052318C"/>
    <w:rsid w:val="00523699"/>
    <w:rsid w:val="00523AC2"/>
    <w:rsid w:val="00523DA8"/>
    <w:rsid w:val="00523F1E"/>
    <w:rsid w:val="00524226"/>
    <w:rsid w:val="00524A2F"/>
    <w:rsid w:val="00524B95"/>
    <w:rsid w:val="00524CE3"/>
    <w:rsid w:val="00524FE6"/>
    <w:rsid w:val="00525377"/>
    <w:rsid w:val="00525672"/>
    <w:rsid w:val="00525E62"/>
    <w:rsid w:val="00525EB5"/>
    <w:rsid w:val="0052615E"/>
    <w:rsid w:val="005266F2"/>
    <w:rsid w:val="00526FE0"/>
    <w:rsid w:val="005270A8"/>
    <w:rsid w:val="005275CB"/>
    <w:rsid w:val="00527AB8"/>
    <w:rsid w:val="00527DBF"/>
    <w:rsid w:val="00527E70"/>
    <w:rsid w:val="0053068D"/>
    <w:rsid w:val="00530C86"/>
    <w:rsid w:val="00530E04"/>
    <w:rsid w:val="00530FC6"/>
    <w:rsid w:val="00531077"/>
    <w:rsid w:val="0053124B"/>
    <w:rsid w:val="00531704"/>
    <w:rsid w:val="00531CFD"/>
    <w:rsid w:val="0053219F"/>
    <w:rsid w:val="005321E7"/>
    <w:rsid w:val="00532304"/>
    <w:rsid w:val="005328CB"/>
    <w:rsid w:val="00532C09"/>
    <w:rsid w:val="00532E9A"/>
    <w:rsid w:val="00532EF7"/>
    <w:rsid w:val="00532F04"/>
    <w:rsid w:val="00532F28"/>
    <w:rsid w:val="00532FA8"/>
    <w:rsid w:val="00532FFE"/>
    <w:rsid w:val="0053306E"/>
    <w:rsid w:val="005334A3"/>
    <w:rsid w:val="0053369A"/>
    <w:rsid w:val="00533CBE"/>
    <w:rsid w:val="00533FF2"/>
    <w:rsid w:val="005341D7"/>
    <w:rsid w:val="005342E8"/>
    <w:rsid w:val="00534765"/>
    <w:rsid w:val="00534BC7"/>
    <w:rsid w:val="00534EE2"/>
    <w:rsid w:val="005353DA"/>
    <w:rsid w:val="005353DF"/>
    <w:rsid w:val="0053561C"/>
    <w:rsid w:val="00535BD7"/>
    <w:rsid w:val="00535C34"/>
    <w:rsid w:val="00535DB7"/>
    <w:rsid w:val="00535ECD"/>
    <w:rsid w:val="00535ED9"/>
    <w:rsid w:val="005362BB"/>
    <w:rsid w:val="00536334"/>
    <w:rsid w:val="005363F9"/>
    <w:rsid w:val="0053648F"/>
    <w:rsid w:val="005366DB"/>
    <w:rsid w:val="0053672A"/>
    <w:rsid w:val="00536B66"/>
    <w:rsid w:val="00536B6B"/>
    <w:rsid w:val="00536CAB"/>
    <w:rsid w:val="00536F7E"/>
    <w:rsid w:val="0053703B"/>
    <w:rsid w:val="005370E2"/>
    <w:rsid w:val="005370FA"/>
    <w:rsid w:val="0053745E"/>
    <w:rsid w:val="00537C95"/>
    <w:rsid w:val="00537CD8"/>
    <w:rsid w:val="00537EEB"/>
    <w:rsid w:val="00537F87"/>
    <w:rsid w:val="005401DD"/>
    <w:rsid w:val="005404E1"/>
    <w:rsid w:val="00540579"/>
    <w:rsid w:val="005406F6"/>
    <w:rsid w:val="00540AEB"/>
    <w:rsid w:val="00541430"/>
    <w:rsid w:val="005414AD"/>
    <w:rsid w:val="00541726"/>
    <w:rsid w:val="0054222A"/>
    <w:rsid w:val="00542360"/>
    <w:rsid w:val="0054249D"/>
    <w:rsid w:val="00542782"/>
    <w:rsid w:val="00542C72"/>
    <w:rsid w:val="00542D22"/>
    <w:rsid w:val="00542F80"/>
    <w:rsid w:val="005435F8"/>
    <w:rsid w:val="005438EE"/>
    <w:rsid w:val="005438F8"/>
    <w:rsid w:val="005440F3"/>
    <w:rsid w:val="0054439F"/>
    <w:rsid w:val="0054467F"/>
    <w:rsid w:val="005447E7"/>
    <w:rsid w:val="00544805"/>
    <w:rsid w:val="00544C29"/>
    <w:rsid w:val="00544CB7"/>
    <w:rsid w:val="00545294"/>
    <w:rsid w:val="0054531A"/>
    <w:rsid w:val="00545391"/>
    <w:rsid w:val="005455C5"/>
    <w:rsid w:val="005458E8"/>
    <w:rsid w:val="005462CB"/>
    <w:rsid w:val="00546403"/>
    <w:rsid w:val="00546868"/>
    <w:rsid w:val="00546B31"/>
    <w:rsid w:val="00546FB3"/>
    <w:rsid w:val="005474D2"/>
    <w:rsid w:val="005474E5"/>
    <w:rsid w:val="00547675"/>
    <w:rsid w:val="005477D0"/>
    <w:rsid w:val="00547877"/>
    <w:rsid w:val="00547AC7"/>
    <w:rsid w:val="0055060C"/>
    <w:rsid w:val="00550740"/>
    <w:rsid w:val="0055083B"/>
    <w:rsid w:val="00550C32"/>
    <w:rsid w:val="00550C98"/>
    <w:rsid w:val="005515DC"/>
    <w:rsid w:val="00551E50"/>
    <w:rsid w:val="00552109"/>
    <w:rsid w:val="0055226E"/>
    <w:rsid w:val="00552380"/>
    <w:rsid w:val="0055243F"/>
    <w:rsid w:val="00552647"/>
    <w:rsid w:val="00552927"/>
    <w:rsid w:val="00552948"/>
    <w:rsid w:val="00552986"/>
    <w:rsid w:val="005531FC"/>
    <w:rsid w:val="005532FF"/>
    <w:rsid w:val="005534EE"/>
    <w:rsid w:val="005536C3"/>
    <w:rsid w:val="00553704"/>
    <w:rsid w:val="0055396B"/>
    <w:rsid w:val="00553AEC"/>
    <w:rsid w:val="00553CE4"/>
    <w:rsid w:val="00553D31"/>
    <w:rsid w:val="00554A91"/>
    <w:rsid w:val="00554BE8"/>
    <w:rsid w:val="00554C43"/>
    <w:rsid w:val="0055538D"/>
    <w:rsid w:val="005554B5"/>
    <w:rsid w:val="00555669"/>
    <w:rsid w:val="005557A2"/>
    <w:rsid w:val="005558C4"/>
    <w:rsid w:val="005559B0"/>
    <w:rsid w:val="00555AD5"/>
    <w:rsid w:val="00555EB0"/>
    <w:rsid w:val="0055605C"/>
    <w:rsid w:val="0055626F"/>
    <w:rsid w:val="0055699B"/>
    <w:rsid w:val="005569BC"/>
    <w:rsid w:val="00556B04"/>
    <w:rsid w:val="00556F51"/>
    <w:rsid w:val="005570AF"/>
    <w:rsid w:val="005571F5"/>
    <w:rsid w:val="0055730B"/>
    <w:rsid w:val="005578FE"/>
    <w:rsid w:val="00557934"/>
    <w:rsid w:val="00557AEC"/>
    <w:rsid w:val="00557DB7"/>
    <w:rsid w:val="00557EBA"/>
    <w:rsid w:val="00557EC4"/>
    <w:rsid w:val="005601FF"/>
    <w:rsid w:val="00560517"/>
    <w:rsid w:val="0056061B"/>
    <w:rsid w:val="00560897"/>
    <w:rsid w:val="00560BD3"/>
    <w:rsid w:val="00560FBC"/>
    <w:rsid w:val="0056107D"/>
    <w:rsid w:val="0056139E"/>
    <w:rsid w:val="0056170E"/>
    <w:rsid w:val="00561DFB"/>
    <w:rsid w:val="0056205B"/>
    <w:rsid w:val="005620B1"/>
    <w:rsid w:val="005624F3"/>
    <w:rsid w:val="0056327C"/>
    <w:rsid w:val="005632BA"/>
    <w:rsid w:val="00563FF7"/>
    <w:rsid w:val="00564321"/>
    <w:rsid w:val="00564457"/>
    <w:rsid w:val="005644E9"/>
    <w:rsid w:val="005644F1"/>
    <w:rsid w:val="00564A8C"/>
    <w:rsid w:val="00565967"/>
    <w:rsid w:val="00565CB0"/>
    <w:rsid w:val="00565E00"/>
    <w:rsid w:val="00565F37"/>
    <w:rsid w:val="00566187"/>
    <w:rsid w:val="0056623B"/>
    <w:rsid w:val="005663DB"/>
    <w:rsid w:val="00566509"/>
    <w:rsid w:val="0056671A"/>
    <w:rsid w:val="00566F1D"/>
    <w:rsid w:val="00567267"/>
    <w:rsid w:val="005674BB"/>
    <w:rsid w:val="00567C7A"/>
    <w:rsid w:val="0057047C"/>
    <w:rsid w:val="0057130D"/>
    <w:rsid w:val="005717A2"/>
    <w:rsid w:val="00571A77"/>
    <w:rsid w:val="00571CCC"/>
    <w:rsid w:val="00571E9C"/>
    <w:rsid w:val="00571ECE"/>
    <w:rsid w:val="005723D0"/>
    <w:rsid w:val="00572446"/>
    <w:rsid w:val="00572841"/>
    <w:rsid w:val="00572D39"/>
    <w:rsid w:val="005730B8"/>
    <w:rsid w:val="00573134"/>
    <w:rsid w:val="00573277"/>
    <w:rsid w:val="00573737"/>
    <w:rsid w:val="005740E8"/>
    <w:rsid w:val="00575100"/>
    <w:rsid w:val="0057587E"/>
    <w:rsid w:val="00575E3F"/>
    <w:rsid w:val="00575E9A"/>
    <w:rsid w:val="005761CE"/>
    <w:rsid w:val="00576467"/>
    <w:rsid w:val="005766F7"/>
    <w:rsid w:val="00576BA8"/>
    <w:rsid w:val="00576C9C"/>
    <w:rsid w:val="00576E48"/>
    <w:rsid w:val="00576E9C"/>
    <w:rsid w:val="00577B1F"/>
    <w:rsid w:val="00577EA4"/>
    <w:rsid w:val="0058061F"/>
    <w:rsid w:val="00580B2E"/>
    <w:rsid w:val="00580C12"/>
    <w:rsid w:val="00580EFD"/>
    <w:rsid w:val="00580F24"/>
    <w:rsid w:val="00581721"/>
    <w:rsid w:val="005817A0"/>
    <w:rsid w:val="00581B48"/>
    <w:rsid w:val="00581D04"/>
    <w:rsid w:val="00581DC5"/>
    <w:rsid w:val="0058210B"/>
    <w:rsid w:val="0058230C"/>
    <w:rsid w:val="00582A81"/>
    <w:rsid w:val="00582B29"/>
    <w:rsid w:val="00582B97"/>
    <w:rsid w:val="00582CBB"/>
    <w:rsid w:val="005835FF"/>
    <w:rsid w:val="00583A05"/>
    <w:rsid w:val="00583D0E"/>
    <w:rsid w:val="00583DCD"/>
    <w:rsid w:val="00583DD6"/>
    <w:rsid w:val="005840B3"/>
    <w:rsid w:val="00584840"/>
    <w:rsid w:val="0058494F"/>
    <w:rsid w:val="00584CB1"/>
    <w:rsid w:val="00584CB5"/>
    <w:rsid w:val="00584D95"/>
    <w:rsid w:val="005854CF"/>
    <w:rsid w:val="005855C3"/>
    <w:rsid w:val="005855DE"/>
    <w:rsid w:val="00585A55"/>
    <w:rsid w:val="00585A84"/>
    <w:rsid w:val="00585E3C"/>
    <w:rsid w:val="00585FA0"/>
    <w:rsid w:val="0058604D"/>
    <w:rsid w:val="005862AB"/>
    <w:rsid w:val="00586694"/>
    <w:rsid w:val="005869CA"/>
    <w:rsid w:val="00586BA4"/>
    <w:rsid w:val="005873EB"/>
    <w:rsid w:val="00587476"/>
    <w:rsid w:val="005874AB"/>
    <w:rsid w:val="005876C2"/>
    <w:rsid w:val="005879DA"/>
    <w:rsid w:val="00587C75"/>
    <w:rsid w:val="00587CF6"/>
    <w:rsid w:val="00590405"/>
    <w:rsid w:val="005904F9"/>
    <w:rsid w:val="00590BD6"/>
    <w:rsid w:val="00590BF5"/>
    <w:rsid w:val="00590D25"/>
    <w:rsid w:val="0059115A"/>
    <w:rsid w:val="0059165D"/>
    <w:rsid w:val="00591A80"/>
    <w:rsid w:val="005920B2"/>
    <w:rsid w:val="00592535"/>
    <w:rsid w:val="005925C8"/>
    <w:rsid w:val="00592814"/>
    <w:rsid w:val="00593877"/>
    <w:rsid w:val="005941DA"/>
    <w:rsid w:val="0059451F"/>
    <w:rsid w:val="00594546"/>
    <w:rsid w:val="005947F5"/>
    <w:rsid w:val="00594992"/>
    <w:rsid w:val="00594F0B"/>
    <w:rsid w:val="00595104"/>
    <w:rsid w:val="005956B3"/>
    <w:rsid w:val="00595AC1"/>
    <w:rsid w:val="00595E50"/>
    <w:rsid w:val="00595F41"/>
    <w:rsid w:val="00596107"/>
    <w:rsid w:val="005964B3"/>
    <w:rsid w:val="00596600"/>
    <w:rsid w:val="00596603"/>
    <w:rsid w:val="00596E8A"/>
    <w:rsid w:val="00596F41"/>
    <w:rsid w:val="0059730E"/>
    <w:rsid w:val="00597419"/>
    <w:rsid w:val="00597693"/>
    <w:rsid w:val="00597848"/>
    <w:rsid w:val="00597AB1"/>
    <w:rsid w:val="00597AD5"/>
    <w:rsid w:val="00597C2F"/>
    <w:rsid w:val="005A05DB"/>
    <w:rsid w:val="005A0761"/>
    <w:rsid w:val="005A093B"/>
    <w:rsid w:val="005A097C"/>
    <w:rsid w:val="005A0AF3"/>
    <w:rsid w:val="005A0C99"/>
    <w:rsid w:val="005A0EBF"/>
    <w:rsid w:val="005A140C"/>
    <w:rsid w:val="005A14C2"/>
    <w:rsid w:val="005A16F3"/>
    <w:rsid w:val="005A1787"/>
    <w:rsid w:val="005A1C53"/>
    <w:rsid w:val="005A1D60"/>
    <w:rsid w:val="005A1E9B"/>
    <w:rsid w:val="005A26EC"/>
    <w:rsid w:val="005A2D1A"/>
    <w:rsid w:val="005A336B"/>
    <w:rsid w:val="005A3445"/>
    <w:rsid w:val="005A34D0"/>
    <w:rsid w:val="005A35CC"/>
    <w:rsid w:val="005A3E1E"/>
    <w:rsid w:val="005A415F"/>
    <w:rsid w:val="005A4229"/>
    <w:rsid w:val="005A4360"/>
    <w:rsid w:val="005A4530"/>
    <w:rsid w:val="005A45C0"/>
    <w:rsid w:val="005A47E3"/>
    <w:rsid w:val="005A47FC"/>
    <w:rsid w:val="005A4AE3"/>
    <w:rsid w:val="005A4D2E"/>
    <w:rsid w:val="005A5147"/>
    <w:rsid w:val="005A559B"/>
    <w:rsid w:val="005A55E1"/>
    <w:rsid w:val="005A58AE"/>
    <w:rsid w:val="005A5B55"/>
    <w:rsid w:val="005A5C13"/>
    <w:rsid w:val="005A6166"/>
    <w:rsid w:val="005A61F0"/>
    <w:rsid w:val="005A63C9"/>
    <w:rsid w:val="005A6474"/>
    <w:rsid w:val="005A69D0"/>
    <w:rsid w:val="005A74B3"/>
    <w:rsid w:val="005A7713"/>
    <w:rsid w:val="005A7A93"/>
    <w:rsid w:val="005A7CE3"/>
    <w:rsid w:val="005A7DAC"/>
    <w:rsid w:val="005B023C"/>
    <w:rsid w:val="005B1193"/>
    <w:rsid w:val="005B1580"/>
    <w:rsid w:val="005B1586"/>
    <w:rsid w:val="005B15B1"/>
    <w:rsid w:val="005B184F"/>
    <w:rsid w:val="005B1D76"/>
    <w:rsid w:val="005B20F1"/>
    <w:rsid w:val="005B211B"/>
    <w:rsid w:val="005B22F4"/>
    <w:rsid w:val="005B2715"/>
    <w:rsid w:val="005B28D1"/>
    <w:rsid w:val="005B29B4"/>
    <w:rsid w:val="005B29D3"/>
    <w:rsid w:val="005B2A9D"/>
    <w:rsid w:val="005B2BFA"/>
    <w:rsid w:val="005B2CEB"/>
    <w:rsid w:val="005B2DDE"/>
    <w:rsid w:val="005B2EA3"/>
    <w:rsid w:val="005B2F6D"/>
    <w:rsid w:val="005B31F9"/>
    <w:rsid w:val="005B3587"/>
    <w:rsid w:val="005B39CE"/>
    <w:rsid w:val="005B3C03"/>
    <w:rsid w:val="005B3DE9"/>
    <w:rsid w:val="005B3EA5"/>
    <w:rsid w:val="005B4328"/>
    <w:rsid w:val="005B43DD"/>
    <w:rsid w:val="005B4823"/>
    <w:rsid w:val="005B49F8"/>
    <w:rsid w:val="005B4AC8"/>
    <w:rsid w:val="005B55DF"/>
    <w:rsid w:val="005B56E5"/>
    <w:rsid w:val="005B58E0"/>
    <w:rsid w:val="005B5B29"/>
    <w:rsid w:val="005B5BF7"/>
    <w:rsid w:val="005B5E85"/>
    <w:rsid w:val="005B5FDB"/>
    <w:rsid w:val="005B605B"/>
    <w:rsid w:val="005B66B5"/>
    <w:rsid w:val="005B690A"/>
    <w:rsid w:val="005B6939"/>
    <w:rsid w:val="005B6A1F"/>
    <w:rsid w:val="005B6AF1"/>
    <w:rsid w:val="005B6E23"/>
    <w:rsid w:val="005B7834"/>
    <w:rsid w:val="005B7860"/>
    <w:rsid w:val="005B7882"/>
    <w:rsid w:val="005B7915"/>
    <w:rsid w:val="005B7949"/>
    <w:rsid w:val="005B7EEC"/>
    <w:rsid w:val="005C02AD"/>
    <w:rsid w:val="005C07A3"/>
    <w:rsid w:val="005C0C54"/>
    <w:rsid w:val="005C0DB8"/>
    <w:rsid w:val="005C0F55"/>
    <w:rsid w:val="005C11E8"/>
    <w:rsid w:val="005C1848"/>
    <w:rsid w:val="005C1B74"/>
    <w:rsid w:val="005C1C81"/>
    <w:rsid w:val="005C1DCE"/>
    <w:rsid w:val="005C23E3"/>
    <w:rsid w:val="005C25BB"/>
    <w:rsid w:val="005C2A66"/>
    <w:rsid w:val="005C2B77"/>
    <w:rsid w:val="005C2B8C"/>
    <w:rsid w:val="005C2D9F"/>
    <w:rsid w:val="005C2DA3"/>
    <w:rsid w:val="005C30A3"/>
    <w:rsid w:val="005C30C6"/>
    <w:rsid w:val="005C3273"/>
    <w:rsid w:val="005C33EA"/>
    <w:rsid w:val="005C3449"/>
    <w:rsid w:val="005C3652"/>
    <w:rsid w:val="005C37A3"/>
    <w:rsid w:val="005C3A7A"/>
    <w:rsid w:val="005C3D51"/>
    <w:rsid w:val="005C41EA"/>
    <w:rsid w:val="005C4828"/>
    <w:rsid w:val="005C4BD5"/>
    <w:rsid w:val="005C4F5D"/>
    <w:rsid w:val="005C54EA"/>
    <w:rsid w:val="005C59B1"/>
    <w:rsid w:val="005C59B3"/>
    <w:rsid w:val="005C5E55"/>
    <w:rsid w:val="005C5F1A"/>
    <w:rsid w:val="005C5F5C"/>
    <w:rsid w:val="005C69A7"/>
    <w:rsid w:val="005C6B86"/>
    <w:rsid w:val="005C6CA1"/>
    <w:rsid w:val="005C7139"/>
    <w:rsid w:val="005C731A"/>
    <w:rsid w:val="005C7490"/>
    <w:rsid w:val="005C78B4"/>
    <w:rsid w:val="005C7A8E"/>
    <w:rsid w:val="005C7CEF"/>
    <w:rsid w:val="005C7DF3"/>
    <w:rsid w:val="005C7F3C"/>
    <w:rsid w:val="005D0466"/>
    <w:rsid w:val="005D0F7E"/>
    <w:rsid w:val="005D144C"/>
    <w:rsid w:val="005D1717"/>
    <w:rsid w:val="005D17C6"/>
    <w:rsid w:val="005D1BB6"/>
    <w:rsid w:val="005D2954"/>
    <w:rsid w:val="005D3041"/>
    <w:rsid w:val="005D3356"/>
    <w:rsid w:val="005D373B"/>
    <w:rsid w:val="005D37A4"/>
    <w:rsid w:val="005D397E"/>
    <w:rsid w:val="005D3B57"/>
    <w:rsid w:val="005D3CF1"/>
    <w:rsid w:val="005D3ECA"/>
    <w:rsid w:val="005D3FE9"/>
    <w:rsid w:val="005D4136"/>
    <w:rsid w:val="005D470F"/>
    <w:rsid w:val="005D4C09"/>
    <w:rsid w:val="005D4CDA"/>
    <w:rsid w:val="005D4F03"/>
    <w:rsid w:val="005D4F56"/>
    <w:rsid w:val="005D5134"/>
    <w:rsid w:val="005D56D9"/>
    <w:rsid w:val="005D582C"/>
    <w:rsid w:val="005D58F3"/>
    <w:rsid w:val="005D60C0"/>
    <w:rsid w:val="005D6213"/>
    <w:rsid w:val="005D64E4"/>
    <w:rsid w:val="005D6BD5"/>
    <w:rsid w:val="005D70F7"/>
    <w:rsid w:val="005D729D"/>
    <w:rsid w:val="005D732E"/>
    <w:rsid w:val="005D7418"/>
    <w:rsid w:val="005D77F0"/>
    <w:rsid w:val="005D79E9"/>
    <w:rsid w:val="005D7BAA"/>
    <w:rsid w:val="005D7F77"/>
    <w:rsid w:val="005E04EB"/>
    <w:rsid w:val="005E0BB7"/>
    <w:rsid w:val="005E0CBA"/>
    <w:rsid w:val="005E0F87"/>
    <w:rsid w:val="005E1119"/>
    <w:rsid w:val="005E1361"/>
    <w:rsid w:val="005E16C7"/>
    <w:rsid w:val="005E1807"/>
    <w:rsid w:val="005E1F91"/>
    <w:rsid w:val="005E2203"/>
    <w:rsid w:val="005E2AA8"/>
    <w:rsid w:val="005E2BFE"/>
    <w:rsid w:val="005E339D"/>
    <w:rsid w:val="005E3407"/>
    <w:rsid w:val="005E348E"/>
    <w:rsid w:val="005E3571"/>
    <w:rsid w:val="005E41C8"/>
    <w:rsid w:val="005E42B9"/>
    <w:rsid w:val="005E45D6"/>
    <w:rsid w:val="005E4C98"/>
    <w:rsid w:val="005E4EFE"/>
    <w:rsid w:val="005E5153"/>
    <w:rsid w:val="005E517E"/>
    <w:rsid w:val="005E559A"/>
    <w:rsid w:val="005E563D"/>
    <w:rsid w:val="005E56BC"/>
    <w:rsid w:val="005E5CAE"/>
    <w:rsid w:val="005E5E25"/>
    <w:rsid w:val="005E5FB9"/>
    <w:rsid w:val="005E6121"/>
    <w:rsid w:val="005E7005"/>
    <w:rsid w:val="005E71A2"/>
    <w:rsid w:val="005E7344"/>
    <w:rsid w:val="005E7483"/>
    <w:rsid w:val="005E7512"/>
    <w:rsid w:val="005E7603"/>
    <w:rsid w:val="005E7977"/>
    <w:rsid w:val="005E7B7F"/>
    <w:rsid w:val="005F00CF"/>
    <w:rsid w:val="005F0B6D"/>
    <w:rsid w:val="005F108B"/>
    <w:rsid w:val="005F10CC"/>
    <w:rsid w:val="005F125E"/>
    <w:rsid w:val="005F15C3"/>
    <w:rsid w:val="005F1883"/>
    <w:rsid w:val="005F1A4E"/>
    <w:rsid w:val="005F1ADB"/>
    <w:rsid w:val="005F1BF9"/>
    <w:rsid w:val="005F1F80"/>
    <w:rsid w:val="005F224F"/>
    <w:rsid w:val="005F23F6"/>
    <w:rsid w:val="005F2485"/>
    <w:rsid w:val="005F2D64"/>
    <w:rsid w:val="005F3409"/>
    <w:rsid w:val="005F358F"/>
    <w:rsid w:val="005F3BB4"/>
    <w:rsid w:val="005F4644"/>
    <w:rsid w:val="005F4CA2"/>
    <w:rsid w:val="005F4F29"/>
    <w:rsid w:val="005F4F46"/>
    <w:rsid w:val="005F4FDE"/>
    <w:rsid w:val="005F5167"/>
    <w:rsid w:val="005F5326"/>
    <w:rsid w:val="005F53DB"/>
    <w:rsid w:val="005F5939"/>
    <w:rsid w:val="005F6029"/>
    <w:rsid w:val="005F6501"/>
    <w:rsid w:val="005F659F"/>
    <w:rsid w:val="005F669C"/>
    <w:rsid w:val="005F68A3"/>
    <w:rsid w:val="005F7019"/>
    <w:rsid w:val="005F7030"/>
    <w:rsid w:val="005F73C1"/>
    <w:rsid w:val="00600322"/>
    <w:rsid w:val="00600333"/>
    <w:rsid w:val="006004AD"/>
    <w:rsid w:val="00600519"/>
    <w:rsid w:val="006005D5"/>
    <w:rsid w:val="0060073B"/>
    <w:rsid w:val="006007C5"/>
    <w:rsid w:val="0060082A"/>
    <w:rsid w:val="00600B16"/>
    <w:rsid w:val="00600BA6"/>
    <w:rsid w:val="00600E3D"/>
    <w:rsid w:val="00601414"/>
    <w:rsid w:val="00601567"/>
    <w:rsid w:val="0060223C"/>
    <w:rsid w:val="00602320"/>
    <w:rsid w:val="006023E7"/>
    <w:rsid w:val="006027E9"/>
    <w:rsid w:val="006029DD"/>
    <w:rsid w:val="00602A9B"/>
    <w:rsid w:val="00602B70"/>
    <w:rsid w:val="00602D6C"/>
    <w:rsid w:val="00603ABC"/>
    <w:rsid w:val="00604118"/>
    <w:rsid w:val="00604166"/>
    <w:rsid w:val="00604320"/>
    <w:rsid w:val="006048AD"/>
    <w:rsid w:val="00604EE9"/>
    <w:rsid w:val="00605043"/>
    <w:rsid w:val="0060529C"/>
    <w:rsid w:val="006052DD"/>
    <w:rsid w:val="00605355"/>
    <w:rsid w:val="006055B3"/>
    <w:rsid w:val="006055FC"/>
    <w:rsid w:val="006058F0"/>
    <w:rsid w:val="006059DF"/>
    <w:rsid w:val="00605E33"/>
    <w:rsid w:val="00606086"/>
    <w:rsid w:val="006064B0"/>
    <w:rsid w:val="00606764"/>
    <w:rsid w:val="00606BD5"/>
    <w:rsid w:val="00606EC7"/>
    <w:rsid w:val="00606F26"/>
    <w:rsid w:val="00606F6E"/>
    <w:rsid w:val="00607635"/>
    <w:rsid w:val="0060792D"/>
    <w:rsid w:val="00607993"/>
    <w:rsid w:val="00607B2E"/>
    <w:rsid w:val="00607D8F"/>
    <w:rsid w:val="0061013C"/>
    <w:rsid w:val="006101E0"/>
    <w:rsid w:val="006106B0"/>
    <w:rsid w:val="00610C0C"/>
    <w:rsid w:val="00610EDC"/>
    <w:rsid w:val="00610F11"/>
    <w:rsid w:val="006110F0"/>
    <w:rsid w:val="006113D7"/>
    <w:rsid w:val="006114D1"/>
    <w:rsid w:val="00611955"/>
    <w:rsid w:val="006119C1"/>
    <w:rsid w:val="00611F1B"/>
    <w:rsid w:val="00612139"/>
    <w:rsid w:val="00612218"/>
    <w:rsid w:val="00612332"/>
    <w:rsid w:val="006125A1"/>
    <w:rsid w:val="0061288A"/>
    <w:rsid w:val="006128D5"/>
    <w:rsid w:val="00612F42"/>
    <w:rsid w:val="00613140"/>
    <w:rsid w:val="00613359"/>
    <w:rsid w:val="00613C41"/>
    <w:rsid w:val="00613FE4"/>
    <w:rsid w:val="00614148"/>
    <w:rsid w:val="0061435F"/>
    <w:rsid w:val="00614863"/>
    <w:rsid w:val="0061490B"/>
    <w:rsid w:val="00614FAD"/>
    <w:rsid w:val="006151C0"/>
    <w:rsid w:val="00615D15"/>
    <w:rsid w:val="00615DEC"/>
    <w:rsid w:val="00615FB2"/>
    <w:rsid w:val="00615FF9"/>
    <w:rsid w:val="0061610A"/>
    <w:rsid w:val="00616136"/>
    <w:rsid w:val="00616292"/>
    <w:rsid w:val="00616603"/>
    <w:rsid w:val="0061733B"/>
    <w:rsid w:val="006177CF"/>
    <w:rsid w:val="00617B7C"/>
    <w:rsid w:val="00617E17"/>
    <w:rsid w:val="00617F30"/>
    <w:rsid w:val="0062038F"/>
    <w:rsid w:val="006203F0"/>
    <w:rsid w:val="0062086C"/>
    <w:rsid w:val="00620A41"/>
    <w:rsid w:val="0062119D"/>
    <w:rsid w:val="006213BA"/>
    <w:rsid w:val="0062165F"/>
    <w:rsid w:val="00621BED"/>
    <w:rsid w:val="00621DA4"/>
    <w:rsid w:val="00621E29"/>
    <w:rsid w:val="00621E38"/>
    <w:rsid w:val="0062213D"/>
    <w:rsid w:val="00622373"/>
    <w:rsid w:val="00622441"/>
    <w:rsid w:val="0062273B"/>
    <w:rsid w:val="0062298E"/>
    <w:rsid w:val="00623120"/>
    <w:rsid w:val="00623121"/>
    <w:rsid w:val="00623825"/>
    <w:rsid w:val="00623A9B"/>
    <w:rsid w:val="00623ACA"/>
    <w:rsid w:val="00624559"/>
    <w:rsid w:val="00624646"/>
    <w:rsid w:val="00624A64"/>
    <w:rsid w:val="00624ADC"/>
    <w:rsid w:val="00624B44"/>
    <w:rsid w:val="00625369"/>
    <w:rsid w:val="006255D5"/>
    <w:rsid w:val="00625610"/>
    <w:rsid w:val="00625B49"/>
    <w:rsid w:val="00625D23"/>
    <w:rsid w:val="0062620E"/>
    <w:rsid w:val="00626328"/>
    <w:rsid w:val="00626A04"/>
    <w:rsid w:val="006270DE"/>
    <w:rsid w:val="00627115"/>
    <w:rsid w:val="00627354"/>
    <w:rsid w:val="0062739A"/>
    <w:rsid w:val="006274A6"/>
    <w:rsid w:val="00627B6A"/>
    <w:rsid w:val="00627D9D"/>
    <w:rsid w:val="00627FD5"/>
    <w:rsid w:val="0063001D"/>
    <w:rsid w:val="00630092"/>
    <w:rsid w:val="006300B5"/>
    <w:rsid w:val="00630187"/>
    <w:rsid w:val="0063075E"/>
    <w:rsid w:val="006308DF"/>
    <w:rsid w:val="00630C44"/>
    <w:rsid w:val="00630C45"/>
    <w:rsid w:val="00631072"/>
    <w:rsid w:val="00631771"/>
    <w:rsid w:val="00631817"/>
    <w:rsid w:val="00631B3A"/>
    <w:rsid w:val="00631DAD"/>
    <w:rsid w:val="00631E1B"/>
    <w:rsid w:val="00632961"/>
    <w:rsid w:val="00632F24"/>
    <w:rsid w:val="00632F72"/>
    <w:rsid w:val="006347B5"/>
    <w:rsid w:val="006347E1"/>
    <w:rsid w:val="00634D13"/>
    <w:rsid w:val="00635D8A"/>
    <w:rsid w:val="00635E8C"/>
    <w:rsid w:val="00636271"/>
    <w:rsid w:val="00636635"/>
    <w:rsid w:val="006372D1"/>
    <w:rsid w:val="006374A6"/>
    <w:rsid w:val="00637C5E"/>
    <w:rsid w:val="00637C6E"/>
    <w:rsid w:val="00640077"/>
    <w:rsid w:val="006404C5"/>
    <w:rsid w:val="00640587"/>
    <w:rsid w:val="0064097E"/>
    <w:rsid w:val="00640C40"/>
    <w:rsid w:val="006410BA"/>
    <w:rsid w:val="0064110F"/>
    <w:rsid w:val="00641655"/>
    <w:rsid w:val="00641676"/>
    <w:rsid w:val="00641736"/>
    <w:rsid w:val="00641915"/>
    <w:rsid w:val="00641EB1"/>
    <w:rsid w:val="0064256B"/>
    <w:rsid w:val="006425E0"/>
    <w:rsid w:val="006431F5"/>
    <w:rsid w:val="0064361E"/>
    <w:rsid w:val="00643806"/>
    <w:rsid w:val="00643878"/>
    <w:rsid w:val="006438C3"/>
    <w:rsid w:val="00643B00"/>
    <w:rsid w:val="00643B4F"/>
    <w:rsid w:val="00643EA0"/>
    <w:rsid w:val="00643F25"/>
    <w:rsid w:val="00643F7C"/>
    <w:rsid w:val="0064486D"/>
    <w:rsid w:val="00645120"/>
    <w:rsid w:val="00645298"/>
    <w:rsid w:val="0064574C"/>
    <w:rsid w:val="00645967"/>
    <w:rsid w:val="0064597E"/>
    <w:rsid w:val="00645A17"/>
    <w:rsid w:val="00645ABD"/>
    <w:rsid w:val="00645BF8"/>
    <w:rsid w:val="006460F6"/>
    <w:rsid w:val="00646274"/>
    <w:rsid w:val="0064639C"/>
    <w:rsid w:val="006467BA"/>
    <w:rsid w:val="00646B8A"/>
    <w:rsid w:val="00646BBF"/>
    <w:rsid w:val="00646CAA"/>
    <w:rsid w:val="00646EAA"/>
    <w:rsid w:val="0064762C"/>
    <w:rsid w:val="006477C9"/>
    <w:rsid w:val="006478C9"/>
    <w:rsid w:val="006478D6"/>
    <w:rsid w:val="00647BCF"/>
    <w:rsid w:val="00647CF0"/>
    <w:rsid w:val="00647D85"/>
    <w:rsid w:val="00647F44"/>
    <w:rsid w:val="00650056"/>
    <w:rsid w:val="00650287"/>
    <w:rsid w:val="006503BF"/>
    <w:rsid w:val="0065056D"/>
    <w:rsid w:val="006509D6"/>
    <w:rsid w:val="00650BC0"/>
    <w:rsid w:val="00650D71"/>
    <w:rsid w:val="00651216"/>
    <w:rsid w:val="0065129D"/>
    <w:rsid w:val="00651992"/>
    <w:rsid w:val="00652341"/>
    <w:rsid w:val="006523A7"/>
    <w:rsid w:val="0065263B"/>
    <w:rsid w:val="00652652"/>
    <w:rsid w:val="00652775"/>
    <w:rsid w:val="006528D7"/>
    <w:rsid w:val="00653053"/>
    <w:rsid w:val="006530E5"/>
    <w:rsid w:val="00653495"/>
    <w:rsid w:val="006535AC"/>
    <w:rsid w:val="00653636"/>
    <w:rsid w:val="00653906"/>
    <w:rsid w:val="00653EEA"/>
    <w:rsid w:val="00654590"/>
    <w:rsid w:val="006546BA"/>
    <w:rsid w:val="00654706"/>
    <w:rsid w:val="00654ED1"/>
    <w:rsid w:val="006553CA"/>
    <w:rsid w:val="0065540C"/>
    <w:rsid w:val="00655616"/>
    <w:rsid w:val="00655BCA"/>
    <w:rsid w:val="00656317"/>
    <w:rsid w:val="0065638D"/>
    <w:rsid w:val="006564AF"/>
    <w:rsid w:val="0065681D"/>
    <w:rsid w:val="00656D75"/>
    <w:rsid w:val="00656DCC"/>
    <w:rsid w:val="00656EAC"/>
    <w:rsid w:val="00656F8C"/>
    <w:rsid w:val="006576A0"/>
    <w:rsid w:val="0065782C"/>
    <w:rsid w:val="00660213"/>
    <w:rsid w:val="00660721"/>
    <w:rsid w:val="00660DC8"/>
    <w:rsid w:val="00660E44"/>
    <w:rsid w:val="0066104A"/>
    <w:rsid w:val="0066147C"/>
    <w:rsid w:val="00661C09"/>
    <w:rsid w:val="006621AF"/>
    <w:rsid w:val="00662DA1"/>
    <w:rsid w:val="00662FC7"/>
    <w:rsid w:val="0066341E"/>
    <w:rsid w:val="006636A8"/>
    <w:rsid w:val="006638C4"/>
    <w:rsid w:val="00663A8B"/>
    <w:rsid w:val="00663DF2"/>
    <w:rsid w:val="006643CE"/>
    <w:rsid w:val="006643EC"/>
    <w:rsid w:val="006646E3"/>
    <w:rsid w:val="0066476C"/>
    <w:rsid w:val="00664B60"/>
    <w:rsid w:val="00664C70"/>
    <w:rsid w:val="00664DBC"/>
    <w:rsid w:val="0066501C"/>
    <w:rsid w:val="0066502D"/>
    <w:rsid w:val="006651E1"/>
    <w:rsid w:val="0066540B"/>
    <w:rsid w:val="0066593F"/>
    <w:rsid w:val="00666548"/>
    <w:rsid w:val="0066660F"/>
    <w:rsid w:val="006668D2"/>
    <w:rsid w:val="006669DF"/>
    <w:rsid w:val="00666CDB"/>
    <w:rsid w:val="00666E54"/>
    <w:rsid w:val="006675A3"/>
    <w:rsid w:val="0066777C"/>
    <w:rsid w:val="00667AB5"/>
    <w:rsid w:val="00667DF2"/>
    <w:rsid w:val="00667FD0"/>
    <w:rsid w:val="006701A1"/>
    <w:rsid w:val="00670310"/>
    <w:rsid w:val="0067051B"/>
    <w:rsid w:val="00670536"/>
    <w:rsid w:val="00670772"/>
    <w:rsid w:val="00670B62"/>
    <w:rsid w:val="00670F3F"/>
    <w:rsid w:val="0067163F"/>
    <w:rsid w:val="006717CA"/>
    <w:rsid w:val="00671895"/>
    <w:rsid w:val="0067192F"/>
    <w:rsid w:val="00671CE1"/>
    <w:rsid w:val="0067242B"/>
    <w:rsid w:val="00672594"/>
    <w:rsid w:val="0067262B"/>
    <w:rsid w:val="00672AB6"/>
    <w:rsid w:val="00672F3F"/>
    <w:rsid w:val="0067302D"/>
    <w:rsid w:val="006736D9"/>
    <w:rsid w:val="0067388F"/>
    <w:rsid w:val="00673CF7"/>
    <w:rsid w:val="006742E7"/>
    <w:rsid w:val="006746E2"/>
    <w:rsid w:val="006748EF"/>
    <w:rsid w:val="006749C4"/>
    <w:rsid w:val="006749D8"/>
    <w:rsid w:val="00674AB3"/>
    <w:rsid w:val="00674F87"/>
    <w:rsid w:val="00674F90"/>
    <w:rsid w:val="006750C6"/>
    <w:rsid w:val="00675855"/>
    <w:rsid w:val="00675921"/>
    <w:rsid w:val="00675AE8"/>
    <w:rsid w:val="00675CD0"/>
    <w:rsid w:val="00675DA8"/>
    <w:rsid w:val="00675E62"/>
    <w:rsid w:val="00675E63"/>
    <w:rsid w:val="00676001"/>
    <w:rsid w:val="0067657E"/>
    <w:rsid w:val="0067672C"/>
    <w:rsid w:val="00676832"/>
    <w:rsid w:val="006768AF"/>
    <w:rsid w:val="00676911"/>
    <w:rsid w:val="00676CD2"/>
    <w:rsid w:val="00676DE9"/>
    <w:rsid w:val="006776CF"/>
    <w:rsid w:val="00677887"/>
    <w:rsid w:val="006779CD"/>
    <w:rsid w:val="00677B99"/>
    <w:rsid w:val="00677DEE"/>
    <w:rsid w:val="0068002E"/>
    <w:rsid w:val="00680812"/>
    <w:rsid w:val="00680900"/>
    <w:rsid w:val="00680C47"/>
    <w:rsid w:val="00680D6E"/>
    <w:rsid w:val="00681077"/>
    <w:rsid w:val="006810D1"/>
    <w:rsid w:val="00681297"/>
    <w:rsid w:val="006817B7"/>
    <w:rsid w:val="00682077"/>
    <w:rsid w:val="006820C8"/>
    <w:rsid w:val="00682474"/>
    <w:rsid w:val="0068260D"/>
    <w:rsid w:val="00682838"/>
    <w:rsid w:val="00682A9D"/>
    <w:rsid w:val="00682AA7"/>
    <w:rsid w:val="00682F08"/>
    <w:rsid w:val="00683103"/>
    <w:rsid w:val="0068348F"/>
    <w:rsid w:val="006837C7"/>
    <w:rsid w:val="006838FC"/>
    <w:rsid w:val="0068395A"/>
    <w:rsid w:val="00683E46"/>
    <w:rsid w:val="00683E79"/>
    <w:rsid w:val="006840FC"/>
    <w:rsid w:val="006841EB"/>
    <w:rsid w:val="00684528"/>
    <w:rsid w:val="00684A6B"/>
    <w:rsid w:val="00684BD5"/>
    <w:rsid w:val="006859A0"/>
    <w:rsid w:val="00685A94"/>
    <w:rsid w:val="00685E3E"/>
    <w:rsid w:val="00686765"/>
    <w:rsid w:val="0068693B"/>
    <w:rsid w:val="00686981"/>
    <w:rsid w:val="00686F22"/>
    <w:rsid w:val="00687623"/>
    <w:rsid w:val="0068768F"/>
    <w:rsid w:val="00687F5F"/>
    <w:rsid w:val="00690622"/>
    <w:rsid w:val="0069082F"/>
    <w:rsid w:val="00690D85"/>
    <w:rsid w:val="00691061"/>
    <w:rsid w:val="00691188"/>
    <w:rsid w:val="006913A7"/>
    <w:rsid w:val="0069151A"/>
    <w:rsid w:val="006916AB"/>
    <w:rsid w:val="0069176A"/>
    <w:rsid w:val="00691D0C"/>
    <w:rsid w:val="00691E09"/>
    <w:rsid w:val="00692A1B"/>
    <w:rsid w:val="006939C2"/>
    <w:rsid w:val="006939CD"/>
    <w:rsid w:val="00693AD6"/>
    <w:rsid w:val="00694221"/>
    <w:rsid w:val="00694242"/>
    <w:rsid w:val="0069438A"/>
    <w:rsid w:val="0069461E"/>
    <w:rsid w:val="00694897"/>
    <w:rsid w:val="00694B61"/>
    <w:rsid w:val="0069506E"/>
    <w:rsid w:val="00695357"/>
    <w:rsid w:val="006957D0"/>
    <w:rsid w:val="006958C3"/>
    <w:rsid w:val="006958CF"/>
    <w:rsid w:val="00695972"/>
    <w:rsid w:val="00695A35"/>
    <w:rsid w:val="00695A44"/>
    <w:rsid w:val="00695E81"/>
    <w:rsid w:val="00695EC5"/>
    <w:rsid w:val="006964C6"/>
    <w:rsid w:val="006966DC"/>
    <w:rsid w:val="0069671D"/>
    <w:rsid w:val="006969DB"/>
    <w:rsid w:val="00696A93"/>
    <w:rsid w:val="00696ED1"/>
    <w:rsid w:val="00697366"/>
    <w:rsid w:val="0069755B"/>
    <w:rsid w:val="006979F1"/>
    <w:rsid w:val="006A00B2"/>
    <w:rsid w:val="006A03DF"/>
    <w:rsid w:val="006A086E"/>
    <w:rsid w:val="006A0F9A"/>
    <w:rsid w:val="006A0FD1"/>
    <w:rsid w:val="006A127A"/>
    <w:rsid w:val="006A130D"/>
    <w:rsid w:val="006A14D5"/>
    <w:rsid w:val="006A189E"/>
    <w:rsid w:val="006A1E63"/>
    <w:rsid w:val="006A1F05"/>
    <w:rsid w:val="006A1F55"/>
    <w:rsid w:val="006A2046"/>
    <w:rsid w:val="006A219F"/>
    <w:rsid w:val="006A2859"/>
    <w:rsid w:val="006A2C6B"/>
    <w:rsid w:val="006A2E15"/>
    <w:rsid w:val="006A2F7F"/>
    <w:rsid w:val="006A31E3"/>
    <w:rsid w:val="006A4253"/>
    <w:rsid w:val="006A460D"/>
    <w:rsid w:val="006A49B9"/>
    <w:rsid w:val="006A4FC6"/>
    <w:rsid w:val="006A54FF"/>
    <w:rsid w:val="006A57CE"/>
    <w:rsid w:val="006A5AF1"/>
    <w:rsid w:val="006A5C70"/>
    <w:rsid w:val="006A5FDA"/>
    <w:rsid w:val="006A6195"/>
    <w:rsid w:val="006A64D4"/>
    <w:rsid w:val="006A653A"/>
    <w:rsid w:val="006A66EC"/>
    <w:rsid w:val="006A6708"/>
    <w:rsid w:val="006A71AD"/>
    <w:rsid w:val="006A73A9"/>
    <w:rsid w:val="006A73AB"/>
    <w:rsid w:val="006A74F7"/>
    <w:rsid w:val="006A7BAB"/>
    <w:rsid w:val="006A7CAD"/>
    <w:rsid w:val="006A7CC8"/>
    <w:rsid w:val="006B017E"/>
    <w:rsid w:val="006B028A"/>
    <w:rsid w:val="006B0F03"/>
    <w:rsid w:val="006B0F17"/>
    <w:rsid w:val="006B11C6"/>
    <w:rsid w:val="006B13CE"/>
    <w:rsid w:val="006B14A4"/>
    <w:rsid w:val="006B1581"/>
    <w:rsid w:val="006B158E"/>
    <w:rsid w:val="006B1987"/>
    <w:rsid w:val="006B1AE0"/>
    <w:rsid w:val="006B1D3E"/>
    <w:rsid w:val="006B1E0C"/>
    <w:rsid w:val="006B1EF7"/>
    <w:rsid w:val="006B21A4"/>
    <w:rsid w:val="006B222C"/>
    <w:rsid w:val="006B227A"/>
    <w:rsid w:val="006B22DF"/>
    <w:rsid w:val="006B2394"/>
    <w:rsid w:val="006B2460"/>
    <w:rsid w:val="006B2576"/>
    <w:rsid w:val="006B2BD4"/>
    <w:rsid w:val="006B2E89"/>
    <w:rsid w:val="006B3126"/>
    <w:rsid w:val="006B32B1"/>
    <w:rsid w:val="006B33F7"/>
    <w:rsid w:val="006B3568"/>
    <w:rsid w:val="006B458B"/>
    <w:rsid w:val="006B45E7"/>
    <w:rsid w:val="006B4DC2"/>
    <w:rsid w:val="006B5E25"/>
    <w:rsid w:val="006B6022"/>
    <w:rsid w:val="006B6621"/>
    <w:rsid w:val="006B6C8A"/>
    <w:rsid w:val="006B6DDC"/>
    <w:rsid w:val="006B7192"/>
    <w:rsid w:val="006B724C"/>
    <w:rsid w:val="006B731C"/>
    <w:rsid w:val="006B7977"/>
    <w:rsid w:val="006B7ED4"/>
    <w:rsid w:val="006C0418"/>
    <w:rsid w:val="006C050A"/>
    <w:rsid w:val="006C0633"/>
    <w:rsid w:val="006C0979"/>
    <w:rsid w:val="006C0CFC"/>
    <w:rsid w:val="006C1097"/>
    <w:rsid w:val="006C1154"/>
    <w:rsid w:val="006C1367"/>
    <w:rsid w:val="006C1BB3"/>
    <w:rsid w:val="006C1EC5"/>
    <w:rsid w:val="006C2209"/>
    <w:rsid w:val="006C238E"/>
    <w:rsid w:val="006C2460"/>
    <w:rsid w:val="006C277F"/>
    <w:rsid w:val="006C2D7A"/>
    <w:rsid w:val="006C31D8"/>
    <w:rsid w:val="006C3396"/>
    <w:rsid w:val="006C33C5"/>
    <w:rsid w:val="006C3E5A"/>
    <w:rsid w:val="006C48CB"/>
    <w:rsid w:val="006C4F47"/>
    <w:rsid w:val="006C5856"/>
    <w:rsid w:val="006C58BE"/>
    <w:rsid w:val="006C58EB"/>
    <w:rsid w:val="006C5A06"/>
    <w:rsid w:val="006C5A85"/>
    <w:rsid w:val="006C5ADB"/>
    <w:rsid w:val="006C63EA"/>
    <w:rsid w:val="006C6A85"/>
    <w:rsid w:val="006C6BA0"/>
    <w:rsid w:val="006C6E0D"/>
    <w:rsid w:val="006C736E"/>
    <w:rsid w:val="006C77F8"/>
    <w:rsid w:val="006C7803"/>
    <w:rsid w:val="006C7A68"/>
    <w:rsid w:val="006C7A90"/>
    <w:rsid w:val="006C7DE5"/>
    <w:rsid w:val="006D014C"/>
    <w:rsid w:val="006D06DE"/>
    <w:rsid w:val="006D0748"/>
    <w:rsid w:val="006D076C"/>
    <w:rsid w:val="006D0860"/>
    <w:rsid w:val="006D0B06"/>
    <w:rsid w:val="006D118D"/>
    <w:rsid w:val="006D193A"/>
    <w:rsid w:val="006D1BD7"/>
    <w:rsid w:val="006D1F70"/>
    <w:rsid w:val="006D2433"/>
    <w:rsid w:val="006D26DD"/>
    <w:rsid w:val="006D2983"/>
    <w:rsid w:val="006D2AD8"/>
    <w:rsid w:val="006D2F7F"/>
    <w:rsid w:val="006D2F92"/>
    <w:rsid w:val="006D3042"/>
    <w:rsid w:val="006D3110"/>
    <w:rsid w:val="006D340B"/>
    <w:rsid w:val="006D3C25"/>
    <w:rsid w:val="006D3F30"/>
    <w:rsid w:val="006D41AF"/>
    <w:rsid w:val="006D42F8"/>
    <w:rsid w:val="006D4443"/>
    <w:rsid w:val="006D452A"/>
    <w:rsid w:val="006D4752"/>
    <w:rsid w:val="006D48F1"/>
    <w:rsid w:val="006D4908"/>
    <w:rsid w:val="006D49D0"/>
    <w:rsid w:val="006D4A40"/>
    <w:rsid w:val="006D4B35"/>
    <w:rsid w:val="006D4EC7"/>
    <w:rsid w:val="006D5241"/>
    <w:rsid w:val="006D5864"/>
    <w:rsid w:val="006D5910"/>
    <w:rsid w:val="006D5930"/>
    <w:rsid w:val="006D5B17"/>
    <w:rsid w:val="006D5C31"/>
    <w:rsid w:val="006D5C97"/>
    <w:rsid w:val="006D608D"/>
    <w:rsid w:val="006D633D"/>
    <w:rsid w:val="006D6763"/>
    <w:rsid w:val="006D6B30"/>
    <w:rsid w:val="006D6B4A"/>
    <w:rsid w:val="006D74A2"/>
    <w:rsid w:val="006D76F0"/>
    <w:rsid w:val="006D78A7"/>
    <w:rsid w:val="006D7ADE"/>
    <w:rsid w:val="006D7BF1"/>
    <w:rsid w:val="006D7EFC"/>
    <w:rsid w:val="006E0425"/>
    <w:rsid w:val="006E069C"/>
    <w:rsid w:val="006E0712"/>
    <w:rsid w:val="006E0E1A"/>
    <w:rsid w:val="006E1230"/>
    <w:rsid w:val="006E14D7"/>
    <w:rsid w:val="006E175C"/>
    <w:rsid w:val="006E1870"/>
    <w:rsid w:val="006E1EB3"/>
    <w:rsid w:val="006E2406"/>
    <w:rsid w:val="006E2639"/>
    <w:rsid w:val="006E2676"/>
    <w:rsid w:val="006E2691"/>
    <w:rsid w:val="006E2EDB"/>
    <w:rsid w:val="006E2F49"/>
    <w:rsid w:val="006E3085"/>
    <w:rsid w:val="006E3375"/>
    <w:rsid w:val="006E3580"/>
    <w:rsid w:val="006E3616"/>
    <w:rsid w:val="006E3A23"/>
    <w:rsid w:val="006E3C54"/>
    <w:rsid w:val="006E3E91"/>
    <w:rsid w:val="006E4A0F"/>
    <w:rsid w:val="006E4B43"/>
    <w:rsid w:val="006E4DDE"/>
    <w:rsid w:val="006E51A2"/>
    <w:rsid w:val="006E5413"/>
    <w:rsid w:val="006E5594"/>
    <w:rsid w:val="006E5640"/>
    <w:rsid w:val="006E61E6"/>
    <w:rsid w:val="006E64DB"/>
    <w:rsid w:val="006E6744"/>
    <w:rsid w:val="006E710D"/>
    <w:rsid w:val="006E7478"/>
    <w:rsid w:val="006E74B8"/>
    <w:rsid w:val="006E76E0"/>
    <w:rsid w:val="006E7954"/>
    <w:rsid w:val="006F01F2"/>
    <w:rsid w:val="006F0565"/>
    <w:rsid w:val="006F0871"/>
    <w:rsid w:val="006F0C14"/>
    <w:rsid w:val="006F0ED4"/>
    <w:rsid w:val="006F1125"/>
    <w:rsid w:val="006F1223"/>
    <w:rsid w:val="006F12E3"/>
    <w:rsid w:val="006F1311"/>
    <w:rsid w:val="006F152B"/>
    <w:rsid w:val="006F1B50"/>
    <w:rsid w:val="006F1E44"/>
    <w:rsid w:val="006F1FBA"/>
    <w:rsid w:val="006F232D"/>
    <w:rsid w:val="006F2AF6"/>
    <w:rsid w:val="006F2F4C"/>
    <w:rsid w:val="006F3572"/>
    <w:rsid w:val="006F3676"/>
    <w:rsid w:val="006F36A7"/>
    <w:rsid w:val="006F3CE4"/>
    <w:rsid w:val="006F447F"/>
    <w:rsid w:val="006F5051"/>
    <w:rsid w:val="006F54E5"/>
    <w:rsid w:val="006F5544"/>
    <w:rsid w:val="006F5731"/>
    <w:rsid w:val="006F5733"/>
    <w:rsid w:val="006F5741"/>
    <w:rsid w:val="006F5A9E"/>
    <w:rsid w:val="006F5E5E"/>
    <w:rsid w:val="006F60BB"/>
    <w:rsid w:val="006F646C"/>
    <w:rsid w:val="006F6802"/>
    <w:rsid w:val="006F683C"/>
    <w:rsid w:val="006F78B3"/>
    <w:rsid w:val="006F7D74"/>
    <w:rsid w:val="006F7FB8"/>
    <w:rsid w:val="007005BD"/>
    <w:rsid w:val="00700738"/>
    <w:rsid w:val="00700769"/>
    <w:rsid w:val="0070088E"/>
    <w:rsid w:val="00700F6C"/>
    <w:rsid w:val="00701187"/>
    <w:rsid w:val="00701D67"/>
    <w:rsid w:val="00701D90"/>
    <w:rsid w:val="00701E83"/>
    <w:rsid w:val="00702035"/>
    <w:rsid w:val="007022D7"/>
    <w:rsid w:val="007028C1"/>
    <w:rsid w:val="00702A14"/>
    <w:rsid w:val="00702B93"/>
    <w:rsid w:val="00702E2E"/>
    <w:rsid w:val="00703229"/>
    <w:rsid w:val="00703311"/>
    <w:rsid w:val="0070382A"/>
    <w:rsid w:val="00703B1B"/>
    <w:rsid w:val="00703D79"/>
    <w:rsid w:val="007041E2"/>
    <w:rsid w:val="007042F2"/>
    <w:rsid w:val="00704489"/>
    <w:rsid w:val="007044B6"/>
    <w:rsid w:val="00704A84"/>
    <w:rsid w:val="00704B50"/>
    <w:rsid w:val="00704EDE"/>
    <w:rsid w:val="007053BE"/>
    <w:rsid w:val="007053D6"/>
    <w:rsid w:val="007054FC"/>
    <w:rsid w:val="0070562E"/>
    <w:rsid w:val="007058C8"/>
    <w:rsid w:val="00706069"/>
    <w:rsid w:val="007060C6"/>
    <w:rsid w:val="007061C4"/>
    <w:rsid w:val="007062B4"/>
    <w:rsid w:val="00706F07"/>
    <w:rsid w:val="00706F80"/>
    <w:rsid w:val="00707BBA"/>
    <w:rsid w:val="00707BD5"/>
    <w:rsid w:val="00710C52"/>
    <w:rsid w:val="00710F31"/>
    <w:rsid w:val="00711361"/>
    <w:rsid w:val="00711544"/>
    <w:rsid w:val="0071175A"/>
    <w:rsid w:val="00711863"/>
    <w:rsid w:val="00711CB3"/>
    <w:rsid w:val="00711E91"/>
    <w:rsid w:val="0071201C"/>
    <w:rsid w:val="007122A9"/>
    <w:rsid w:val="00712444"/>
    <w:rsid w:val="00712874"/>
    <w:rsid w:val="00712A4F"/>
    <w:rsid w:val="00712CA3"/>
    <w:rsid w:val="00712DB3"/>
    <w:rsid w:val="00712ECF"/>
    <w:rsid w:val="00712F4B"/>
    <w:rsid w:val="0071315E"/>
    <w:rsid w:val="0071361F"/>
    <w:rsid w:val="00713931"/>
    <w:rsid w:val="00714348"/>
    <w:rsid w:val="00714650"/>
    <w:rsid w:val="007146A4"/>
    <w:rsid w:val="00714C6E"/>
    <w:rsid w:val="007159D5"/>
    <w:rsid w:val="00715A3F"/>
    <w:rsid w:val="00715F21"/>
    <w:rsid w:val="00716159"/>
    <w:rsid w:val="007166A2"/>
    <w:rsid w:val="00716713"/>
    <w:rsid w:val="00716799"/>
    <w:rsid w:val="007167EB"/>
    <w:rsid w:val="00716E3E"/>
    <w:rsid w:val="00717055"/>
    <w:rsid w:val="007171B5"/>
    <w:rsid w:val="007173AF"/>
    <w:rsid w:val="00717496"/>
    <w:rsid w:val="007175C5"/>
    <w:rsid w:val="00717829"/>
    <w:rsid w:val="007179B3"/>
    <w:rsid w:val="007179ED"/>
    <w:rsid w:val="00717D30"/>
    <w:rsid w:val="00717E34"/>
    <w:rsid w:val="007201DF"/>
    <w:rsid w:val="0072043C"/>
    <w:rsid w:val="007208D6"/>
    <w:rsid w:val="00720B1D"/>
    <w:rsid w:val="00720EE9"/>
    <w:rsid w:val="00720F93"/>
    <w:rsid w:val="007217F7"/>
    <w:rsid w:val="00721B70"/>
    <w:rsid w:val="007221F5"/>
    <w:rsid w:val="0072235B"/>
    <w:rsid w:val="00722591"/>
    <w:rsid w:val="00722F74"/>
    <w:rsid w:val="0072301E"/>
    <w:rsid w:val="00723078"/>
    <w:rsid w:val="007230DA"/>
    <w:rsid w:val="00723591"/>
    <w:rsid w:val="00723FA1"/>
    <w:rsid w:val="00723FE4"/>
    <w:rsid w:val="00724673"/>
    <w:rsid w:val="00724674"/>
    <w:rsid w:val="0072478F"/>
    <w:rsid w:val="00724E59"/>
    <w:rsid w:val="007253F8"/>
    <w:rsid w:val="0072546F"/>
    <w:rsid w:val="00725C55"/>
    <w:rsid w:val="0072601D"/>
    <w:rsid w:val="0072604D"/>
    <w:rsid w:val="007262C1"/>
    <w:rsid w:val="0072655D"/>
    <w:rsid w:val="0072673A"/>
    <w:rsid w:val="00726B20"/>
    <w:rsid w:val="00726C78"/>
    <w:rsid w:val="00726D83"/>
    <w:rsid w:val="00726EF7"/>
    <w:rsid w:val="00727B7A"/>
    <w:rsid w:val="0073019F"/>
    <w:rsid w:val="00730664"/>
    <w:rsid w:val="007306AB"/>
    <w:rsid w:val="0073074F"/>
    <w:rsid w:val="00730A60"/>
    <w:rsid w:val="00730EF6"/>
    <w:rsid w:val="0073118A"/>
    <w:rsid w:val="00731366"/>
    <w:rsid w:val="00731685"/>
    <w:rsid w:val="00731A4B"/>
    <w:rsid w:val="00731E85"/>
    <w:rsid w:val="00731EAA"/>
    <w:rsid w:val="0073266C"/>
    <w:rsid w:val="007326DA"/>
    <w:rsid w:val="007327B1"/>
    <w:rsid w:val="00732923"/>
    <w:rsid w:val="007329D2"/>
    <w:rsid w:val="00732A69"/>
    <w:rsid w:val="0073380F"/>
    <w:rsid w:val="00733A2B"/>
    <w:rsid w:val="00733D71"/>
    <w:rsid w:val="00733D8D"/>
    <w:rsid w:val="00733E13"/>
    <w:rsid w:val="0073412F"/>
    <w:rsid w:val="0073421F"/>
    <w:rsid w:val="007344C6"/>
    <w:rsid w:val="0073460B"/>
    <w:rsid w:val="00734BDF"/>
    <w:rsid w:val="00735B69"/>
    <w:rsid w:val="00735D0B"/>
    <w:rsid w:val="00735E3F"/>
    <w:rsid w:val="007360F4"/>
    <w:rsid w:val="00736360"/>
    <w:rsid w:val="007365AD"/>
    <w:rsid w:val="007365C7"/>
    <w:rsid w:val="00737061"/>
    <w:rsid w:val="0073745A"/>
    <w:rsid w:val="007374E0"/>
    <w:rsid w:val="00737853"/>
    <w:rsid w:val="00737BFE"/>
    <w:rsid w:val="00737FED"/>
    <w:rsid w:val="00740019"/>
    <w:rsid w:val="00740294"/>
    <w:rsid w:val="00740343"/>
    <w:rsid w:val="0074085A"/>
    <w:rsid w:val="00740A5B"/>
    <w:rsid w:val="00740D98"/>
    <w:rsid w:val="00741377"/>
    <w:rsid w:val="00741611"/>
    <w:rsid w:val="0074191B"/>
    <w:rsid w:val="007420D0"/>
    <w:rsid w:val="00742481"/>
    <w:rsid w:val="00742A00"/>
    <w:rsid w:val="00742A5F"/>
    <w:rsid w:val="00742D93"/>
    <w:rsid w:val="00742DAA"/>
    <w:rsid w:val="00742E1F"/>
    <w:rsid w:val="007431E5"/>
    <w:rsid w:val="00743204"/>
    <w:rsid w:val="00743234"/>
    <w:rsid w:val="00743379"/>
    <w:rsid w:val="007433F5"/>
    <w:rsid w:val="0074342D"/>
    <w:rsid w:val="00743651"/>
    <w:rsid w:val="00743CD0"/>
    <w:rsid w:val="00743DF2"/>
    <w:rsid w:val="00744017"/>
    <w:rsid w:val="00744184"/>
    <w:rsid w:val="0074444D"/>
    <w:rsid w:val="00744483"/>
    <w:rsid w:val="00744833"/>
    <w:rsid w:val="00744B0D"/>
    <w:rsid w:val="007452F8"/>
    <w:rsid w:val="007455E7"/>
    <w:rsid w:val="00745FAF"/>
    <w:rsid w:val="0074608B"/>
    <w:rsid w:val="00746264"/>
    <w:rsid w:val="007462E3"/>
    <w:rsid w:val="007462EE"/>
    <w:rsid w:val="00746512"/>
    <w:rsid w:val="0074671F"/>
    <w:rsid w:val="00746B2F"/>
    <w:rsid w:val="00746BED"/>
    <w:rsid w:val="00746D8C"/>
    <w:rsid w:val="00746FBF"/>
    <w:rsid w:val="007471A4"/>
    <w:rsid w:val="0074736B"/>
    <w:rsid w:val="00747B3E"/>
    <w:rsid w:val="00750336"/>
    <w:rsid w:val="00750687"/>
    <w:rsid w:val="00750B76"/>
    <w:rsid w:val="00750C3B"/>
    <w:rsid w:val="00750D1E"/>
    <w:rsid w:val="007512F1"/>
    <w:rsid w:val="0075143F"/>
    <w:rsid w:val="00751618"/>
    <w:rsid w:val="00751713"/>
    <w:rsid w:val="00751774"/>
    <w:rsid w:val="00751819"/>
    <w:rsid w:val="0075188D"/>
    <w:rsid w:val="00751AD7"/>
    <w:rsid w:val="00751B7B"/>
    <w:rsid w:val="00751C5A"/>
    <w:rsid w:val="00752019"/>
    <w:rsid w:val="007521AE"/>
    <w:rsid w:val="0075220D"/>
    <w:rsid w:val="0075270E"/>
    <w:rsid w:val="0075283E"/>
    <w:rsid w:val="00752B87"/>
    <w:rsid w:val="00752E1C"/>
    <w:rsid w:val="00753178"/>
    <w:rsid w:val="00753A33"/>
    <w:rsid w:val="00753AF2"/>
    <w:rsid w:val="00753C49"/>
    <w:rsid w:val="00753E96"/>
    <w:rsid w:val="00753FC2"/>
    <w:rsid w:val="007542F0"/>
    <w:rsid w:val="007544D7"/>
    <w:rsid w:val="0075458B"/>
    <w:rsid w:val="00754FB8"/>
    <w:rsid w:val="00755234"/>
    <w:rsid w:val="007554AA"/>
    <w:rsid w:val="00755E6A"/>
    <w:rsid w:val="00755F54"/>
    <w:rsid w:val="00756004"/>
    <w:rsid w:val="00756316"/>
    <w:rsid w:val="00756AF8"/>
    <w:rsid w:val="0075716A"/>
    <w:rsid w:val="0075750A"/>
    <w:rsid w:val="0075781A"/>
    <w:rsid w:val="00757AB8"/>
    <w:rsid w:val="00757ADE"/>
    <w:rsid w:val="00757B48"/>
    <w:rsid w:val="0076014D"/>
    <w:rsid w:val="00760443"/>
    <w:rsid w:val="0076070A"/>
    <w:rsid w:val="007609CF"/>
    <w:rsid w:val="00760B5F"/>
    <w:rsid w:val="00760BD8"/>
    <w:rsid w:val="00761242"/>
    <w:rsid w:val="00761737"/>
    <w:rsid w:val="00761B51"/>
    <w:rsid w:val="00761BB4"/>
    <w:rsid w:val="00761C18"/>
    <w:rsid w:val="00761EBB"/>
    <w:rsid w:val="00762726"/>
    <w:rsid w:val="0076273A"/>
    <w:rsid w:val="00762F44"/>
    <w:rsid w:val="0076319F"/>
    <w:rsid w:val="007634DF"/>
    <w:rsid w:val="007634F8"/>
    <w:rsid w:val="00763B15"/>
    <w:rsid w:val="00763D11"/>
    <w:rsid w:val="00763E96"/>
    <w:rsid w:val="00763EE3"/>
    <w:rsid w:val="007640BE"/>
    <w:rsid w:val="007641E7"/>
    <w:rsid w:val="0076497D"/>
    <w:rsid w:val="00764E2A"/>
    <w:rsid w:val="00764F91"/>
    <w:rsid w:val="007657AB"/>
    <w:rsid w:val="007658B4"/>
    <w:rsid w:val="00765B19"/>
    <w:rsid w:val="00765DFA"/>
    <w:rsid w:val="007662C8"/>
    <w:rsid w:val="007664D0"/>
    <w:rsid w:val="00766AAD"/>
    <w:rsid w:val="00766BA1"/>
    <w:rsid w:val="00766E56"/>
    <w:rsid w:val="00767113"/>
    <w:rsid w:val="00767315"/>
    <w:rsid w:val="0076769F"/>
    <w:rsid w:val="00767938"/>
    <w:rsid w:val="00767E78"/>
    <w:rsid w:val="00767F6D"/>
    <w:rsid w:val="007701FD"/>
    <w:rsid w:val="00770368"/>
    <w:rsid w:val="00770664"/>
    <w:rsid w:val="00770781"/>
    <w:rsid w:val="00770CC2"/>
    <w:rsid w:val="00771370"/>
    <w:rsid w:val="0077165F"/>
    <w:rsid w:val="007718BD"/>
    <w:rsid w:val="007719FD"/>
    <w:rsid w:val="00771D30"/>
    <w:rsid w:val="0077200A"/>
    <w:rsid w:val="00772088"/>
    <w:rsid w:val="007720FB"/>
    <w:rsid w:val="00772A43"/>
    <w:rsid w:val="00772CCB"/>
    <w:rsid w:val="00772E31"/>
    <w:rsid w:val="00773305"/>
    <w:rsid w:val="00773696"/>
    <w:rsid w:val="00773732"/>
    <w:rsid w:val="00773767"/>
    <w:rsid w:val="007738F2"/>
    <w:rsid w:val="00773B17"/>
    <w:rsid w:val="00774F6E"/>
    <w:rsid w:val="00774FCB"/>
    <w:rsid w:val="007753B2"/>
    <w:rsid w:val="0077585C"/>
    <w:rsid w:val="00775AE0"/>
    <w:rsid w:val="0077685C"/>
    <w:rsid w:val="00776A89"/>
    <w:rsid w:val="00776BF5"/>
    <w:rsid w:val="00776D4E"/>
    <w:rsid w:val="00777448"/>
    <w:rsid w:val="007777E2"/>
    <w:rsid w:val="00777DA6"/>
    <w:rsid w:val="0078037D"/>
    <w:rsid w:val="00780515"/>
    <w:rsid w:val="00780DC6"/>
    <w:rsid w:val="007810F0"/>
    <w:rsid w:val="007817AC"/>
    <w:rsid w:val="00781A79"/>
    <w:rsid w:val="00781CA9"/>
    <w:rsid w:val="007823E6"/>
    <w:rsid w:val="007828F3"/>
    <w:rsid w:val="00782D00"/>
    <w:rsid w:val="00783027"/>
    <w:rsid w:val="00783637"/>
    <w:rsid w:val="00783EF0"/>
    <w:rsid w:val="00784138"/>
    <w:rsid w:val="007843E7"/>
    <w:rsid w:val="0078447E"/>
    <w:rsid w:val="00784B25"/>
    <w:rsid w:val="007850C2"/>
    <w:rsid w:val="0078573D"/>
    <w:rsid w:val="00785779"/>
    <w:rsid w:val="00785866"/>
    <w:rsid w:val="00785A44"/>
    <w:rsid w:val="00785B70"/>
    <w:rsid w:val="00785C80"/>
    <w:rsid w:val="00785DC4"/>
    <w:rsid w:val="00785ECE"/>
    <w:rsid w:val="00786153"/>
    <w:rsid w:val="0078633B"/>
    <w:rsid w:val="00786371"/>
    <w:rsid w:val="007867E1"/>
    <w:rsid w:val="00786B76"/>
    <w:rsid w:val="00786D98"/>
    <w:rsid w:val="00787119"/>
    <w:rsid w:val="0078739E"/>
    <w:rsid w:val="0078778B"/>
    <w:rsid w:val="007878D4"/>
    <w:rsid w:val="0079048B"/>
    <w:rsid w:val="00790A54"/>
    <w:rsid w:val="00790E03"/>
    <w:rsid w:val="00790E30"/>
    <w:rsid w:val="00791276"/>
    <w:rsid w:val="00791C95"/>
    <w:rsid w:val="00791EEC"/>
    <w:rsid w:val="00792A10"/>
    <w:rsid w:val="00792C5E"/>
    <w:rsid w:val="00792F8A"/>
    <w:rsid w:val="00792FB1"/>
    <w:rsid w:val="00793050"/>
    <w:rsid w:val="007933FB"/>
    <w:rsid w:val="00793428"/>
    <w:rsid w:val="007936E8"/>
    <w:rsid w:val="0079385F"/>
    <w:rsid w:val="00793ABC"/>
    <w:rsid w:val="0079401C"/>
    <w:rsid w:val="00794A57"/>
    <w:rsid w:val="00794A7E"/>
    <w:rsid w:val="00794B0B"/>
    <w:rsid w:val="00794B19"/>
    <w:rsid w:val="00794BC1"/>
    <w:rsid w:val="00794C6F"/>
    <w:rsid w:val="00794D47"/>
    <w:rsid w:val="00794E29"/>
    <w:rsid w:val="00795913"/>
    <w:rsid w:val="00795BFB"/>
    <w:rsid w:val="00796010"/>
    <w:rsid w:val="0079646F"/>
    <w:rsid w:val="00796A15"/>
    <w:rsid w:val="00796C05"/>
    <w:rsid w:val="0079732D"/>
    <w:rsid w:val="00797432"/>
    <w:rsid w:val="007975F8"/>
    <w:rsid w:val="00797600"/>
    <w:rsid w:val="00797798"/>
    <w:rsid w:val="007978A0"/>
    <w:rsid w:val="00797AD8"/>
    <w:rsid w:val="00797B2D"/>
    <w:rsid w:val="007A0A1F"/>
    <w:rsid w:val="007A0A5D"/>
    <w:rsid w:val="007A0DE6"/>
    <w:rsid w:val="007A0F25"/>
    <w:rsid w:val="007A1323"/>
    <w:rsid w:val="007A1324"/>
    <w:rsid w:val="007A149D"/>
    <w:rsid w:val="007A16FE"/>
    <w:rsid w:val="007A1D0F"/>
    <w:rsid w:val="007A1DD1"/>
    <w:rsid w:val="007A2188"/>
    <w:rsid w:val="007A2379"/>
    <w:rsid w:val="007A2D27"/>
    <w:rsid w:val="007A30A5"/>
    <w:rsid w:val="007A3204"/>
    <w:rsid w:val="007A36A8"/>
    <w:rsid w:val="007A399A"/>
    <w:rsid w:val="007A3E56"/>
    <w:rsid w:val="007A3FEE"/>
    <w:rsid w:val="007A403F"/>
    <w:rsid w:val="007A43D1"/>
    <w:rsid w:val="007A476F"/>
    <w:rsid w:val="007A489D"/>
    <w:rsid w:val="007A48C6"/>
    <w:rsid w:val="007A4E25"/>
    <w:rsid w:val="007A4E89"/>
    <w:rsid w:val="007A5305"/>
    <w:rsid w:val="007A541C"/>
    <w:rsid w:val="007A5674"/>
    <w:rsid w:val="007A5BAE"/>
    <w:rsid w:val="007A5D64"/>
    <w:rsid w:val="007A635A"/>
    <w:rsid w:val="007A6609"/>
    <w:rsid w:val="007A6682"/>
    <w:rsid w:val="007A6B4B"/>
    <w:rsid w:val="007A6BDD"/>
    <w:rsid w:val="007A6C27"/>
    <w:rsid w:val="007A71F0"/>
    <w:rsid w:val="007A7204"/>
    <w:rsid w:val="007A7212"/>
    <w:rsid w:val="007A7494"/>
    <w:rsid w:val="007A7575"/>
    <w:rsid w:val="007A77D5"/>
    <w:rsid w:val="007A7815"/>
    <w:rsid w:val="007A7D61"/>
    <w:rsid w:val="007A7E2C"/>
    <w:rsid w:val="007B0082"/>
    <w:rsid w:val="007B02E9"/>
    <w:rsid w:val="007B0536"/>
    <w:rsid w:val="007B0CDC"/>
    <w:rsid w:val="007B0E9C"/>
    <w:rsid w:val="007B1093"/>
    <w:rsid w:val="007B12C8"/>
    <w:rsid w:val="007B1452"/>
    <w:rsid w:val="007B15C5"/>
    <w:rsid w:val="007B173A"/>
    <w:rsid w:val="007B1EFE"/>
    <w:rsid w:val="007B2304"/>
    <w:rsid w:val="007B23EC"/>
    <w:rsid w:val="007B25DF"/>
    <w:rsid w:val="007B2672"/>
    <w:rsid w:val="007B2CD2"/>
    <w:rsid w:val="007B2E39"/>
    <w:rsid w:val="007B2E86"/>
    <w:rsid w:val="007B2EA8"/>
    <w:rsid w:val="007B2EC5"/>
    <w:rsid w:val="007B333F"/>
    <w:rsid w:val="007B3A54"/>
    <w:rsid w:val="007B3C58"/>
    <w:rsid w:val="007B3C5D"/>
    <w:rsid w:val="007B3E3F"/>
    <w:rsid w:val="007B4040"/>
    <w:rsid w:val="007B4791"/>
    <w:rsid w:val="007B49E4"/>
    <w:rsid w:val="007B4DB5"/>
    <w:rsid w:val="007B4F84"/>
    <w:rsid w:val="007B50D4"/>
    <w:rsid w:val="007B5627"/>
    <w:rsid w:val="007B5919"/>
    <w:rsid w:val="007B59C6"/>
    <w:rsid w:val="007B5BFB"/>
    <w:rsid w:val="007B6119"/>
    <w:rsid w:val="007B618B"/>
    <w:rsid w:val="007B631C"/>
    <w:rsid w:val="007B666E"/>
    <w:rsid w:val="007B66F6"/>
    <w:rsid w:val="007B68DF"/>
    <w:rsid w:val="007B690B"/>
    <w:rsid w:val="007B6BA1"/>
    <w:rsid w:val="007B6C15"/>
    <w:rsid w:val="007B7A22"/>
    <w:rsid w:val="007B7A26"/>
    <w:rsid w:val="007B7A66"/>
    <w:rsid w:val="007B7A71"/>
    <w:rsid w:val="007B7BD2"/>
    <w:rsid w:val="007B7C42"/>
    <w:rsid w:val="007B7C4C"/>
    <w:rsid w:val="007B7DC2"/>
    <w:rsid w:val="007B7DD1"/>
    <w:rsid w:val="007C0108"/>
    <w:rsid w:val="007C061E"/>
    <w:rsid w:val="007C0AF3"/>
    <w:rsid w:val="007C0E24"/>
    <w:rsid w:val="007C0F89"/>
    <w:rsid w:val="007C12F6"/>
    <w:rsid w:val="007C15E7"/>
    <w:rsid w:val="007C168C"/>
    <w:rsid w:val="007C1B7B"/>
    <w:rsid w:val="007C224D"/>
    <w:rsid w:val="007C2EAF"/>
    <w:rsid w:val="007C2F0D"/>
    <w:rsid w:val="007C2F7B"/>
    <w:rsid w:val="007C3070"/>
    <w:rsid w:val="007C320C"/>
    <w:rsid w:val="007C370D"/>
    <w:rsid w:val="007C3A87"/>
    <w:rsid w:val="007C3CEC"/>
    <w:rsid w:val="007C4353"/>
    <w:rsid w:val="007C4538"/>
    <w:rsid w:val="007C4914"/>
    <w:rsid w:val="007C4C93"/>
    <w:rsid w:val="007C4CB2"/>
    <w:rsid w:val="007C511A"/>
    <w:rsid w:val="007C51D7"/>
    <w:rsid w:val="007C52FD"/>
    <w:rsid w:val="007C53EC"/>
    <w:rsid w:val="007C5D61"/>
    <w:rsid w:val="007C5E58"/>
    <w:rsid w:val="007C60A4"/>
    <w:rsid w:val="007C6E21"/>
    <w:rsid w:val="007C6E63"/>
    <w:rsid w:val="007C6E76"/>
    <w:rsid w:val="007C769A"/>
    <w:rsid w:val="007C7AF5"/>
    <w:rsid w:val="007C7B0B"/>
    <w:rsid w:val="007C7D87"/>
    <w:rsid w:val="007C7DBD"/>
    <w:rsid w:val="007D0529"/>
    <w:rsid w:val="007D0683"/>
    <w:rsid w:val="007D0824"/>
    <w:rsid w:val="007D08A5"/>
    <w:rsid w:val="007D0E5C"/>
    <w:rsid w:val="007D0F9F"/>
    <w:rsid w:val="007D1155"/>
    <w:rsid w:val="007D188C"/>
    <w:rsid w:val="007D1964"/>
    <w:rsid w:val="007D1BF4"/>
    <w:rsid w:val="007D2171"/>
    <w:rsid w:val="007D21D0"/>
    <w:rsid w:val="007D2412"/>
    <w:rsid w:val="007D2473"/>
    <w:rsid w:val="007D2ACC"/>
    <w:rsid w:val="007D33D2"/>
    <w:rsid w:val="007D36E5"/>
    <w:rsid w:val="007D3B5C"/>
    <w:rsid w:val="007D3D9D"/>
    <w:rsid w:val="007D47DB"/>
    <w:rsid w:val="007D48F8"/>
    <w:rsid w:val="007D49A2"/>
    <w:rsid w:val="007D4EA1"/>
    <w:rsid w:val="007D58A2"/>
    <w:rsid w:val="007D5901"/>
    <w:rsid w:val="007D5B83"/>
    <w:rsid w:val="007D5F39"/>
    <w:rsid w:val="007D6360"/>
    <w:rsid w:val="007D63B4"/>
    <w:rsid w:val="007D64F2"/>
    <w:rsid w:val="007D6A52"/>
    <w:rsid w:val="007D6C0E"/>
    <w:rsid w:val="007D7583"/>
    <w:rsid w:val="007D76A4"/>
    <w:rsid w:val="007D7933"/>
    <w:rsid w:val="007D79A7"/>
    <w:rsid w:val="007D7B41"/>
    <w:rsid w:val="007D7E76"/>
    <w:rsid w:val="007D7F72"/>
    <w:rsid w:val="007E020E"/>
    <w:rsid w:val="007E0310"/>
    <w:rsid w:val="007E0380"/>
    <w:rsid w:val="007E075F"/>
    <w:rsid w:val="007E0B69"/>
    <w:rsid w:val="007E0C09"/>
    <w:rsid w:val="007E139A"/>
    <w:rsid w:val="007E140D"/>
    <w:rsid w:val="007E1656"/>
    <w:rsid w:val="007E1A65"/>
    <w:rsid w:val="007E1E67"/>
    <w:rsid w:val="007E22AC"/>
    <w:rsid w:val="007E2504"/>
    <w:rsid w:val="007E2566"/>
    <w:rsid w:val="007E2588"/>
    <w:rsid w:val="007E283B"/>
    <w:rsid w:val="007E2A2E"/>
    <w:rsid w:val="007E2E6E"/>
    <w:rsid w:val="007E2EC6"/>
    <w:rsid w:val="007E3426"/>
    <w:rsid w:val="007E3767"/>
    <w:rsid w:val="007E37EA"/>
    <w:rsid w:val="007E3C2E"/>
    <w:rsid w:val="007E3C83"/>
    <w:rsid w:val="007E3F43"/>
    <w:rsid w:val="007E415C"/>
    <w:rsid w:val="007E452D"/>
    <w:rsid w:val="007E45EA"/>
    <w:rsid w:val="007E4A93"/>
    <w:rsid w:val="007E55B7"/>
    <w:rsid w:val="007E5A40"/>
    <w:rsid w:val="007E5FBD"/>
    <w:rsid w:val="007E6177"/>
    <w:rsid w:val="007E62DC"/>
    <w:rsid w:val="007E650B"/>
    <w:rsid w:val="007E6C5D"/>
    <w:rsid w:val="007E6CB3"/>
    <w:rsid w:val="007E726D"/>
    <w:rsid w:val="007E7BBC"/>
    <w:rsid w:val="007F031B"/>
    <w:rsid w:val="007F0AB6"/>
    <w:rsid w:val="007F0AFB"/>
    <w:rsid w:val="007F0C6D"/>
    <w:rsid w:val="007F0E44"/>
    <w:rsid w:val="007F0EC6"/>
    <w:rsid w:val="007F13F5"/>
    <w:rsid w:val="007F14F7"/>
    <w:rsid w:val="007F1766"/>
    <w:rsid w:val="007F1A5B"/>
    <w:rsid w:val="007F1A7A"/>
    <w:rsid w:val="007F1C38"/>
    <w:rsid w:val="007F1C84"/>
    <w:rsid w:val="007F2043"/>
    <w:rsid w:val="007F20FC"/>
    <w:rsid w:val="007F228E"/>
    <w:rsid w:val="007F230D"/>
    <w:rsid w:val="007F23E7"/>
    <w:rsid w:val="007F26BC"/>
    <w:rsid w:val="007F2DB4"/>
    <w:rsid w:val="007F2DEC"/>
    <w:rsid w:val="007F327D"/>
    <w:rsid w:val="007F3320"/>
    <w:rsid w:val="007F3372"/>
    <w:rsid w:val="007F33CB"/>
    <w:rsid w:val="007F34D1"/>
    <w:rsid w:val="007F3A57"/>
    <w:rsid w:val="007F3EE5"/>
    <w:rsid w:val="007F42B7"/>
    <w:rsid w:val="007F4338"/>
    <w:rsid w:val="007F43EE"/>
    <w:rsid w:val="007F497A"/>
    <w:rsid w:val="007F502E"/>
    <w:rsid w:val="007F5603"/>
    <w:rsid w:val="007F57E9"/>
    <w:rsid w:val="007F58EF"/>
    <w:rsid w:val="007F5CA1"/>
    <w:rsid w:val="007F61BE"/>
    <w:rsid w:val="007F634A"/>
    <w:rsid w:val="007F6798"/>
    <w:rsid w:val="007F6923"/>
    <w:rsid w:val="007F6BD0"/>
    <w:rsid w:val="007F6D70"/>
    <w:rsid w:val="007F6DAE"/>
    <w:rsid w:val="007F6E2D"/>
    <w:rsid w:val="007F6EDF"/>
    <w:rsid w:val="007F6F5D"/>
    <w:rsid w:val="007F70BF"/>
    <w:rsid w:val="007F71CF"/>
    <w:rsid w:val="007F7587"/>
    <w:rsid w:val="007F7D7C"/>
    <w:rsid w:val="007F7DE6"/>
    <w:rsid w:val="00800400"/>
    <w:rsid w:val="00800461"/>
    <w:rsid w:val="0080098B"/>
    <w:rsid w:val="00800A49"/>
    <w:rsid w:val="0080133C"/>
    <w:rsid w:val="00801452"/>
    <w:rsid w:val="008014D4"/>
    <w:rsid w:val="00801550"/>
    <w:rsid w:val="0080155A"/>
    <w:rsid w:val="0080246F"/>
    <w:rsid w:val="0080247F"/>
    <w:rsid w:val="00802704"/>
    <w:rsid w:val="008032CE"/>
    <w:rsid w:val="00803559"/>
    <w:rsid w:val="00803570"/>
    <w:rsid w:val="008039D1"/>
    <w:rsid w:val="00803B1D"/>
    <w:rsid w:val="00803BF0"/>
    <w:rsid w:val="00803D6A"/>
    <w:rsid w:val="0080440A"/>
    <w:rsid w:val="00804457"/>
    <w:rsid w:val="00804DFD"/>
    <w:rsid w:val="00805373"/>
    <w:rsid w:val="008055C3"/>
    <w:rsid w:val="00805BD5"/>
    <w:rsid w:val="008064CA"/>
    <w:rsid w:val="00806AAF"/>
    <w:rsid w:val="00806B2B"/>
    <w:rsid w:val="0080708D"/>
    <w:rsid w:val="00807A04"/>
    <w:rsid w:val="00807FFD"/>
    <w:rsid w:val="00810500"/>
    <w:rsid w:val="008108A5"/>
    <w:rsid w:val="00810BDA"/>
    <w:rsid w:val="00810C8D"/>
    <w:rsid w:val="00810F49"/>
    <w:rsid w:val="0081108E"/>
    <w:rsid w:val="008111A0"/>
    <w:rsid w:val="008113B7"/>
    <w:rsid w:val="00811520"/>
    <w:rsid w:val="008115D3"/>
    <w:rsid w:val="00811CBA"/>
    <w:rsid w:val="0081211E"/>
    <w:rsid w:val="00812384"/>
    <w:rsid w:val="008125E6"/>
    <w:rsid w:val="00812C50"/>
    <w:rsid w:val="00812FD9"/>
    <w:rsid w:val="00813656"/>
    <w:rsid w:val="00813B39"/>
    <w:rsid w:val="00813B94"/>
    <w:rsid w:val="00813D50"/>
    <w:rsid w:val="00813E0B"/>
    <w:rsid w:val="00813EB7"/>
    <w:rsid w:val="00813F7F"/>
    <w:rsid w:val="00814219"/>
    <w:rsid w:val="008142DF"/>
    <w:rsid w:val="00814575"/>
    <w:rsid w:val="008146D7"/>
    <w:rsid w:val="00814702"/>
    <w:rsid w:val="00814846"/>
    <w:rsid w:val="0081484D"/>
    <w:rsid w:val="008149C7"/>
    <w:rsid w:val="00814E52"/>
    <w:rsid w:val="00814E80"/>
    <w:rsid w:val="00815095"/>
    <w:rsid w:val="008152C5"/>
    <w:rsid w:val="008153FB"/>
    <w:rsid w:val="0081580C"/>
    <w:rsid w:val="00815B7A"/>
    <w:rsid w:val="00815D0E"/>
    <w:rsid w:val="00815D46"/>
    <w:rsid w:val="00815FBE"/>
    <w:rsid w:val="00816042"/>
    <w:rsid w:val="008164FF"/>
    <w:rsid w:val="0081694E"/>
    <w:rsid w:val="00816CA2"/>
    <w:rsid w:val="00816CF6"/>
    <w:rsid w:val="00816FA3"/>
    <w:rsid w:val="008171AF"/>
    <w:rsid w:val="008175BF"/>
    <w:rsid w:val="00817989"/>
    <w:rsid w:val="00817BB1"/>
    <w:rsid w:val="00817CAB"/>
    <w:rsid w:val="008200B2"/>
    <w:rsid w:val="00820102"/>
    <w:rsid w:val="00820226"/>
    <w:rsid w:val="00820468"/>
    <w:rsid w:val="008206E5"/>
    <w:rsid w:val="00820A7B"/>
    <w:rsid w:val="00820CCD"/>
    <w:rsid w:val="00820D0A"/>
    <w:rsid w:val="00820DAC"/>
    <w:rsid w:val="00821015"/>
    <w:rsid w:val="008211A1"/>
    <w:rsid w:val="008214F2"/>
    <w:rsid w:val="008216FA"/>
    <w:rsid w:val="00821A23"/>
    <w:rsid w:val="00821B8C"/>
    <w:rsid w:val="00822461"/>
    <w:rsid w:val="008225DF"/>
    <w:rsid w:val="00822897"/>
    <w:rsid w:val="008229AB"/>
    <w:rsid w:val="0082304E"/>
    <w:rsid w:val="008230F7"/>
    <w:rsid w:val="008232CF"/>
    <w:rsid w:val="008232FE"/>
    <w:rsid w:val="00823348"/>
    <w:rsid w:val="0082376D"/>
    <w:rsid w:val="0082394A"/>
    <w:rsid w:val="00823F13"/>
    <w:rsid w:val="00824138"/>
    <w:rsid w:val="00824295"/>
    <w:rsid w:val="00824579"/>
    <w:rsid w:val="00824CFA"/>
    <w:rsid w:val="00824D96"/>
    <w:rsid w:val="00825107"/>
    <w:rsid w:val="008251A5"/>
    <w:rsid w:val="00825E32"/>
    <w:rsid w:val="008260FE"/>
    <w:rsid w:val="0082616C"/>
    <w:rsid w:val="0082626C"/>
    <w:rsid w:val="008263D1"/>
    <w:rsid w:val="0082670F"/>
    <w:rsid w:val="00827634"/>
    <w:rsid w:val="0082771A"/>
    <w:rsid w:val="008277AB"/>
    <w:rsid w:val="008277B3"/>
    <w:rsid w:val="008277F0"/>
    <w:rsid w:val="008278FD"/>
    <w:rsid w:val="008279EC"/>
    <w:rsid w:val="008300FD"/>
    <w:rsid w:val="0083089E"/>
    <w:rsid w:val="00830DD2"/>
    <w:rsid w:val="00830E7E"/>
    <w:rsid w:val="00831018"/>
    <w:rsid w:val="0083103A"/>
    <w:rsid w:val="00831151"/>
    <w:rsid w:val="00831503"/>
    <w:rsid w:val="0083188B"/>
    <w:rsid w:val="00831DD4"/>
    <w:rsid w:val="00832B8E"/>
    <w:rsid w:val="00832BEF"/>
    <w:rsid w:val="00832CE3"/>
    <w:rsid w:val="00833333"/>
    <w:rsid w:val="008338E0"/>
    <w:rsid w:val="0083391F"/>
    <w:rsid w:val="008339C1"/>
    <w:rsid w:val="00833A10"/>
    <w:rsid w:val="00833C3B"/>
    <w:rsid w:val="00833F0A"/>
    <w:rsid w:val="00834B07"/>
    <w:rsid w:val="00834D5F"/>
    <w:rsid w:val="00834F67"/>
    <w:rsid w:val="00835A92"/>
    <w:rsid w:val="0083626A"/>
    <w:rsid w:val="00836329"/>
    <w:rsid w:val="0083647C"/>
    <w:rsid w:val="008368BB"/>
    <w:rsid w:val="00836CF7"/>
    <w:rsid w:val="00836DA8"/>
    <w:rsid w:val="00836F68"/>
    <w:rsid w:val="00837249"/>
    <w:rsid w:val="00837432"/>
    <w:rsid w:val="008379B8"/>
    <w:rsid w:val="00837B71"/>
    <w:rsid w:val="00837D0E"/>
    <w:rsid w:val="008401C6"/>
    <w:rsid w:val="008404DE"/>
    <w:rsid w:val="0084098A"/>
    <w:rsid w:val="00840DB1"/>
    <w:rsid w:val="008410A5"/>
    <w:rsid w:val="008413B9"/>
    <w:rsid w:val="008414EE"/>
    <w:rsid w:val="008415F3"/>
    <w:rsid w:val="0084173D"/>
    <w:rsid w:val="00841A85"/>
    <w:rsid w:val="008420A7"/>
    <w:rsid w:val="0084212A"/>
    <w:rsid w:val="00842B54"/>
    <w:rsid w:val="00842BD5"/>
    <w:rsid w:val="00842C6F"/>
    <w:rsid w:val="00842DDA"/>
    <w:rsid w:val="00842EDC"/>
    <w:rsid w:val="00843016"/>
    <w:rsid w:val="0084316C"/>
    <w:rsid w:val="00843519"/>
    <w:rsid w:val="00843701"/>
    <w:rsid w:val="00843C47"/>
    <w:rsid w:val="00843EA2"/>
    <w:rsid w:val="0084428F"/>
    <w:rsid w:val="008447EA"/>
    <w:rsid w:val="00844987"/>
    <w:rsid w:val="008449E5"/>
    <w:rsid w:val="00844EA3"/>
    <w:rsid w:val="00844FC8"/>
    <w:rsid w:val="00845085"/>
    <w:rsid w:val="0084557F"/>
    <w:rsid w:val="00845774"/>
    <w:rsid w:val="008457DA"/>
    <w:rsid w:val="00845B0B"/>
    <w:rsid w:val="00846244"/>
    <w:rsid w:val="008462C0"/>
    <w:rsid w:val="008466BF"/>
    <w:rsid w:val="00846773"/>
    <w:rsid w:val="00846DE4"/>
    <w:rsid w:val="00846E13"/>
    <w:rsid w:val="00846E15"/>
    <w:rsid w:val="0084745E"/>
    <w:rsid w:val="008479A0"/>
    <w:rsid w:val="00847AAA"/>
    <w:rsid w:val="00847C8F"/>
    <w:rsid w:val="00847F52"/>
    <w:rsid w:val="00847FE0"/>
    <w:rsid w:val="00850469"/>
    <w:rsid w:val="00850529"/>
    <w:rsid w:val="00850795"/>
    <w:rsid w:val="008507D7"/>
    <w:rsid w:val="00850962"/>
    <w:rsid w:val="00850A67"/>
    <w:rsid w:val="00850AF1"/>
    <w:rsid w:val="0085140F"/>
    <w:rsid w:val="00851473"/>
    <w:rsid w:val="008514BA"/>
    <w:rsid w:val="00851547"/>
    <w:rsid w:val="00851721"/>
    <w:rsid w:val="00851854"/>
    <w:rsid w:val="00851B2D"/>
    <w:rsid w:val="00851B59"/>
    <w:rsid w:val="00851DA6"/>
    <w:rsid w:val="00851E60"/>
    <w:rsid w:val="008522AA"/>
    <w:rsid w:val="00852EF4"/>
    <w:rsid w:val="00853027"/>
    <w:rsid w:val="00853045"/>
    <w:rsid w:val="008533A3"/>
    <w:rsid w:val="0085377B"/>
    <w:rsid w:val="00853D49"/>
    <w:rsid w:val="008546AB"/>
    <w:rsid w:val="00854791"/>
    <w:rsid w:val="00854DA0"/>
    <w:rsid w:val="00854F88"/>
    <w:rsid w:val="008550E2"/>
    <w:rsid w:val="0085515A"/>
    <w:rsid w:val="00855250"/>
    <w:rsid w:val="008552E7"/>
    <w:rsid w:val="0085579B"/>
    <w:rsid w:val="0085602B"/>
    <w:rsid w:val="008567EA"/>
    <w:rsid w:val="00856876"/>
    <w:rsid w:val="00856A02"/>
    <w:rsid w:val="00856A93"/>
    <w:rsid w:val="00856B21"/>
    <w:rsid w:val="00856BE2"/>
    <w:rsid w:val="00856FB9"/>
    <w:rsid w:val="0085780F"/>
    <w:rsid w:val="00857AAC"/>
    <w:rsid w:val="00857CE0"/>
    <w:rsid w:val="00857FE9"/>
    <w:rsid w:val="00860013"/>
    <w:rsid w:val="00860027"/>
    <w:rsid w:val="00860076"/>
    <w:rsid w:val="0086046E"/>
    <w:rsid w:val="0086054F"/>
    <w:rsid w:val="00860969"/>
    <w:rsid w:val="00860AE6"/>
    <w:rsid w:val="00860B6F"/>
    <w:rsid w:val="00860BEC"/>
    <w:rsid w:val="00860C5D"/>
    <w:rsid w:val="00860DD3"/>
    <w:rsid w:val="00860E57"/>
    <w:rsid w:val="00860EC4"/>
    <w:rsid w:val="00860F30"/>
    <w:rsid w:val="00861390"/>
    <w:rsid w:val="008619AE"/>
    <w:rsid w:val="00861B40"/>
    <w:rsid w:val="00861D5F"/>
    <w:rsid w:val="00861F90"/>
    <w:rsid w:val="008627A5"/>
    <w:rsid w:val="00862C0E"/>
    <w:rsid w:val="00862D95"/>
    <w:rsid w:val="00862F2B"/>
    <w:rsid w:val="00863033"/>
    <w:rsid w:val="0086319F"/>
    <w:rsid w:val="0086330B"/>
    <w:rsid w:val="00863422"/>
    <w:rsid w:val="00863A83"/>
    <w:rsid w:val="00863F46"/>
    <w:rsid w:val="008640C1"/>
    <w:rsid w:val="0086458B"/>
    <w:rsid w:val="00864855"/>
    <w:rsid w:val="008649D6"/>
    <w:rsid w:val="00864CF7"/>
    <w:rsid w:val="008651B9"/>
    <w:rsid w:val="008655C1"/>
    <w:rsid w:val="008657B3"/>
    <w:rsid w:val="00865868"/>
    <w:rsid w:val="00865927"/>
    <w:rsid w:val="00865BAF"/>
    <w:rsid w:val="00866781"/>
    <w:rsid w:val="008669DE"/>
    <w:rsid w:val="00866D3A"/>
    <w:rsid w:val="0086785A"/>
    <w:rsid w:val="00867CE0"/>
    <w:rsid w:val="00867F40"/>
    <w:rsid w:val="008700D7"/>
    <w:rsid w:val="008707BC"/>
    <w:rsid w:val="00870C29"/>
    <w:rsid w:val="00870DD8"/>
    <w:rsid w:val="0087117E"/>
    <w:rsid w:val="0087118A"/>
    <w:rsid w:val="00871234"/>
    <w:rsid w:val="00871748"/>
    <w:rsid w:val="00871808"/>
    <w:rsid w:val="00871A12"/>
    <w:rsid w:val="00871B57"/>
    <w:rsid w:val="00872675"/>
    <w:rsid w:val="00873184"/>
    <w:rsid w:val="00873187"/>
    <w:rsid w:val="0087357B"/>
    <w:rsid w:val="00873753"/>
    <w:rsid w:val="0087386A"/>
    <w:rsid w:val="00873B09"/>
    <w:rsid w:val="00873FAB"/>
    <w:rsid w:val="0087410E"/>
    <w:rsid w:val="00874961"/>
    <w:rsid w:val="00874968"/>
    <w:rsid w:val="00874F15"/>
    <w:rsid w:val="0087504F"/>
    <w:rsid w:val="00875129"/>
    <w:rsid w:val="008754F1"/>
    <w:rsid w:val="008759F2"/>
    <w:rsid w:val="00875DC7"/>
    <w:rsid w:val="00876248"/>
    <w:rsid w:val="008762E4"/>
    <w:rsid w:val="00876841"/>
    <w:rsid w:val="008769E8"/>
    <w:rsid w:val="00877235"/>
    <w:rsid w:val="00877733"/>
    <w:rsid w:val="008777A8"/>
    <w:rsid w:val="008777BB"/>
    <w:rsid w:val="00877986"/>
    <w:rsid w:val="008779CD"/>
    <w:rsid w:val="00877CE4"/>
    <w:rsid w:val="00877D8E"/>
    <w:rsid w:val="00877DCD"/>
    <w:rsid w:val="00877FE8"/>
    <w:rsid w:val="0088022A"/>
    <w:rsid w:val="008807D6"/>
    <w:rsid w:val="0088099C"/>
    <w:rsid w:val="00880D87"/>
    <w:rsid w:val="0088142F"/>
    <w:rsid w:val="008814B3"/>
    <w:rsid w:val="008815D7"/>
    <w:rsid w:val="008828AB"/>
    <w:rsid w:val="008828FA"/>
    <w:rsid w:val="00882BDA"/>
    <w:rsid w:val="00882C7F"/>
    <w:rsid w:val="00882DD8"/>
    <w:rsid w:val="00883310"/>
    <w:rsid w:val="0088385B"/>
    <w:rsid w:val="00883B81"/>
    <w:rsid w:val="008840D4"/>
    <w:rsid w:val="00884133"/>
    <w:rsid w:val="0088413C"/>
    <w:rsid w:val="0088458C"/>
    <w:rsid w:val="00884A3A"/>
    <w:rsid w:val="00884EB1"/>
    <w:rsid w:val="00884F70"/>
    <w:rsid w:val="008850E2"/>
    <w:rsid w:val="008851E2"/>
    <w:rsid w:val="008858A1"/>
    <w:rsid w:val="00885A1D"/>
    <w:rsid w:val="00885AA0"/>
    <w:rsid w:val="00885E51"/>
    <w:rsid w:val="00885EFE"/>
    <w:rsid w:val="008862C5"/>
    <w:rsid w:val="00886374"/>
    <w:rsid w:val="008863FE"/>
    <w:rsid w:val="00886960"/>
    <w:rsid w:val="00886CB4"/>
    <w:rsid w:val="00886D16"/>
    <w:rsid w:val="00886ED9"/>
    <w:rsid w:val="00887064"/>
    <w:rsid w:val="008872D7"/>
    <w:rsid w:val="00887410"/>
    <w:rsid w:val="00887C93"/>
    <w:rsid w:val="00887E7D"/>
    <w:rsid w:val="00890264"/>
    <w:rsid w:val="008904B1"/>
    <w:rsid w:val="008907EB"/>
    <w:rsid w:val="008909F9"/>
    <w:rsid w:val="00890D7B"/>
    <w:rsid w:val="00890E67"/>
    <w:rsid w:val="008910D0"/>
    <w:rsid w:val="0089152A"/>
    <w:rsid w:val="00891696"/>
    <w:rsid w:val="00891CA8"/>
    <w:rsid w:val="00891D36"/>
    <w:rsid w:val="00892666"/>
    <w:rsid w:val="00892705"/>
    <w:rsid w:val="00892AA4"/>
    <w:rsid w:val="00893223"/>
    <w:rsid w:val="008935A8"/>
    <w:rsid w:val="00893845"/>
    <w:rsid w:val="00893858"/>
    <w:rsid w:val="00893D8C"/>
    <w:rsid w:val="00894ABF"/>
    <w:rsid w:val="00894B38"/>
    <w:rsid w:val="00894C1E"/>
    <w:rsid w:val="00895246"/>
    <w:rsid w:val="008956DB"/>
    <w:rsid w:val="0089590E"/>
    <w:rsid w:val="00895943"/>
    <w:rsid w:val="00895D54"/>
    <w:rsid w:val="008960CF"/>
    <w:rsid w:val="00896242"/>
    <w:rsid w:val="00896567"/>
    <w:rsid w:val="00896ADF"/>
    <w:rsid w:val="00896C6A"/>
    <w:rsid w:val="00896D1C"/>
    <w:rsid w:val="00897283"/>
    <w:rsid w:val="00897571"/>
    <w:rsid w:val="0089783A"/>
    <w:rsid w:val="00897894"/>
    <w:rsid w:val="00897A09"/>
    <w:rsid w:val="008A0572"/>
    <w:rsid w:val="008A05E4"/>
    <w:rsid w:val="008A0689"/>
    <w:rsid w:val="008A06D6"/>
    <w:rsid w:val="008A0A05"/>
    <w:rsid w:val="008A0A1C"/>
    <w:rsid w:val="008A0A9A"/>
    <w:rsid w:val="008A10C2"/>
    <w:rsid w:val="008A1121"/>
    <w:rsid w:val="008A13C4"/>
    <w:rsid w:val="008A1D42"/>
    <w:rsid w:val="008A1F04"/>
    <w:rsid w:val="008A1FB3"/>
    <w:rsid w:val="008A219C"/>
    <w:rsid w:val="008A241D"/>
    <w:rsid w:val="008A2754"/>
    <w:rsid w:val="008A2836"/>
    <w:rsid w:val="008A28FF"/>
    <w:rsid w:val="008A2F53"/>
    <w:rsid w:val="008A30B0"/>
    <w:rsid w:val="008A3255"/>
    <w:rsid w:val="008A356A"/>
    <w:rsid w:val="008A3594"/>
    <w:rsid w:val="008A3632"/>
    <w:rsid w:val="008A38C9"/>
    <w:rsid w:val="008A3BD7"/>
    <w:rsid w:val="008A3CED"/>
    <w:rsid w:val="008A3EC5"/>
    <w:rsid w:val="008A3FBA"/>
    <w:rsid w:val="008A4044"/>
    <w:rsid w:val="008A4159"/>
    <w:rsid w:val="008A4184"/>
    <w:rsid w:val="008A41A8"/>
    <w:rsid w:val="008A4432"/>
    <w:rsid w:val="008A44A6"/>
    <w:rsid w:val="008A476B"/>
    <w:rsid w:val="008A4816"/>
    <w:rsid w:val="008A4C31"/>
    <w:rsid w:val="008A4E87"/>
    <w:rsid w:val="008A586E"/>
    <w:rsid w:val="008A62BB"/>
    <w:rsid w:val="008A66B9"/>
    <w:rsid w:val="008A67E9"/>
    <w:rsid w:val="008A6840"/>
    <w:rsid w:val="008A6940"/>
    <w:rsid w:val="008A6B7F"/>
    <w:rsid w:val="008A6EE9"/>
    <w:rsid w:val="008A6FAB"/>
    <w:rsid w:val="008A70CB"/>
    <w:rsid w:val="008A71A0"/>
    <w:rsid w:val="008A7279"/>
    <w:rsid w:val="008A737C"/>
    <w:rsid w:val="008A7916"/>
    <w:rsid w:val="008B05F9"/>
    <w:rsid w:val="008B085A"/>
    <w:rsid w:val="008B091F"/>
    <w:rsid w:val="008B0BE2"/>
    <w:rsid w:val="008B0C2F"/>
    <w:rsid w:val="008B0D8D"/>
    <w:rsid w:val="008B157B"/>
    <w:rsid w:val="008B1647"/>
    <w:rsid w:val="008B17F0"/>
    <w:rsid w:val="008B1B5D"/>
    <w:rsid w:val="008B2433"/>
    <w:rsid w:val="008B2693"/>
    <w:rsid w:val="008B2CF3"/>
    <w:rsid w:val="008B2DF1"/>
    <w:rsid w:val="008B2FE4"/>
    <w:rsid w:val="008B3219"/>
    <w:rsid w:val="008B32B2"/>
    <w:rsid w:val="008B3C1B"/>
    <w:rsid w:val="008B3D1D"/>
    <w:rsid w:val="008B4342"/>
    <w:rsid w:val="008B495D"/>
    <w:rsid w:val="008B4A5C"/>
    <w:rsid w:val="008B4CDD"/>
    <w:rsid w:val="008B5A78"/>
    <w:rsid w:val="008B5AAE"/>
    <w:rsid w:val="008B5DE2"/>
    <w:rsid w:val="008B5E7C"/>
    <w:rsid w:val="008B659C"/>
    <w:rsid w:val="008B68D3"/>
    <w:rsid w:val="008B6D4E"/>
    <w:rsid w:val="008B73CB"/>
    <w:rsid w:val="008B749A"/>
    <w:rsid w:val="008B74A5"/>
    <w:rsid w:val="008B7553"/>
    <w:rsid w:val="008B7C4B"/>
    <w:rsid w:val="008C02E8"/>
    <w:rsid w:val="008C0559"/>
    <w:rsid w:val="008C058E"/>
    <w:rsid w:val="008C06AB"/>
    <w:rsid w:val="008C079A"/>
    <w:rsid w:val="008C0AEB"/>
    <w:rsid w:val="008C1421"/>
    <w:rsid w:val="008C15A1"/>
    <w:rsid w:val="008C16F9"/>
    <w:rsid w:val="008C1A6B"/>
    <w:rsid w:val="008C1B69"/>
    <w:rsid w:val="008C1BA4"/>
    <w:rsid w:val="008C2025"/>
    <w:rsid w:val="008C22BE"/>
    <w:rsid w:val="008C25AE"/>
    <w:rsid w:val="008C25B6"/>
    <w:rsid w:val="008C262A"/>
    <w:rsid w:val="008C26CC"/>
    <w:rsid w:val="008C2741"/>
    <w:rsid w:val="008C289B"/>
    <w:rsid w:val="008C292E"/>
    <w:rsid w:val="008C2A88"/>
    <w:rsid w:val="008C2DEB"/>
    <w:rsid w:val="008C3045"/>
    <w:rsid w:val="008C3706"/>
    <w:rsid w:val="008C3843"/>
    <w:rsid w:val="008C3EC4"/>
    <w:rsid w:val="008C41E4"/>
    <w:rsid w:val="008C44F8"/>
    <w:rsid w:val="008C4655"/>
    <w:rsid w:val="008C4692"/>
    <w:rsid w:val="008C4C0A"/>
    <w:rsid w:val="008C4FE0"/>
    <w:rsid w:val="008C5541"/>
    <w:rsid w:val="008C5589"/>
    <w:rsid w:val="008C56A5"/>
    <w:rsid w:val="008C5D9C"/>
    <w:rsid w:val="008C62EC"/>
    <w:rsid w:val="008C645F"/>
    <w:rsid w:val="008C6638"/>
    <w:rsid w:val="008C675C"/>
    <w:rsid w:val="008C6D39"/>
    <w:rsid w:val="008C6EF1"/>
    <w:rsid w:val="008C7004"/>
    <w:rsid w:val="008C7053"/>
    <w:rsid w:val="008C7142"/>
    <w:rsid w:val="008C7337"/>
    <w:rsid w:val="008C76CA"/>
    <w:rsid w:val="008C772D"/>
    <w:rsid w:val="008C7EEF"/>
    <w:rsid w:val="008D02D2"/>
    <w:rsid w:val="008D032F"/>
    <w:rsid w:val="008D08BA"/>
    <w:rsid w:val="008D0B0A"/>
    <w:rsid w:val="008D1240"/>
    <w:rsid w:val="008D15E4"/>
    <w:rsid w:val="008D1BD9"/>
    <w:rsid w:val="008D1C7E"/>
    <w:rsid w:val="008D1C84"/>
    <w:rsid w:val="008D1CE9"/>
    <w:rsid w:val="008D2219"/>
    <w:rsid w:val="008D23D9"/>
    <w:rsid w:val="008D24F0"/>
    <w:rsid w:val="008D2719"/>
    <w:rsid w:val="008D2978"/>
    <w:rsid w:val="008D2CCA"/>
    <w:rsid w:val="008D2ECE"/>
    <w:rsid w:val="008D3155"/>
    <w:rsid w:val="008D3310"/>
    <w:rsid w:val="008D374F"/>
    <w:rsid w:val="008D3763"/>
    <w:rsid w:val="008D38BB"/>
    <w:rsid w:val="008D399A"/>
    <w:rsid w:val="008D3DA6"/>
    <w:rsid w:val="008D42E8"/>
    <w:rsid w:val="008D44A8"/>
    <w:rsid w:val="008D475E"/>
    <w:rsid w:val="008D48C2"/>
    <w:rsid w:val="008D4F58"/>
    <w:rsid w:val="008D50ED"/>
    <w:rsid w:val="008D52BE"/>
    <w:rsid w:val="008D570B"/>
    <w:rsid w:val="008D57AB"/>
    <w:rsid w:val="008D5873"/>
    <w:rsid w:val="008D5893"/>
    <w:rsid w:val="008D5D3D"/>
    <w:rsid w:val="008D5E20"/>
    <w:rsid w:val="008D5EE7"/>
    <w:rsid w:val="008D6289"/>
    <w:rsid w:val="008D64CE"/>
    <w:rsid w:val="008D6554"/>
    <w:rsid w:val="008D6AAB"/>
    <w:rsid w:val="008D6B4C"/>
    <w:rsid w:val="008D6FC6"/>
    <w:rsid w:val="008D716D"/>
    <w:rsid w:val="008D726F"/>
    <w:rsid w:val="008D7588"/>
    <w:rsid w:val="008D7899"/>
    <w:rsid w:val="008D7AA2"/>
    <w:rsid w:val="008E01F4"/>
    <w:rsid w:val="008E0608"/>
    <w:rsid w:val="008E060C"/>
    <w:rsid w:val="008E0742"/>
    <w:rsid w:val="008E07E5"/>
    <w:rsid w:val="008E0FD4"/>
    <w:rsid w:val="008E0FF8"/>
    <w:rsid w:val="008E1265"/>
    <w:rsid w:val="008E1E96"/>
    <w:rsid w:val="008E1EC8"/>
    <w:rsid w:val="008E1F2A"/>
    <w:rsid w:val="008E20C3"/>
    <w:rsid w:val="008E22BC"/>
    <w:rsid w:val="008E244D"/>
    <w:rsid w:val="008E291B"/>
    <w:rsid w:val="008E2A2E"/>
    <w:rsid w:val="008E2ED7"/>
    <w:rsid w:val="008E2F35"/>
    <w:rsid w:val="008E3029"/>
    <w:rsid w:val="008E3E28"/>
    <w:rsid w:val="008E3EE4"/>
    <w:rsid w:val="008E4398"/>
    <w:rsid w:val="008E44BE"/>
    <w:rsid w:val="008E4FF0"/>
    <w:rsid w:val="008E52B9"/>
    <w:rsid w:val="008E58D8"/>
    <w:rsid w:val="008E5C87"/>
    <w:rsid w:val="008E619C"/>
    <w:rsid w:val="008E65B9"/>
    <w:rsid w:val="008E6995"/>
    <w:rsid w:val="008E707A"/>
    <w:rsid w:val="008E70B7"/>
    <w:rsid w:val="008E724B"/>
    <w:rsid w:val="008E7287"/>
    <w:rsid w:val="008E752D"/>
    <w:rsid w:val="008E7558"/>
    <w:rsid w:val="008E7691"/>
    <w:rsid w:val="008E7808"/>
    <w:rsid w:val="008E7AC5"/>
    <w:rsid w:val="008E7CFD"/>
    <w:rsid w:val="008E7E0F"/>
    <w:rsid w:val="008E7E39"/>
    <w:rsid w:val="008E7F22"/>
    <w:rsid w:val="008F034D"/>
    <w:rsid w:val="008F0A59"/>
    <w:rsid w:val="008F0E83"/>
    <w:rsid w:val="008F107D"/>
    <w:rsid w:val="008F10F2"/>
    <w:rsid w:val="008F11CA"/>
    <w:rsid w:val="008F2207"/>
    <w:rsid w:val="008F236E"/>
    <w:rsid w:val="008F2696"/>
    <w:rsid w:val="008F2903"/>
    <w:rsid w:val="008F2B74"/>
    <w:rsid w:val="008F3371"/>
    <w:rsid w:val="008F3475"/>
    <w:rsid w:val="008F3B2C"/>
    <w:rsid w:val="008F3C4A"/>
    <w:rsid w:val="008F3DBE"/>
    <w:rsid w:val="008F3DEF"/>
    <w:rsid w:val="008F406B"/>
    <w:rsid w:val="008F43B7"/>
    <w:rsid w:val="008F4663"/>
    <w:rsid w:val="008F4769"/>
    <w:rsid w:val="008F49C6"/>
    <w:rsid w:val="008F4BAB"/>
    <w:rsid w:val="008F4D02"/>
    <w:rsid w:val="008F51BC"/>
    <w:rsid w:val="008F554F"/>
    <w:rsid w:val="008F56C8"/>
    <w:rsid w:val="008F57EB"/>
    <w:rsid w:val="008F5A61"/>
    <w:rsid w:val="008F5B7E"/>
    <w:rsid w:val="008F5D04"/>
    <w:rsid w:val="008F60E9"/>
    <w:rsid w:val="008F67C6"/>
    <w:rsid w:val="008F6D05"/>
    <w:rsid w:val="008F750B"/>
    <w:rsid w:val="008F7586"/>
    <w:rsid w:val="008F7A56"/>
    <w:rsid w:val="008F7E13"/>
    <w:rsid w:val="00900CA5"/>
    <w:rsid w:val="009013B7"/>
    <w:rsid w:val="009013F0"/>
    <w:rsid w:val="00901DB6"/>
    <w:rsid w:val="00902763"/>
    <w:rsid w:val="00902870"/>
    <w:rsid w:val="00902922"/>
    <w:rsid w:val="00903573"/>
    <w:rsid w:val="009035D3"/>
    <w:rsid w:val="00903AAA"/>
    <w:rsid w:val="00903C9E"/>
    <w:rsid w:val="00904035"/>
    <w:rsid w:val="0090421A"/>
    <w:rsid w:val="009044F5"/>
    <w:rsid w:val="0090457E"/>
    <w:rsid w:val="00904634"/>
    <w:rsid w:val="00904734"/>
    <w:rsid w:val="009047B3"/>
    <w:rsid w:val="009049E8"/>
    <w:rsid w:val="00904CE8"/>
    <w:rsid w:val="0090524F"/>
    <w:rsid w:val="00905603"/>
    <w:rsid w:val="00905858"/>
    <w:rsid w:val="00905E37"/>
    <w:rsid w:val="009060AB"/>
    <w:rsid w:val="00906470"/>
    <w:rsid w:val="00906659"/>
    <w:rsid w:val="0090665C"/>
    <w:rsid w:val="00906792"/>
    <w:rsid w:val="00906A05"/>
    <w:rsid w:val="00906C03"/>
    <w:rsid w:val="00906CB1"/>
    <w:rsid w:val="00906CED"/>
    <w:rsid w:val="00906FAF"/>
    <w:rsid w:val="009070FC"/>
    <w:rsid w:val="00907216"/>
    <w:rsid w:val="0090738C"/>
    <w:rsid w:val="00907919"/>
    <w:rsid w:val="00907AE3"/>
    <w:rsid w:val="00907C6C"/>
    <w:rsid w:val="00907E83"/>
    <w:rsid w:val="009104D0"/>
    <w:rsid w:val="00910930"/>
    <w:rsid w:val="00910B47"/>
    <w:rsid w:val="00910D64"/>
    <w:rsid w:val="00910E56"/>
    <w:rsid w:val="009111B9"/>
    <w:rsid w:val="009114CF"/>
    <w:rsid w:val="009115C9"/>
    <w:rsid w:val="00911B32"/>
    <w:rsid w:val="00911B8A"/>
    <w:rsid w:val="00911E50"/>
    <w:rsid w:val="00911F62"/>
    <w:rsid w:val="009120C4"/>
    <w:rsid w:val="00912836"/>
    <w:rsid w:val="009128CF"/>
    <w:rsid w:val="009128D7"/>
    <w:rsid w:val="00912BCE"/>
    <w:rsid w:val="00912C98"/>
    <w:rsid w:val="009134D6"/>
    <w:rsid w:val="009137A5"/>
    <w:rsid w:val="009137B0"/>
    <w:rsid w:val="0091384B"/>
    <w:rsid w:val="00913902"/>
    <w:rsid w:val="00913E4B"/>
    <w:rsid w:val="00913F33"/>
    <w:rsid w:val="009146C9"/>
    <w:rsid w:val="00914740"/>
    <w:rsid w:val="00914E0D"/>
    <w:rsid w:val="009158AE"/>
    <w:rsid w:val="00915C30"/>
    <w:rsid w:val="00915CAD"/>
    <w:rsid w:val="00915EA8"/>
    <w:rsid w:val="0091602B"/>
    <w:rsid w:val="0091620A"/>
    <w:rsid w:val="00916459"/>
    <w:rsid w:val="00916B6A"/>
    <w:rsid w:val="00916B90"/>
    <w:rsid w:val="00916D0F"/>
    <w:rsid w:val="00916ED4"/>
    <w:rsid w:val="0091744B"/>
    <w:rsid w:val="009175C9"/>
    <w:rsid w:val="009179DE"/>
    <w:rsid w:val="00917A9D"/>
    <w:rsid w:val="009205A9"/>
    <w:rsid w:val="009207A0"/>
    <w:rsid w:val="009209AF"/>
    <w:rsid w:val="00920A55"/>
    <w:rsid w:val="00920FC6"/>
    <w:rsid w:val="009210EF"/>
    <w:rsid w:val="00921163"/>
    <w:rsid w:val="0092118E"/>
    <w:rsid w:val="009212B1"/>
    <w:rsid w:val="009213AB"/>
    <w:rsid w:val="009213B0"/>
    <w:rsid w:val="009216AB"/>
    <w:rsid w:val="00921950"/>
    <w:rsid w:val="00921DE7"/>
    <w:rsid w:val="00921E0E"/>
    <w:rsid w:val="009221A8"/>
    <w:rsid w:val="0092299A"/>
    <w:rsid w:val="00922AB4"/>
    <w:rsid w:val="00922B8C"/>
    <w:rsid w:val="00923368"/>
    <w:rsid w:val="009234F7"/>
    <w:rsid w:val="0092356B"/>
    <w:rsid w:val="00923767"/>
    <w:rsid w:val="0092381E"/>
    <w:rsid w:val="009239E9"/>
    <w:rsid w:val="00923A55"/>
    <w:rsid w:val="0092424A"/>
    <w:rsid w:val="00924FB4"/>
    <w:rsid w:val="00925996"/>
    <w:rsid w:val="00925C6C"/>
    <w:rsid w:val="00925CE3"/>
    <w:rsid w:val="0092600E"/>
    <w:rsid w:val="0092604E"/>
    <w:rsid w:val="009261AF"/>
    <w:rsid w:val="00926254"/>
    <w:rsid w:val="0092655A"/>
    <w:rsid w:val="0092670A"/>
    <w:rsid w:val="00926770"/>
    <w:rsid w:val="009267A8"/>
    <w:rsid w:val="0092696F"/>
    <w:rsid w:val="00926D0D"/>
    <w:rsid w:val="00927048"/>
    <w:rsid w:val="00927557"/>
    <w:rsid w:val="00927639"/>
    <w:rsid w:val="009279E6"/>
    <w:rsid w:val="00927C85"/>
    <w:rsid w:val="00927D3D"/>
    <w:rsid w:val="00927DCF"/>
    <w:rsid w:val="0093002E"/>
    <w:rsid w:val="009300D2"/>
    <w:rsid w:val="00930746"/>
    <w:rsid w:val="009308DC"/>
    <w:rsid w:val="0093091F"/>
    <w:rsid w:val="00930A0F"/>
    <w:rsid w:val="00930D82"/>
    <w:rsid w:val="00930F3B"/>
    <w:rsid w:val="00930FDA"/>
    <w:rsid w:val="00931200"/>
    <w:rsid w:val="00931411"/>
    <w:rsid w:val="009318B6"/>
    <w:rsid w:val="009318BC"/>
    <w:rsid w:val="009322E5"/>
    <w:rsid w:val="00932791"/>
    <w:rsid w:val="0093287F"/>
    <w:rsid w:val="00932893"/>
    <w:rsid w:val="00932B03"/>
    <w:rsid w:val="00932B45"/>
    <w:rsid w:val="00932BDD"/>
    <w:rsid w:val="009335A3"/>
    <w:rsid w:val="009336AC"/>
    <w:rsid w:val="009337C5"/>
    <w:rsid w:val="0093384E"/>
    <w:rsid w:val="00933A4D"/>
    <w:rsid w:val="00933F8F"/>
    <w:rsid w:val="009341AB"/>
    <w:rsid w:val="0093475A"/>
    <w:rsid w:val="00934B76"/>
    <w:rsid w:val="00934D4F"/>
    <w:rsid w:val="00934E4C"/>
    <w:rsid w:val="00934EC0"/>
    <w:rsid w:val="00934ED1"/>
    <w:rsid w:val="0093510A"/>
    <w:rsid w:val="0093536C"/>
    <w:rsid w:val="00935487"/>
    <w:rsid w:val="00936118"/>
    <w:rsid w:val="009361DA"/>
    <w:rsid w:val="009365FD"/>
    <w:rsid w:val="00936700"/>
    <w:rsid w:val="009367E6"/>
    <w:rsid w:val="00936B0D"/>
    <w:rsid w:val="00936D43"/>
    <w:rsid w:val="00936DAE"/>
    <w:rsid w:val="00936E2E"/>
    <w:rsid w:val="00937709"/>
    <w:rsid w:val="0093773C"/>
    <w:rsid w:val="00937772"/>
    <w:rsid w:val="009377AC"/>
    <w:rsid w:val="0093795A"/>
    <w:rsid w:val="00937F0D"/>
    <w:rsid w:val="009405E6"/>
    <w:rsid w:val="00940942"/>
    <w:rsid w:val="00940BD8"/>
    <w:rsid w:val="00940C8B"/>
    <w:rsid w:val="00940FB9"/>
    <w:rsid w:val="0094125B"/>
    <w:rsid w:val="00941309"/>
    <w:rsid w:val="009414AD"/>
    <w:rsid w:val="00941668"/>
    <w:rsid w:val="0094166C"/>
    <w:rsid w:val="00941709"/>
    <w:rsid w:val="0094182E"/>
    <w:rsid w:val="00941C2D"/>
    <w:rsid w:val="00942156"/>
    <w:rsid w:val="00942561"/>
    <w:rsid w:val="009426A9"/>
    <w:rsid w:val="009429C8"/>
    <w:rsid w:val="00943784"/>
    <w:rsid w:val="00943938"/>
    <w:rsid w:val="00943C01"/>
    <w:rsid w:val="00944038"/>
    <w:rsid w:val="00944207"/>
    <w:rsid w:val="00944579"/>
    <w:rsid w:val="00944A76"/>
    <w:rsid w:val="00944C8D"/>
    <w:rsid w:val="00944ECB"/>
    <w:rsid w:val="00945045"/>
    <w:rsid w:val="009452F1"/>
    <w:rsid w:val="009457F5"/>
    <w:rsid w:val="009462B4"/>
    <w:rsid w:val="0094636B"/>
    <w:rsid w:val="009465FE"/>
    <w:rsid w:val="00946887"/>
    <w:rsid w:val="00946A63"/>
    <w:rsid w:val="0094701C"/>
    <w:rsid w:val="009471F3"/>
    <w:rsid w:val="00947226"/>
    <w:rsid w:val="00947739"/>
    <w:rsid w:val="00947994"/>
    <w:rsid w:val="00947A88"/>
    <w:rsid w:val="00947B3B"/>
    <w:rsid w:val="0095004D"/>
    <w:rsid w:val="00950809"/>
    <w:rsid w:val="00950B4E"/>
    <w:rsid w:val="00950EDD"/>
    <w:rsid w:val="009512DC"/>
    <w:rsid w:val="009513E1"/>
    <w:rsid w:val="009515BB"/>
    <w:rsid w:val="00952045"/>
    <w:rsid w:val="00952158"/>
    <w:rsid w:val="009528FF"/>
    <w:rsid w:val="00952A02"/>
    <w:rsid w:val="00952B2D"/>
    <w:rsid w:val="00952CF4"/>
    <w:rsid w:val="00952F25"/>
    <w:rsid w:val="00953181"/>
    <w:rsid w:val="00953408"/>
    <w:rsid w:val="00953470"/>
    <w:rsid w:val="00953481"/>
    <w:rsid w:val="009534E9"/>
    <w:rsid w:val="00953601"/>
    <w:rsid w:val="00953AAC"/>
    <w:rsid w:val="00953CD8"/>
    <w:rsid w:val="009543D4"/>
    <w:rsid w:val="0095448C"/>
    <w:rsid w:val="00954827"/>
    <w:rsid w:val="00954B7A"/>
    <w:rsid w:val="00954C5F"/>
    <w:rsid w:val="00954E08"/>
    <w:rsid w:val="009553B1"/>
    <w:rsid w:val="009554E7"/>
    <w:rsid w:val="009559C7"/>
    <w:rsid w:val="00955B76"/>
    <w:rsid w:val="00955BF4"/>
    <w:rsid w:val="00955C3E"/>
    <w:rsid w:val="009563C4"/>
    <w:rsid w:val="009563E7"/>
    <w:rsid w:val="0095667E"/>
    <w:rsid w:val="00956948"/>
    <w:rsid w:val="00956A63"/>
    <w:rsid w:val="00956B02"/>
    <w:rsid w:val="0095750B"/>
    <w:rsid w:val="0095754B"/>
    <w:rsid w:val="009575D0"/>
    <w:rsid w:val="0095786A"/>
    <w:rsid w:val="009579F5"/>
    <w:rsid w:val="00957B82"/>
    <w:rsid w:val="00957BD1"/>
    <w:rsid w:val="00957E23"/>
    <w:rsid w:val="00957EC7"/>
    <w:rsid w:val="00957FA5"/>
    <w:rsid w:val="00960028"/>
    <w:rsid w:val="009600FE"/>
    <w:rsid w:val="009607B2"/>
    <w:rsid w:val="00960EF3"/>
    <w:rsid w:val="009611D6"/>
    <w:rsid w:val="00961413"/>
    <w:rsid w:val="009616E0"/>
    <w:rsid w:val="009616EB"/>
    <w:rsid w:val="00962587"/>
    <w:rsid w:val="00962887"/>
    <w:rsid w:val="009635BE"/>
    <w:rsid w:val="00963A0F"/>
    <w:rsid w:val="00963CA7"/>
    <w:rsid w:val="009640DB"/>
    <w:rsid w:val="009648B1"/>
    <w:rsid w:val="00964A44"/>
    <w:rsid w:val="00964B28"/>
    <w:rsid w:val="00964BE0"/>
    <w:rsid w:val="0096530E"/>
    <w:rsid w:val="0096556F"/>
    <w:rsid w:val="00965A2B"/>
    <w:rsid w:val="00965A62"/>
    <w:rsid w:val="00965AFD"/>
    <w:rsid w:val="0096621E"/>
    <w:rsid w:val="00966940"/>
    <w:rsid w:val="00966989"/>
    <w:rsid w:val="00966D0E"/>
    <w:rsid w:val="009672A3"/>
    <w:rsid w:val="0096752B"/>
    <w:rsid w:val="00967655"/>
    <w:rsid w:val="009676D3"/>
    <w:rsid w:val="0096792E"/>
    <w:rsid w:val="00967CBF"/>
    <w:rsid w:val="00967D82"/>
    <w:rsid w:val="00967E0F"/>
    <w:rsid w:val="009703FF"/>
    <w:rsid w:val="0097053C"/>
    <w:rsid w:val="00971087"/>
    <w:rsid w:val="009711B9"/>
    <w:rsid w:val="009713F1"/>
    <w:rsid w:val="009714C0"/>
    <w:rsid w:val="00971C63"/>
    <w:rsid w:val="00971C78"/>
    <w:rsid w:val="00971E7B"/>
    <w:rsid w:val="00972082"/>
    <w:rsid w:val="0097297B"/>
    <w:rsid w:val="00972B2E"/>
    <w:rsid w:val="00972B78"/>
    <w:rsid w:val="00972D90"/>
    <w:rsid w:val="009732C6"/>
    <w:rsid w:val="009738A9"/>
    <w:rsid w:val="00973DF6"/>
    <w:rsid w:val="00974172"/>
    <w:rsid w:val="00974619"/>
    <w:rsid w:val="00974745"/>
    <w:rsid w:val="00974C10"/>
    <w:rsid w:val="00974C94"/>
    <w:rsid w:val="00974DF5"/>
    <w:rsid w:val="0097508A"/>
    <w:rsid w:val="0097510E"/>
    <w:rsid w:val="00975332"/>
    <w:rsid w:val="009753B9"/>
    <w:rsid w:val="009758DD"/>
    <w:rsid w:val="00975BDE"/>
    <w:rsid w:val="00975E89"/>
    <w:rsid w:val="00976535"/>
    <w:rsid w:val="0097672C"/>
    <w:rsid w:val="00976CFD"/>
    <w:rsid w:val="00976E1B"/>
    <w:rsid w:val="009771F8"/>
    <w:rsid w:val="00977320"/>
    <w:rsid w:val="009777AD"/>
    <w:rsid w:val="0097793E"/>
    <w:rsid w:val="00977AA9"/>
    <w:rsid w:val="00977F0B"/>
    <w:rsid w:val="00980815"/>
    <w:rsid w:val="009809D2"/>
    <w:rsid w:val="00980B42"/>
    <w:rsid w:val="00980BD8"/>
    <w:rsid w:val="009810B2"/>
    <w:rsid w:val="009814C0"/>
    <w:rsid w:val="00981675"/>
    <w:rsid w:val="00981893"/>
    <w:rsid w:val="00981BB8"/>
    <w:rsid w:val="00981C03"/>
    <w:rsid w:val="00981C83"/>
    <w:rsid w:val="00981D68"/>
    <w:rsid w:val="00981FFC"/>
    <w:rsid w:val="0098210C"/>
    <w:rsid w:val="009821AE"/>
    <w:rsid w:val="00982478"/>
    <w:rsid w:val="0098279E"/>
    <w:rsid w:val="009827D3"/>
    <w:rsid w:val="0098285A"/>
    <w:rsid w:val="00982885"/>
    <w:rsid w:val="0098333D"/>
    <w:rsid w:val="009839FA"/>
    <w:rsid w:val="00983C59"/>
    <w:rsid w:val="00983CCB"/>
    <w:rsid w:val="00984138"/>
    <w:rsid w:val="00984685"/>
    <w:rsid w:val="009848A1"/>
    <w:rsid w:val="00984CCD"/>
    <w:rsid w:val="009850C4"/>
    <w:rsid w:val="009853B7"/>
    <w:rsid w:val="00985746"/>
    <w:rsid w:val="009857EE"/>
    <w:rsid w:val="0098597E"/>
    <w:rsid w:val="00985C55"/>
    <w:rsid w:val="00985E17"/>
    <w:rsid w:val="009862F7"/>
    <w:rsid w:val="009864FD"/>
    <w:rsid w:val="00986690"/>
    <w:rsid w:val="00986D3E"/>
    <w:rsid w:val="00986F7A"/>
    <w:rsid w:val="009877BA"/>
    <w:rsid w:val="009878B3"/>
    <w:rsid w:val="009903FC"/>
    <w:rsid w:val="00990592"/>
    <w:rsid w:val="00990D53"/>
    <w:rsid w:val="0099174C"/>
    <w:rsid w:val="00991A28"/>
    <w:rsid w:val="00991A7F"/>
    <w:rsid w:val="00992290"/>
    <w:rsid w:val="009925B4"/>
    <w:rsid w:val="00992602"/>
    <w:rsid w:val="009928C1"/>
    <w:rsid w:val="00992A69"/>
    <w:rsid w:val="009931A9"/>
    <w:rsid w:val="00993929"/>
    <w:rsid w:val="00993CA3"/>
    <w:rsid w:val="00993E9F"/>
    <w:rsid w:val="00993F79"/>
    <w:rsid w:val="0099417C"/>
    <w:rsid w:val="009944BB"/>
    <w:rsid w:val="009944E5"/>
    <w:rsid w:val="00994CBD"/>
    <w:rsid w:val="009952DC"/>
    <w:rsid w:val="00995775"/>
    <w:rsid w:val="00995BB3"/>
    <w:rsid w:val="00996074"/>
    <w:rsid w:val="009960F7"/>
    <w:rsid w:val="00996401"/>
    <w:rsid w:val="009965AF"/>
    <w:rsid w:val="00996602"/>
    <w:rsid w:val="00996A5B"/>
    <w:rsid w:val="00996A7E"/>
    <w:rsid w:val="009974A0"/>
    <w:rsid w:val="009975BB"/>
    <w:rsid w:val="009975E7"/>
    <w:rsid w:val="009977C5"/>
    <w:rsid w:val="00997B6B"/>
    <w:rsid w:val="00997C03"/>
    <w:rsid w:val="00997C74"/>
    <w:rsid w:val="009A0459"/>
    <w:rsid w:val="009A0528"/>
    <w:rsid w:val="009A06E0"/>
    <w:rsid w:val="009A09E1"/>
    <w:rsid w:val="009A0BE2"/>
    <w:rsid w:val="009A0DEC"/>
    <w:rsid w:val="009A0ED0"/>
    <w:rsid w:val="009A0F8C"/>
    <w:rsid w:val="009A1249"/>
    <w:rsid w:val="009A1308"/>
    <w:rsid w:val="009A1B6C"/>
    <w:rsid w:val="009A1BEF"/>
    <w:rsid w:val="009A1D04"/>
    <w:rsid w:val="009A2381"/>
    <w:rsid w:val="009A23CD"/>
    <w:rsid w:val="009A26AE"/>
    <w:rsid w:val="009A2745"/>
    <w:rsid w:val="009A288B"/>
    <w:rsid w:val="009A28F9"/>
    <w:rsid w:val="009A2921"/>
    <w:rsid w:val="009A2B14"/>
    <w:rsid w:val="009A3634"/>
    <w:rsid w:val="009A3714"/>
    <w:rsid w:val="009A3808"/>
    <w:rsid w:val="009A3CF7"/>
    <w:rsid w:val="009A3F4E"/>
    <w:rsid w:val="009A406B"/>
    <w:rsid w:val="009A4125"/>
    <w:rsid w:val="009A4246"/>
    <w:rsid w:val="009A4614"/>
    <w:rsid w:val="009A4663"/>
    <w:rsid w:val="009A4849"/>
    <w:rsid w:val="009A4ADB"/>
    <w:rsid w:val="009A4BB4"/>
    <w:rsid w:val="009A4C7C"/>
    <w:rsid w:val="009A4CBA"/>
    <w:rsid w:val="009A4CC1"/>
    <w:rsid w:val="009A4FDD"/>
    <w:rsid w:val="009A5338"/>
    <w:rsid w:val="009A5542"/>
    <w:rsid w:val="009A5905"/>
    <w:rsid w:val="009A5919"/>
    <w:rsid w:val="009A591F"/>
    <w:rsid w:val="009A5DC8"/>
    <w:rsid w:val="009A60AC"/>
    <w:rsid w:val="009A60E7"/>
    <w:rsid w:val="009A6615"/>
    <w:rsid w:val="009A6636"/>
    <w:rsid w:val="009A6769"/>
    <w:rsid w:val="009A67B8"/>
    <w:rsid w:val="009A6A04"/>
    <w:rsid w:val="009A7414"/>
    <w:rsid w:val="009A7611"/>
    <w:rsid w:val="009A7DA6"/>
    <w:rsid w:val="009B0465"/>
    <w:rsid w:val="009B0470"/>
    <w:rsid w:val="009B09D0"/>
    <w:rsid w:val="009B0A03"/>
    <w:rsid w:val="009B144D"/>
    <w:rsid w:val="009B14D9"/>
    <w:rsid w:val="009B170B"/>
    <w:rsid w:val="009B172D"/>
    <w:rsid w:val="009B1854"/>
    <w:rsid w:val="009B18E0"/>
    <w:rsid w:val="009B19B7"/>
    <w:rsid w:val="009B21CA"/>
    <w:rsid w:val="009B2212"/>
    <w:rsid w:val="009B2449"/>
    <w:rsid w:val="009B2787"/>
    <w:rsid w:val="009B2840"/>
    <w:rsid w:val="009B2B09"/>
    <w:rsid w:val="009B2BB0"/>
    <w:rsid w:val="009B2C79"/>
    <w:rsid w:val="009B2D63"/>
    <w:rsid w:val="009B2E42"/>
    <w:rsid w:val="009B303A"/>
    <w:rsid w:val="009B305C"/>
    <w:rsid w:val="009B31BE"/>
    <w:rsid w:val="009B347A"/>
    <w:rsid w:val="009B39BA"/>
    <w:rsid w:val="009B3ACC"/>
    <w:rsid w:val="009B3E97"/>
    <w:rsid w:val="009B41F6"/>
    <w:rsid w:val="009B427F"/>
    <w:rsid w:val="009B4353"/>
    <w:rsid w:val="009B449C"/>
    <w:rsid w:val="009B4BEC"/>
    <w:rsid w:val="009B4CCB"/>
    <w:rsid w:val="009B5086"/>
    <w:rsid w:val="009B5CB6"/>
    <w:rsid w:val="009B5FB6"/>
    <w:rsid w:val="009B60F4"/>
    <w:rsid w:val="009B65B2"/>
    <w:rsid w:val="009B66FC"/>
    <w:rsid w:val="009B70BF"/>
    <w:rsid w:val="009B7375"/>
    <w:rsid w:val="009B780C"/>
    <w:rsid w:val="009B7C00"/>
    <w:rsid w:val="009B7E1A"/>
    <w:rsid w:val="009C0068"/>
    <w:rsid w:val="009C00F1"/>
    <w:rsid w:val="009C015F"/>
    <w:rsid w:val="009C01A3"/>
    <w:rsid w:val="009C07AD"/>
    <w:rsid w:val="009C0941"/>
    <w:rsid w:val="009C0CEF"/>
    <w:rsid w:val="009C0E5A"/>
    <w:rsid w:val="009C0F07"/>
    <w:rsid w:val="009C101E"/>
    <w:rsid w:val="009C11BE"/>
    <w:rsid w:val="009C1443"/>
    <w:rsid w:val="009C1561"/>
    <w:rsid w:val="009C18EF"/>
    <w:rsid w:val="009C1C2C"/>
    <w:rsid w:val="009C1D58"/>
    <w:rsid w:val="009C1F02"/>
    <w:rsid w:val="009C1F1B"/>
    <w:rsid w:val="009C2257"/>
    <w:rsid w:val="009C22FC"/>
    <w:rsid w:val="009C2443"/>
    <w:rsid w:val="009C2966"/>
    <w:rsid w:val="009C2A05"/>
    <w:rsid w:val="009C2C6A"/>
    <w:rsid w:val="009C2F11"/>
    <w:rsid w:val="009C3693"/>
    <w:rsid w:val="009C3FB4"/>
    <w:rsid w:val="009C414F"/>
    <w:rsid w:val="009C45CB"/>
    <w:rsid w:val="009C4A0F"/>
    <w:rsid w:val="009C4A3C"/>
    <w:rsid w:val="009C5016"/>
    <w:rsid w:val="009C5305"/>
    <w:rsid w:val="009C54CF"/>
    <w:rsid w:val="009C55E8"/>
    <w:rsid w:val="009C5646"/>
    <w:rsid w:val="009C580E"/>
    <w:rsid w:val="009C5C32"/>
    <w:rsid w:val="009C5D0E"/>
    <w:rsid w:val="009C6084"/>
    <w:rsid w:val="009C633D"/>
    <w:rsid w:val="009C6651"/>
    <w:rsid w:val="009C672B"/>
    <w:rsid w:val="009C67CD"/>
    <w:rsid w:val="009C6A3E"/>
    <w:rsid w:val="009C6BB4"/>
    <w:rsid w:val="009C71E1"/>
    <w:rsid w:val="009C7342"/>
    <w:rsid w:val="009C7CD4"/>
    <w:rsid w:val="009C7D2D"/>
    <w:rsid w:val="009C7E02"/>
    <w:rsid w:val="009C7F93"/>
    <w:rsid w:val="009D0073"/>
    <w:rsid w:val="009D00D4"/>
    <w:rsid w:val="009D0386"/>
    <w:rsid w:val="009D03EB"/>
    <w:rsid w:val="009D05B2"/>
    <w:rsid w:val="009D0676"/>
    <w:rsid w:val="009D081B"/>
    <w:rsid w:val="009D08F6"/>
    <w:rsid w:val="009D0A84"/>
    <w:rsid w:val="009D0E6A"/>
    <w:rsid w:val="009D0EE2"/>
    <w:rsid w:val="009D125E"/>
    <w:rsid w:val="009D15F1"/>
    <w:rsid w:val="009D165A"/>
    <w:rsid w:val="009D20BA"/>
    <w:rsid w:val="009D2A40"/>
    <w:rsid w:val="009D2B37"/>
    <w:rsid w:val="009D2B39"/>
    <w:rsid w:val="009D2BB5"/>
    <w:rsid w:val="009D2BEC"/>
    <w:rsid w:val="009D30CA"/>
    <w:rsid w:val="009D32AD"/>
    <w:rsid w:val="009D34E7"/>
    <w:rsid w:val="009D3D36"/>
    <w:rsid w:val="009D3F91"/>
    <w:rsid w:val="009D450C"/>
    <w:rsid w:val="009D460C"/>
    <w:rsid w:val="009D4884"/>
    <w:rsid w:val="009D4CD3"/>
    <w:rsid w:val="009D4DAA"/>
    <w:rsid w:val="009D51D9"/>
    <w:rsid w:val="009D52EB"/>
    <w:rsid w:val="009D5993"/>
    <w:rsid w:val="009D59CE"/>
    <w:rsid w:val="009D5E36"/>
    <w:rsid w:val="009D61B8"/>
    <w:rsid w:val="009D645B"/>
    <w:rsid w:val="009D6C4C"/>
    <w:rsid w:val="009D6FD3"/>
    <w:rsid w:val="009D71E3"/>
    <w:rsid w:val="009D75F8"/>
    <w:rsid w:val="009D7942"/>
    <w:rsid w:val="009D7EAA"/>
    <w:rsid w:val="009D7F83"/>
    <w:rsid w:val="009E00F5"/>
    <w:rsid w:val="009E094D"/>
    <w:rsid w:val="009E0D42"/>
    <w:rsid w:val="009E139A"/>
    <w:rsid w:val="009E13A6"/>
    <w:rsid w:val="009E143B"/>
    <w:rsid w:val="009E1608"/>
    <w:rsid w:val="009E16AF"/>
    <w:rsid w:val="009E1900"/>
    <w:rsid w:val="009E1D6E"/>
    <w:rsid w:val="009E1ED6"/>
    <w:rsid w:val="009E1F6D"/>
    <w:rsid w:val="009E2B38"/>
    <w:rsid w:val="009E2C1D"/>
    <w:rsid w:val="009E2EA4"/>
    <w:rsid w:val="009E3209"/>
    <w:rsid w:val="009E3389"/>
    <w:rsid w:val="009E3527"/>
    <w:rsid w:val="009E3598"/>
    <w:rsid w:val="009E373C"/>
    <w:rsid w:val="009E3E5F"/>
    <w:rsid w:val="009E3E7B"/>
    <w:rsid w:val="009E3F47"/>
    <w:rsid w:val="009E3FF1"/>
    <w:rsid w:val="009E42B0"/>
    <w:rsid w:val="009E4405"/>
    <w:rsid w:val="009E4439"/>
    <w:rsid w:val="009E466D"/>
    <w:rsid w:val="009E47BD"/>
    <w:rsid w:val="009E50C1"/>
    <w:rsid w:val="009E526D"/>
    <w:rsid w:val="009E5556"/>
    <w:rsid w:val="009E597A"/>
    <w:rsid w:val="009E5FAB"/>
    <w:rsid w:val="009E61D7"/>
    <w:rsid w:val="009E6581"/>
    <w:rsid w:val="009E6658"/>
    <w:rsid w:val="009E6697"/>
    <w:rsid w:val="009E6E39"/>
    <w:rsid w:val="009E6F03"/>
    <w:rsid w:val="009E6F94"/>
    <w:rsid w:val="009E6FC4"/>
    <w:rsid w:val="009E7162"/>
    <w:rsid w:val="009E7428"/>
    <w:rsid w:val="009E7FFD"/>
    <w:rsid w:val="009F030F"/>
    <w:rsid w:val="009F055F"/>
    <w:rsid w:val="009F07DF"/>
    <w:rsid w:val="009F0C2E"/>
    <w:rsid w:val="009F1473"/>
    <w:rsid w:val="009F150B"/>
    <w:rsid w:val="009F1730"/>
    <w:rsid w:val="009F173F"/>
    <w:rsid w:val="009F1A77"/>
    <w:rsid w:val="009F1D83"/>
    <w:rsid w:val="009F234D"/>
    <w:rsid w:val="009F2369"/>
    <w:rsid w:val="009F2B1E"/>
    <w:rsid w:val="009F2E96"/>
    <w:rsid w:val="009F31FF"/>
    <w:rsid w:val="009F3293"/>
    <w:rsid w:val="009F344B"/>
    <w:rsid w:val="009F3611"/>
    <w:rsid w:val="009F3710"/>
    <w:rsid w:val="009F3A9F"/>
    <w:rsid w:val="009F490F"/>
    <w:rsid w:val="009F4F98"/>
    <w:rsid w:val="009F5260"/>
    <w:rsid w:val="009F5557"/>
    <w:rsid w:val="009F5880"/>
    <w:rsid w:val="009F58E4"/>
    <w:rsid w:val="009F5E90"/>
    <w:rsid w:val="009F5FCA"/>
    <w:rsid w:val="009F605D"/>
    <w:rsid w:val="009F64A2"/>
    <w:rsid w:val="009F669B"/>
    <w:rsid w:val="009F6C64"/>
    <w:rsid w:val="009F6CE5"/>
    <w:rsid w:val="009F7249"/>
    <w:rsid w:val="009F7483"/>
    <w:rsid w:val="009F75A5"/>
    <w:rsid w:val="009F7AE5"/>
    <w:rsid w:val="00A005D2"/>
    <w:rsid w:val="00A005DE"/>
    <w:rsid w:val="00A00973"/>
    <w:rsid w:val="00A00A47"/>
    <w:rsid w:val="00A00CFA"/>
    <w:rsid w:val="00A00CFE"/>
    <w:rsid w:val="00A010C5"/>
    <w:rsid w:val="00A01A28"/>
    <w:rsid w:val="00A021FD"/>
    <w:rsid w:val="00A02535"/>
    <w:rsid w:val="00A02540"/>
    <w:rsid w:val="00A02DF1"/>
    <w:rsid w:val="00A0313C"/>
    <w:rsid w:val="00A03769"/>
    <w:rsid w:val="00A03BD0"/>
    <w:rsid w:val="00A040F0"/>
    <w:rsid w:val="00A0444B"/>
    <w:rsid w:val="00A04556"/>
    <w:rsid w:val="00A04560"/>
    <w:rsid w:val="00A04D50"/>
    <w:rsid w:val="00A04F39"/>
    <w:rsid w:val="00A05121"/>
    <w:rsid w:val="00A05390"/>
    <w:rsid w:val="00A054BA"/>
    <w:rsid w:val="00A055F4"/>
    <w:rsid w:val="00A0576A"/>
    <w:rsid w:val="00A0584F"/>
    <w:rsid w:val="00A05BAB"/>
    <w:rsid w:val="00A05EC3"/>
    <w:rsid w:val="00A06194"/>
    <w:rsid w:val="00A06261"/>
    <w:rsid w:val="00A0654E"/>
    <w:rsid w:val="00A06B5B"/>
    <w:rsid w:val="00A06BE0"/>
    <w:rsid w:val="00A06C80"/>
    <w:rsid w:val="00A0710A"/>
    <w:rsid w:val="00A07164"/>
    <w:rsid w:val="00A0728C"/>
    <w:rsid w:val="00A07A9C"/>
    <w:rsid w:val="00A1007C"/>
    <w:rsid w:val="00A10C47"/>
    <w:rsid w:val="00A11518"/>
    <w:rsid w:val="00A116FF"/>
    <w:rsid w:val="00A118C6"/>
    <w:rsid w:val="00A123A8"/>
    <w:rsid w:val="00A1244E"/>
    <w:rsid w:val="00A124EB"/>
    <w:rsid w:val="00A1297C"/>
    <w:rsid w:val="00A1298D"/>
    <w:rsid w:val="00A12B40"/>
    <w:rsid w:val="00A12BA1"/>
    <w:rsid w:val="00A1311C"/>
    <w:rsid w:val="00A1314A"/>
    <w:rsid w:val="00A13256"/>
    <w:rsid w:val="00A13584"/>
    <w:rsid w:val="00A135B8"/>
    <w:rsid w:val="00A1381D"/>
    <w:rsid w:val="00A13830"/>
    <w:rsid w:val="00A13CD3"/>
    <w:rsid w:val="00A13CE9"/>
    <w:rsid w:val="00A1404A"/>
    <w:rsid w:val="00A1415E"/>
    <w:rsid w:val="00A148B2"/>
    <w:rsid w:val="00A14963"/>
    <w:rsid w:val="00A14B3F"/>
    <w:rsid w:val="00A15014"/>
    <w:rsid w:val="00A15155"/>
    <w:rsid w:val="00A15174"/>
    <w:rsid w:val="00A153F3"/>
    <w:rsid w:val="00A15717"/>
    <w:rsid w:val="00A15A10"/>
    <w:rsid w:val="00A15FB7"/>
    <w:rsid w:val="00A1601B"/>
    <w:rsid w:val="00A1625A"/>
    <w:rsid w:val="00A163AA"/>
    <w:rsid w:val="00A164F9"/>
    <w:rsid w:val="00A165C6"/>
    <w:rsid w:val="00A167A0"/>
    <w:rsid w:val="00A16FE6"/>
    <w:rsid w:val="00A174B8"/>
    <w:rsid w:val="00A179E4"/>
    <w:rsid w:val="00A17D00"/>
    <w:rsid w:val="00A2007F"/>
    <w:rsid w:val="00A20223"/>
    <w:rsid w:val="00A20865"/>
    <w:rsid w:val="00A20891"/>
    <w:rsid w:val="00A20896"/>
    <w:rsid w:val="00A21406"/>
    <w:rsid w:val="00A215DC"/>
    <w:rsid w:val="00A21D0A"/>
    <w:rsid w:val="00A2233D"/>
    <w:rsid w:val="00A225F0"/>
    <w:rsid w:val="00A227FF"/>
    <w:rsid w:val="00A22836"/>
    <w:rsid w:val="00A22ABC"/>
    <w:rsid w:val="00A22F29"/>
    <w:rsid w:val="00A2311D"/>
    <w:rsid w:val="00A2316C"/>
    <w:rsid w:val="00A234BD"/>
    <w:rsid w:val="00A234FB"/>
    <w:rsid w:val="00A2351E"/>
    <w:rsid w:val="00A23565"/>
    <w:rsid w:val="00A2363E"/>
    <w:rsid w:val="00A23D56"/>
    <w:rsid w:val="00A2409E"/>
    <w:rsid w:val="00A24152"/>
    <w:rsid w:val="00A241D2"/>
    <w:rsid w:val="00A24563"/>
    <w:rsid w:val="00A245A1"/>
    <w:rsid w:val="00A2480B"/>
    <w:rsid w:val="00A248BB"/>
    <w:rsid w:val="00A24AFE"/>
    <w:rsid w:val="00A25027"/>
    <w:rsid w:val="00A25079"/>
    <w:rsid w:val="00A25145"/>
    <w:rsid w:val="00A25F7A"/>
    <w:rsid w:val="00A26401"/>
    <w:rsid w:val="00A2652F"/>
    <w:rsid w:val="00A26ADA"/>
    <w:rsid w:val="00A26E3C"/>
    <w:rsid w:val="00A27138"/>
    <w:rsid w:val="00A275D5"/>
    <w:rsid w:val="00A27612"/>
    <w:rsid w:val="00A278CC"/>
    <w:rsid w:val="00A2796C"/>
    <w:rsid w:val="00A27CFC"/>
    <w:rsid w:val="00A27D11"/>
    <w:rsid w:val="00A27D5B"/>
    <w:rsid w:val="00A3037D"/>
    <w:rsid w:val="00A30C8F"/>
    <w:rsid w:val="00A31215"/>
    <w:rsid w:val="00A3162F"/>
    <w:rsid w:val="00A318E4"/>
    <w:rsid w:val="00A31E23"/>
    <w:rsid w:val="00A32B48"/>
    <w:rsid w:val="00A32D66"/>
    <w:rsid w:val="00A32DB1"/>
    <w:rsid w:val="00A32EBE"/>
    <w:rsid w:val="00A32FBE"/>
    <w:rsid w:val="00A3329D"/>
    <w:rsid w:val="00A33445"/>
    <w:rsid w:val="00A338D4"/>
    <w:rsid w:val="00A33C97"/>
    <w:rsid w:val="00A33CA8"/>
    <w:rsid w:val="00A33E18"/>
    <w:rsid w:val="00A34030"/>
    <w:rsid w:val="00A34178"/>
    <w:rsid w:val="00A345F3"/>
    <w:rsid w:val="00A34641"/>
    <w:rsid w:val="00A35128"/>
    <w:rsid w:val="00A351AB"/>
    <w:rsid w:val="00A35701"/>
    <w:rsid w:val="00A35702"/>
    <w:rsid w:val="00A357AD"/>
    <w:rsid w:val="00A35999"/>
    <w:rsid w:val="00A35C7E"/>
    <w:rsid w:val="00A35D20"/>
    <w:rsid w:val="00A35D51"/>
    <w:rsid w:val="00A360A9"/>
    <w:rsid w:val="00A362CA"/>
    <w:rsid w:val="00A36604"/>
    <w:rsid w:val="00A367E3"/>
    <w:rsid w:val="00A36AB5"/>
    <w:rsid w:val="00A36E18"/>
    <w:rsid w:val="00A36EF0"/>
    <w:rsid w:val="00A3703A"/>
    <w:rsid w:val="00A377BC"/>
    <w:rsid w:val="00A37E9D"/>
    <w:rsid w:val="00A4052D"/>
    <w:rsid w:val="00A4076D"/>
    <w:rsid w:val="00A408A0"/>
    <w:rsid w:val="00A40DE9"/>
    <w:rsid w:val="00A40E42"/>
    <w:rsid w:val="00A40F8A"/>
    <w:rsid w:val="00A410EE"/>
    <w:rsid w:val="00A411A3"/>
    <w:rsid w:val="00A41252"/>
    <w:rsid w:val="00A413BE"/>
    <w:rsid w:val="00A41FEF"/>
    <w:rsid w:val="00A42922"/>
    <w:rsid w:val="00A42F7A"/>
    <w:rsid w:val="00A4314B"/>
    <w:rsid w:val="00A4331B"/>
    <w:rsid w:val="00A4345C"/>
    <w:rsid w:val="00A43956"/>
    <w:rsid w:val="00A439A5"/>
    <w:rsid w:val="00A43ACE"/>
    <w:rsid w:val="00A43B02"/>
    <w:rsid w:val="00A43BC0"/>
    <w:rsid w:val="00A43CD4"/>
    <w:rsid w:val="00A43DBA"/>
    <w:rsid w:val="00A440DA"/>
    <w:rsid w:val="00A4451D"/>
    <w:rsid w:val="00A44591"/>
    <w:rsid w:val="00A44973"/>
    <w:rsid w:val="00A44E24"/>
    <w:rsid w:val="00A45312"/>
    <w:rsid w:val="00A4595A"/>
    <w:rsid w:val="00A45B3D"/>
    <w:rsid w:val="00A45C8D"/>
    <w:rsid w:val="00A46039"/>
    <w:rsid w:val="00A4636C"/>
    <w:rsid w:val="00A46749"/>
    <w:rsid w:val="00A46D84"/>
    <w:rsid w:val="00A472CD"/>
    <w:rsid w:val="00A475EC"/>
    <w:rsid w:val="00A47A9F"/>
    <w:rsid w:val="00A47CD5"/>
    <w:rsid w:val="00A501FB"/>
    <w:rsid w:val="00A50490"/>
    <w:rsid w:val="00A5050F"/>
    <w:rsid w:val="00A50F75"/>
    <w:rsid w:val="00A51417"/>
    <w:rsid w:val="00A52040"/>
    <w:rsid w:val="00A52457"/>
    <w:rsid w:val="00A526A2"/>
    <w:rsid w:val="00A52D47"/>
    <w:rsid w:val="00A53361"/>
    <w:rsid w:val="00A535BB"/>
    <w:rsid w:val="00A53710"/>
    <w:rsid w:val="00A53761"/>
    <w:rsid w:val="00A538C6"/>
    <w:rsid w:val="00A53DCA"/>
    <w:rsid w:val="00A53E45"/>
    <w:rsid w:val="00A53F0B"/>
    <w:rsid w:val="00A541AE"/>
    <w:rsid w:val="00A541FC"/>
    <w:rsid w:val="00A547CF"/>
    <w:rsid w:val="00A5530E"/>
    <w:rsid w:val="00A55892"/>
    <w:rsid w:val="00A55C04"/>
    <w:rsid w:val="00A55D31"/>
    <w:rsid w:val="00A56384"/>
    <w:rsid w:val="00A563A4"/>
    <w:rsid w:val="00A56523"/>
    <w:rsid w:val="00A567E5"/>
    <w:rsid w:val="00A56DAB"/>
    <w:rsid w:val="00A5723A"/>
    <w:rsid w:val="00A5724E"/>
    <w:rsid w:val="00A5790E"/>
    <w:rsid w:val="00A5797D"/>
    <w:rsid w:val="00A57B6C"/>
    <w:rsid w:val="00A57C5A"/>
    <w:rsid w:val="00A57F12"/>
    <w:rsid w:val="00A602BE"/>
    <w:rsid w:val="00A60335"/>
    <w:rsid w:val="00A6080E"/>
    <w:rsid w:val="00A608DD"/>
    <w:rsid w:val="00A6094B"/>
    <w:rsid w:val="00A60E22"/>
    <w:rsid w:val="00A610D8"/>
    <w:rsid w:val="00A6120E"/>
    <w:rsid w:val="00A6179C"/>
    <w:rsid w:val="00A61A7B"/>
    <w:rsid w:val="00A62083"/>
    <w:rsid w:val="00A6242A"/>
    <w:rsid w:val="00A6293A"/>
    <w:rsid w:val="00A62C35"/>
    <w:rsid w:val="00A62C48"/>
    <w:rsid w:val="00A6415F"/>
    <w:rsid w:val="00A643E6"/>
    <w:rsid w:val="00A647DA"/>
    <w:rsid w:val="00A6489E"/>
    <w:rsid w:val="00A649A4"/>
    <w:rsid w:val="00A64A21"/>
    <w:rsid w:val="00A64EE2"/>
    <w:rsid w:val="00A64F39"/>
    <w:rsid w:val="00A64F5A"/>
    <w:rsid w:val="00A650CE"/>
    <w:rsid w:val="00A659DC"/>
    <w:rsid w:val="00A659E5"/>
    <w:rsid w:val="00A65ACC"/>
    <w:rsid w:val="00A65C99"/>
    <w:rsid w:val="00A65DEF"/>
    <w:rsid w:val="00A65F3E"/>
    <w:rsid w:val="00A65FE6"/>
    <w:rsid w:val="00A661E1"/>
    <w:rsid w:val="00A66549"/>
    <w:rsid w:val="00A66A29"/>
    <w:rsid w:val="00A66C5E"/>
    <w:rsid w:val="00A67238"/>
    <w:rsid w:val="00A672A5"/>
    <w:rsid w:val="00A67315"/>
    <w:rsid w:val="00A673AB"/>
    <w:rsid w:val="00A67571"/>
    <w:rsid w:val="00A67598"/>
    <w:rsid w:val="00A677A2"/>
    <w:rsid w:val="00A67DEA"/>
    <w:rsid w:val="00A67E68"/>
    <w:rsid w:val="00A700F4"/>
    <w:rsid w:val="00A70DDE"/>
    <w:rsid w:val="00A70E37"/>
    <w:rsid w:val="00A70FDE"/>
    <w:rsid w:val="00A71320"/>
    <w:rsid w:val="00A714A2"/>
    <w:rsid w:val="00A7271E"/>
    <w:rsid w:val="00A729F6"/>
    <w:rsid w:val="00A72A73"/>
    <w:rsid w:val="00A72E72"/>
    <w:rsid w:val="00A73301"/>
    <w:rsid w:val="00A73635"/>
    <w:rsid w:val="00A738D1"/>
    <w:rsid w:val="00A7392F"/>
    <w:rsid w:val="00A73BD3"/>
    <w:rsid w:val="00A73F10"/>
    <w:rsid w:val="00A73F18"/>
    <w:rsid w:val="00A743BA"/>
    <w:rsid w:val="00A74553"/>
    <w:rsid w:val="00A7471D"/>
    <w:rsid w:val="00A749AF"/>
    <w:rsid w:val="00A74E29"/>
    <w:rsid w:val="00A7535B"/>
    <w:rsid w:val="00A7545B"/>
    <w:rsid w:val="00A75604"/>
    <w:rsid w:val="00A75742"/>
    <w:rsid w:val="00A75B7D"/>
    <w:rsid w:val="00A75C27"/>
    <w:rsid w:val="00A75CFF"/>
    <w:rsid w:val="00A76160"/>
    <w:rsid w:val="00A76212"/>
    <w:rsid w:val="00A7689E"/>
    <w:rsid w:val="00A768A6"/>
    <w:rsid w:val="00A76AE9"/>
    <w:rsid w:val="00A76BF5"/>
    <w:rsid w:val="00A76D82"/>
    <w:rsid w:val="00A776B2"/>
    <w:rsid w:val="00A77755"/>
    <w:rsid w:val="00A778E1"/>
    <w:rsid w:val="00A77AD0"/>
    <w:rsid w:val="00A77CC3"/>
    <w:rsid w:val="00A801DF"/>
    <w:rsid w:val="00A803E1"/>
    <w:rsid w:val="00A804F7"/>
    <w:rsid w:val="00A80AD6"/>
    <w:rsid w:val="00A80B70"/>
    <w:rsid w:val="00A80E67"/>
    <w:rsid w:val="00A814AF"/>
    <w:rsid w:val="00A8202C"/>
    <w:rsid w:val="00A820DE"/>
    <w:rsid w:val="00A821D7"/>
    <w:rsid w:val="00A8271B"/>
    <w:rsid w:val="00A82BEA"/>
    <w:rsid w:val="00A82F8E"/>
    <w:rsid w:val="00A831CC"/>
    <w:rsid w:val="00A832E7"/>
    <w:rsid w:val="00A832F7"/>
    <w:rsid w:val="00A83427"/>
    <w:rsid w:val="00A8356C"/>
    <w:rsid w:val="00A835BC"/>
    <w:rsid w:val="00A83BE8"/>
    <w:rsid w:val="00A83BFB"/>
    <w:rsid w:val="00A83F88"/>
    <w:rsid w:val="00A841E2"/>
    <w:rsid w:val="00A842C2"/>
    <w:rsid w:val="00A842CC"/>
    <w:rsid w:val="00A84359"/>
    <w:rsid w:val="00A845EE"/>
    <w:rsid w:val="00A84878"/>
    <w:rsid w:val="00A848AA"/>
    <w:rsid w:val="00A84F36"/>
    <w:rsid w:val="00A850AE"/>
    <w:rsid w:val="00A850E7"/>
    <w:rsid w:val="00A85A6A"/>
    <w:rsid w:val="00A85DA5"/>
    <w:rsid w:val="00A85E90"/>
    <w:rsid w:val="00A86208"/>
    <w:rsid w:val="00A862AB"/>
    <w:rsid w:val="00A863A3"/>
    <w:rsid w:val="00A869F7"/>
    <w:rsid w:val="00A86D58"/>
    <w:rsid w:val="00A86DB0"/>
    <w:rsid w:val="00A871C3"/>
    <w:rsid w:val="00A8749A"/>
    <w:rsid w:val="00A878F0"/>
    <w:rsid w:val="00A9019D"/>
    <w:rsid w:val="00A90225"/>
    <w:rsid w:val="00A904C4"/>
    <w:rsid w:val="00A9071E"/>
    <w:rsid w:val="00A90A7D"/>
    <w:rsid w:val="00A90BA1"/>
    <w:rsid w:val="00A90E20"/>
    <w:rsid w:val="00A918BD"/>
    <w:rsid w:val="00A91BEC"/>
    <w:rsid w:val="00A91D3C"/>
    <w:rsid w:val="00A9224C"/>
    <w:rsid w:val="00A92344"/>
    <w:rsid w:val="00A9257F"/>
    <w:rsid w:val="00A93156"/>
    <w:rsid w:val="00A931F3"/>
    <w:rsid w:val="00A935AF"/>
    <w:rsid w:val="00A937FB"/>
    <w:rsid w:val="00A93E8B"/>
    <w:rsid w:val="00A93F48"/>
    <w:rsid w:val="00A94141"/>
    <w:rsid w:val="00A94345"/>
    <w:rsid w:val="00A94619"/>
    <w:rsid w:val="00A953F2"/>
    <w:rsid w:val="00A9565C"/>
    <w:rsid w:val="00A95DEF"/>
    <w:rsid w:val="00A95E5A"/>
    <w:rsid w:val="00A96518"/>
    <w:rsid w:val="00A969DA"/>
    <w:rsid w:val="00A97022"/>
    <w:rsid w:val="00A972A1"/>
    <w:rsid w:val="00A9765B"/>
    <w:rsid w:val="00A9768D"/>
    <w:rsid w:val="00A977E9"/>
    <w:rsid w:val="00A977F9"/>
    <w:rsid w:val="00A97C7C"/>
    <w:rsid w:val="00A97D5D"/>
    <w:rsid w:val="00A97ECA"/>
    <w:rsid w:val="00A97FA1"/>
    <w:rsid w:val="00A97FCD"/>
    <w:rsid w:val="00AA01F9"/>
    <w:rsid w:val="00AA066B"/>
    <w:rsid w:val="00AA0C4C"/>
    <w:rsid w:val="00AA0C71"/>
    <w:rsid w:val="00AA0FBC"/>
    <w:rsid w:val="00AA1463"/>
    <w:rsid w:val="00AA17C7"/>
    <w:rsid w:val="00AA1A14"/>
    <w:rsid w:val="00AA1EFE"/>
    <w:rsid w:val="00AA24A3"/>
    <w:rsid w:val="00AA2998"/>
    <w:rsid w:val="00AA2A7C"/>
    <w:rsid w:val="00AA315E"/>
    <w:rsid w:val="00AA3278"/>
    <w:rsid w:val="00AA3424"/>
    <w:rsid w:val="00AA38B5"/>
    <w:rsid w:val="00AA3CAD"/>
    <w:rsid w:val="00AA4165"/>
    <w:rsid w:val="00AA4466"/>
    <w:rsid w:val="00AA44C9"/>
    <w:rsid w:val="00AA4914"/>
    <w:rsid w:val="00AA4A1F"/>
    <w:rsid w:val="00AA4A4C"/>
    <w:rsid w:val="00AA4AE5"/>
    <w:rsid w:val="00AA4AFC"/>
    <w:rsid w:val="00AA4FD9"/>
    <w:rsid w:val="00AA51B4"/>
    <w:rsid w:val="00AA51DC"/>
    <w:rsid w:val="00AA53F6"/>
    <w:rsid w:val="00AA5D68"/>
    <w:rsid w:val="00AA6A33"/>
    <w:rsid w:val="00AA6EE1"/>
    <w:rsid w:val="00AA7339"/>
    <w:rsid w:val="00AA7650"/>
    <w:rsid w:val="00AA76C4"/>
    <w:rsid w:val="00AA7B7D"/>
    <w:rsid w:val="00AA7E24"/>
    <w:rsid w:val="00AA7E85"/>
    <w:rsid w:val="00AA7F9A"/>
    <w:rsid w:val="00AB072C"/>
    <w:rsid w:val="00AB0C3A"/>
    <w:rsid w:val="00AB0DA5"/>
    <w:rsid w:val="00AB106A"/>
    <w:rsid w:val="00AB1553"/>
    <w:rsid w:val="00AB1686"/>
    <w:rsid w:val="00AB16A3"/>
    <w:rsid w:val="00AB1E21"/>
    <w:rsid w:val="00AB1F8D"/>
    <w:rsid w:val="00AB227E"/>
    <w:rsid w:val="00AB22BE"/>
    <w:rsid w:val="00AB22EE"/>
    <w:rsid w:val="00AB2495"/>
    <w:rsid w:val="00AB2747"/>
    <w:rsid w:val="00AB2D54"/>
    <w:rsid w:val="00AB3170"/>
    <w:rsid w:val="00AB3311"/>
    <w:rsid w:val="00AB3321"/>
    <w:rsid w:val="00AB34D4"/>
    <w:rsid w:val="00AB3897"/>
    <w:rsid w:val="00AB3E0F"/>
    <w:rsid w:val="00AB3FEC"/>
    <w:rsid w:val="00AB40DF"/>
    <w:rsid w:val="00AB429C"/>
    <w:rsid w:val="00AB42BB"/>
    <w:rsid w:val="00AB4320"/>
    <w:rsid w:val="00AB458A"/>
    <w:rsid w:val="00AB46BC"/>
    <w:rsid w:val="00AB4CED"/>
    <w:rsid w:val="00AB4FD5"/>
    <w:rsid w:val="00AB511B"/>
    <w:rsid w:val="00AB5383"/>
    <w:rsid w:val="00AB5462"/>
    <w:rsid w:val="00AB5712"/>
    <w:rsid w:val="00AB57A6"/>
    <w:rsid w:val="00AB5932"/>
    <w:rsid w:val="00AB5A2E"/>
    <w:rsid w:val="00AB60B9"/>
    <w:rsid w:val="00AB6B83"/>
    <w:rsid w:val="00AB736E"/>
    <w:rsid w:val="00AB78F1"/>
    <w:rsid w:val="00AB7937"/>
    <w:rsid w:val="00AB7BFF"/>
    <w:rsid w:val="00AB7E71"/>
    <w:rsid w:val="00AC0777"/>
    <w:rsid w:val="00AC0ACD"/>
    <w:rsid w:val="00AC0C2F"/>
    <w:rsid w:val="00AC0FF6"/>
    <w:rsid w:val="00AC10B3"/>
    <w:rsid w:val="00AC126E"/>
    <w:rsid w:val="00AC1A1C"/>
    <w:rsid w:val="00AC1C36"/>
    <w:rsid w:val="00AC24AC"/>
    <w:rsid w:val="00AC2ABB"/>
    <w:rsid w:val="00AC2C06"/>
    <w:rsid w:val="00AC2C08"/>
    <w:rsid w:val="00AC2E22"/>
    <w:rsid w:val="00AC2FD9"/>
    <w:rsid w:val="00AC311F"/>
    <w:rsid w:val="00AC3161"/>
    <w:rsid w:val="00AC3264"/>
    <w:rsid w:val="00AC33FC"/>
    <w:rsid w:val="00AC35D8"/>
    <w:rsid w:val="00AC3A8F"/>
    <w:rsid w:val="00AC3E4D"/>
    <w:rsid w:val="00AC4236"/>
    <w:rsid w:val="00AC44F8"/>
    <w:rsid w:val="00AC470B"/>
    <w:rsid w:val="00AC4A3D"/>
    <w:rsid w:val="00AC4B40"/>
    <w:rsid w:val="00AC55B4"/>
    <w:rsid w:val="00AC5C6E"/>
    <w:rsid w:val="00AC5D64"/>
    <w:rsid w:val="00AC64C1"/>
    <w:rsid w:val="00AC6AF5"/>
    <w:rsid w:val="00AC6DC6"/>
    <w:rsid w:val="00AC71B3"/>
    <w:rsid w:val="00AC7634"/>
    <w:rsid w:val="00AC78B5"/>
    <w:rsid w:val="00AC7AD6"/>
    <w:rsid w:val="00AC7BCF"/>
    <w:rsid w:val="00AC7C38"/>
    <w:rsid w:val="00AD00D4"/>
    <w:rsid w:val="00AD02F6"/>
    <w:rsid w:val="00AD0318"/>
    <w:rsid w:val="00AD0557"/>
    <w:rsid w:val="00AD059B"/>
    <w:rsid w:val="00AD0ACB"/>
    <w:rsid w:val="00AD0EAE"/>
    <w:rsid w:val="00AD1322"/>
    <w:rsid w:val="00AD1494"/>
    <w:rsid w:val="00AD190F"/>
    <w:rsid w:val="00AD1AB1"/>
    <w:rsid w:val="00AD1B25"/>
    <w:rsid w:val="00AD1DEC"/>
    <w:rsid w:val="00AD1E45"/>
    <w:rsid w:val="00AD1F47"/>
    <w:rsid w:val="00AD2DE0"/>
    <w:rsid w:val="00AD3289"/>
    <w:rsid w:val="00AD37C4"/>
    <w:rsid w:val="00AD37D0"/>
    <w:rsid w:val="00AD3846"/>
    <w:rsid w:val="00AD3AB7"/>
    <w:rsid w:val="00AD40B7"/>
    <w:rsid w:val="00AD4321"/>
    <w:rsid w:val="00AD444C"/>
    <w:rsid w:val="00AD47CB"/>
    <w:rsid w:val="00AD5112"/>
    <w:rsid w:val="00AD53E6"/>
    <w:rsid w:val="00AD54DA"/>
    <w:rsid w:val="00AD58D6"/>
    <w:rsid w:val="00AD5CA3"/>
    <w:rsid w:val="00AD5CBC"/>
    <w:rsid w:val="00AD5E1F"/>
    <w:rsid w:val="00AD5F7E"/>
    <w:rsid w:val="00AD69BB"/>
    <w:rsid w:val="00AD6C76"/>
    <w:rsid w:val="00AD6CF3"/>
    <w:rsid w:val="00AD6CF5"/>
    <w:rsid w:val="00AD7123"/>
    <w:rsid w:val="00AD766C"/>
    <w:rsid w:val="00AD76C5"/>
    <w:rsid w:val="00AD7786"/>
    <w:rsid w:val="00AD7B86"/>
    <w:rsid w:val="00AE003A"/>
    <w:rsid w:val="00AE0465"/>
    <w:rsid w:val="00AE0481"/>
    <w:rsid w:val="00AE04B3"/>
    <w:rsid w:val="00AE056A"/>
    <w:rsid w:val="00AE05BA"/>
    <w:rsid w:val="00AE0698"/>
    <w:rsid w:val="00AE0AB7"/>
    <w:rsid w:val="00AE0B5F"/>
    <w:rsid w:val="00AE0D87"/>
    <w:rsid w:val="00AE0F84"/>
    <w:rsid w:val="00AE1248"/>
    <w:rsid w:val="00AE129D"/>
    <w:rsid w:val="00AE16E2"/>
    <w:rsid w:val="00AE241D"/>
    <w:rsid w:val="00AE29F1"/>
    <w:rsid w:val="00AE2D77"/>
    <w:rsid w:val="00AE3137"/>
    <w:rsid w:val="00AE32CF"/>
    <w:rsid w:val="00AE3330"/>
    <w:rsid w:val="00AE334F"/>
    <w:rsid w:val="00AE3381"/>
    <w:rsid w:val="00AE344A"/>
    <w:rsid w:val="00AE3670"/>
    <w:rsid w:val="00AE3C26"/>
    <w:rsid w:val="00AE3ED3"/>
    <w:rsid w:val="00AE48C2"/>
    <w:rsid w:val="00AE51A5"/>
    <w:rsid w:val="00AE557D"/>
    <w:rsid w:val="00AE5D54"/>
    <w:rsid w:val="00AE6132"/>
    <w:rsid w:val="00AE6379"/>
    <w:rsid w:val="00AE639A"/>
    <w:rsid w:val="00AE6416"/>
    <w:rsid w:val="00AE6433"/>
    <w:rsid w:val="00AE644D"/>
    <w:rsid w:val="00AE64F3"/>
    <w:rsid w:val="00AE67DF"/>
    <w:rsid w:val="00AE688F"/>
    <w:rsid w:val="00AE6CB8"/>
    <w:rsid w:val="00AE6D95"/>
    <w:rsid w:val="00AE6DB6"/>
    <w:rsid w:val="00AE6F00"/>
    <w:rsid w:val="00AE7024"/>
    <w:rsid w:val="00AE7186"/>
    <w:rsid w:val="00AE7272"/>
    <w:rsid w:val="00AE77E4"/>
    <w:rsid w:val="00AE79B7"/>
    <w:rsid w:val="00AE7DB1"/>
    <w:rsid w:val="00AE7EDF"/>
    <w:rsid w:val="00AF0467"/>
    <w:rsid w:val="00AF05BA"/>
    <w:rsid w:val="00AF0C99"/>
    <w:rsid w:val="00AF1205"/>
    <w:rsid w:val="00AF155C"/>
    <w:rsid w:val="00AF1634"/>
    <w:rsid w:val="00AF1A0F"/>
    <w:rsid w:val="00AF1DCB"/>
    <w:rsid w:val="00AF1F9F"/>
    <w:rsid w:val="00AF222B"/>
    <w:rsid w:val="00AF2548"/>
    <w:rsid w:val="00AF2A7C"/>
    <w:rsid w:val="00AF2ECF"/>
    <w:rsid w:val="00AF2F27"/>
    <w:rsid w:val="00AF311A"/>
    <w:rsid w:val="00AF319B"/>
    <w:rsid w:val="00AF3D52"/>
    <w:rsid w:val="00AF455E"/>
    <w:rsid w:val="00AF45B7"/>
    <w:rsid w:val="00AF48BF"/>
    <w:rsid w:val="00AF4C06"/>
    <w:rsid w:val="00AF51A2"/>
    <w:rsid w:val="00AF54F9"/>
    <w:rsid w:val="00AF5551"/>
    <w:rsid w:val="00AF567E"/>
    <w:rsid w:val="00AF620D"/>
    <w:rsid w:val="00AF62CC"/>
    <w:rsid w:val="00AF639C"/>
    <w:rsid w:val="00AF64A7"/>
    <w:rsid w:val="00AF6845"/>
    <w:rsid w:val="00AF6AC7"/>
    <w:rsid w:val="00AF6AFA"/>
    <w:rsid w:val="00AF6BC7"/>
    <w:rsid w:val="00AF6BFB"/>
    <w:rsid w:val="00AF6D66"/>
    <w:rsid w:val="00AF6FD9"/>
    <w:rsid w:val="00AF7D7B"/>
    <w:rsid w:val="00AF7E8E"/>
    <w:rsid w:val="00AF7F44"/>
    <w:rsid w:val="00B00084"/>
    <w:rsid w:val="00B00109"/>
    <w:rsid w:val="00B003B0"/>
    <w:rsid w:val="00B00732"/>
    <w:rsid w:val="00B007DA"/>
    <w:rsid w:val="00B00879"/>
    <w:rsid w:val="00B0108F"/>
    <w:rsid w:val="00B012E9"/>
    <w:rsid w:val="00B01578"/>
    <w:rsid w:val="00B01A81"/>
    <w:rsid w:val="00B021F1"/>
    <w:rsid w:val="00B0237C"/>
    <w:rsid w:val="00B023B0"/>
    <w:rsid w:val="00B02819"/>
    <w:rsid w:val="00B0345F"/>
    <w:rsid w:val="00B03590"/>
    <w:rsid w:val="00B035C6"/>
    <w:rsid w:val="00B036EB"/>
    <w:rsid w:val="00B039D5"/>
    <w:rsid w:val="00B04077"/>
    <w:rsid w:val="00B042D0"/>
    <w:rsid w:val="00B05D9E"/>
    <w:rsid w:val="00B05ED0"/>
    <w:rsid w:val="00B06028"/>
    <w:rsid w:val="00B06157"/>
    <w:rsid w:val="00B0658E"/>
    <w:rsid w:val="00B06771"/>
    <w:rsid w:val="00B06A43"/>
    <w:rsid w:val="00B06F05"/>
    <w:rsid w:val="00B07015"/>
    <w:rsid w:val="00B0707C"/>
    <w:rsid w:val="00B07187"/>
    <w:rsid w:val="00B0721E"/>
    <w:rsid w:val="00B074B8"/>
    <w:rsid w:val="00B076A7"/>
    <w:rsid w:val="00B076BE"/>
    <w:rsid w:val="00B078C4"/>
    <w:rsid w:val="00B07D1D"/>
    <w:rsid w:val="00B10215"/>
    <w:rsid w:val="00B103E7"/>
    <w:rsid w:val="00B1061B"/>
    <w:rsid w:val="00B110D6"/>
    <w:rsid w:val="00B115AC"/>
    <w:rsid w:val="00B11603"/>
    <w:rsid w:val="00B11A69"/>
    <w:rsid w:val="00B11F2A"/>
    <w:rsid w:val="00B126DB"/>
    <w:rsid w:val="00B12D2F"/>
    <w:rsid w:val="00B13046"/>
    <w:rsid w:val="00B131B7"/>
    <w:rsid w:val="00B132ED"/>
    <w:rsid w:val="00B1363A"/>
    <w:rsid w:val="00B13698"/>
    <w:rsid w:val="00B137BE"/>
    <w:rsid w:val="00B13800"/>
    <w:rsid w:val="00B13952"/>
    <w:rsid w:val="00B13BA8"/>
    <w:rsid w:val="00B13D05"/>
    <w:rsid w:val="00B13D08"/>
    <w:rsid w:val="00B13F88"/>
    <w:rsid w:val="00B14220"/>
    <w:rsid w:val="00B14684"/>
    <w:rsid w:val="00B1477D"/>
    <w:rsid w:val="00B147C6"/>
    <w:rsid w:val="00B147FA"/>
    <w:rsid w:val="00B14870"/>
    <w:rsid w:val="00B149F0"/>
    <w:rsid w:val="00B154CD"/>
    <w:rsid w:val="00B15643"/>
    <w:rsid w:val="00B1565B"/>
    <w:rsid w:val="00B156B7"/>
    <w:rsid w:val="00B15BD5"/>
    <w:rsid w:val="00B15F0F"/>
    <w:rsid w:val="00B160C3"/>
    <w:rsid w:val="00B16152"/>
    <w:rsid w:val="00B161D2"/>
    <w:rsid w:val="00B1620A"/>
    <w:rsid w:val="00B163BD"/>
    <w:rsid w:val="00B1683D"/>
    <w:rsid w:val="00B16D4F"/>
    <w:rsid w:val="00B16F70"/>
    <w:rsid w:val="00B1710C"/>
    <w:rsid w:val="00B172C6"/>
    <w:rsid w:val="00B1740F"/>
    <w:rsid w:val="00B17474"/>
    <w:rsid w:val="00B17480"/>
    <w:rsid w:val="00B17841"/>
    <w:rsid w:val="00B1785F"/>
    <w:rsid w:val="00B17ADF"/>
    <w:rsid w:val="00B17C99"/>
    <w:rsid w:val="00B200C4"/>
    <w:rsid w:val="00B20332"/>
    <w:rsid w:val="00B20338"/>
    <w:rsid w:val="00B203F6"/>
    <w:rsid w:val="00B20638"/>
    <w:rsid w:val="00B20911"/>
    <w:rsid w:val="00B20B24"/>
    <w:rsid w:val="00B20BB8"/>
    <w:rsid w:val="00B20F49"/>
    <w:rsid w:val="00B2129A"/>
    <w:rsid w:val="00B216ED"/>
    <w:rsid w:val="00B2198F"/>
    <w:rsid w:val="00B21A5F"/>
    <w:rsid w:val="00B21E71"/>
    <w:rsid w:val="00B2210E"/>
    <w:rsid w:val="00B222DA"/>
    <w:rsid w:val="00B22373"/>
    <w:rsid w:val="00B226D6"/>
    <w:rsid w:val="00B2286C"/>
    <w:rsid w:val="00B22D60"/>
    <w:rsid w:val="00B22EB1"/>
    <w:rsid w:val="00B23156"/>
    <w:rsid w:val="00B2348A"/>
    <w:rsid w:val="00B23550"/>
    <w:rsid w:val="00B235B6"/>
    <w:rsid w:val="00B23895"/>
    <w:rsid w:val="00B23899"/>
    <w:rsid w:val="00B23D74"/>
    <w:rsid w:val="00B240F2"/>
    <w:rsid w:val="00B2442A"/>
    <w:rsid w:val="00B2456B"/>
    <w:rsid w:val="00B24DE6"/>
    <w:rsid w:val="00B24FB2"/>
    <w:rsid w:val="00B2514F"/>
    <w:rsid w:val="00B255A8"/>
    <w:rsid w:val="00B259FE"/>
    <w:rsid w:val="00B25B01"/>
    <w:rsid w:val="00B25B6A"/>
    <w:rsid w:val="00B25D1C"/>
    <w:rsid w:val="00B262D6"/>
    <w:rsid w:val="00B26474"/>
    <w:rsid w:val="00B26533"/>
    <w:rsid w:val="00B26A36"/>
    <w:rsid w:val="00B26C2A"/>
    <w:rsid w:val="00B271A5"/>
    <w:rsid w:val="00B27523"/>
    <w:rsid w:val="00B27594"/>
    <w:rsid w:val="00B2767F"/>
    <w:rsid w:val="00B278FA"/>
    <w:rsid w:val="00B27908"/>
    <w:rsid w:val="00B30EB6"/>
    <w:rsid w:val="00B310EE"/>
    <w:rsid w:val="00B319E9"/>
    <w:rsid w:val="00B31FED"/>
    <w:rsid w:val="00B32167"/>
    <w:rsid w:val="00B325BA"/>
    <w:rsid w:val="00B325E1"/>
    <w:rsid w:val="00B32E75"/>
    <w:rsid w:val="00B33A0F"/>
    <w:rsid w:val="00B33F0B"/>
    <w:rsid w:val="00B3402F"/>
    <w:rsid w:val="00B3433A"/>
    <w:rsid w:val="00B3454B"/>
    <w:rsid w:val="00B345C1"/>
    <w:rsid w:val="00B34BA4"/>
    <w:rsid w:val="00B34BA5"/>
    <w:rsid w:val="00B34F4B"/>
    <w:rsid w:val="00B34FCD"/>
    <w:rsid w:val="00B354CA"/>
    <w:rsid w:val="00B3589F"/>
    <w:rsid w:val="00B35AE6"/>
    <w:rsid w:val="00B35B20"/>
    <w:rsid w:val="00B35C40"/>
    <w:rsid w:val="00B36073"/>
    <w:rsid w:val="00B36273"/>
    <w:rsid w:val="00B363F0"/>
    <w:rsid w:val="00B368F4"/>
    <w:rsid w:val="00B36ABC"/>
    <w:rsid w:val="00B36DD6"/>
    <w:rsid w:val="00B36DEA"/>
    <w:rsid w:val="00B3700D"/>
    <w:rsid w:val="00B372DB"/>
    <w:rsid w:val="00B373C1"/>
    <w:rsid w:val="00B37BA1"/>
    <w:rsid w:val="00B37FCE"/>
    <w:rsid w:val="00B40511"/>
    <w:rsid w:val="00B4054D"/>
    <w:rsid w:val="00B40CB5"/>
    <w:rsid w:val="00B41155"/>
    <w:rsid w:val="00B41170"/>
    <w:rsid w:val="00B413D7"/>
    <w:rsid w:val="00B414D8"/>
    <w:rsid w:val="00B415CE"/>
    <w:rsid w:val="00B416C7"/>
    <w:rsid w:val="00B422EF"/>
    <w:rsid w:val="00B42B1B"/>
    <w:rsid w:val="00B42CE1"/>
    <w:rsid w:val="00B42F42"/>
    <w:rsid w:val="00B4338E"/>
    <w:rsid w:val="00B43549"/>
    <w:rsid w:val="00B43A54"/>
    <w:rsid w:val="00B43EFE"/>
    <w:rsid w:val="00B43FA5"/>
    <w:rsid w:val="00B4426C"/>
    <w:rsid w:val="00B44776"/>
    <w:rsid w:val="00B44797"/>
    <w:rsid w:val="00B4506F"/>
    <w:rsid w:val="00B450B8"/>
    <w:rsid w:val="00B45253"/>
    <w:rsid w:val="00B4536D"/>
    <w:rsid w:val="00B4598B"/>
    <w:rsid w:val="00B459AF"/>
    <w:rsid w:val="00B45A40"/>
    <w:rsid w:val="00B461BA"/>
    <w:rsid w:val="00B462AA"/>
    <w:rsid w:val="00B4677B"/>
    <w:rsid w:val="00B469F9"/>
    <w:rsid w:val="00B46B5E"/>
    <w:rsid w:val="00B4702D"/>
    <w:rsid w:val="00B473EF"/>
    <w:rsid w:val="00B47786"/>
    <w:rsid w:val="00B479BD"/>
    <w:rsid w:val="00B479CD"/>
    <w:rsid w:val="00B47A2A"/>
    <w:rsid w:val="00B47AE2"/>
    <w:rsid w:val="00B47C75"/>
    <w:rsid w:val="00B47DD1"/>
    <w:rsid w:val="00B50BB3"/>
    <w:rsid w:val="00B50DDF"/>
    <w:rsid w:val="00B51084"/>
    <w:rsid w:val="00B51806"/>
    <w:rsid w:val="00B5289F"/>
    <w:rsid w:val="00B52D0E"/>
    <w:rsid w:val="00B52F8E"/>
    <w:rsid w:val="00B53114"/>
    <w:rsid w:val="00B537AB"/>
    <w:rsid w:val="00B53932"/>
    <w:rsid w:val="00B53DB6"/>
    <w:rsid w:val="00B53FAD"/>
    <w:rsid w:val="00B54270"/>
    <w:rsid w:val="00B5430B"/>
    <w:rsid w:val="00B543AF"/>
    <w:rsid w:val="00B549B2"/>
    <w:rsid w:val="00B55295"/>
    <w:rsid w:val="00B5578C"/>
    <w:rsid w:val="00B557E5"/>
    <w:rsid w:val="00B5664F"/>
    <w:rsid w:val="00B5670C"/>
    <w:rsid w:val="00B5691F"/>
    <w:rsid w:val="00B56D2F"/>
    <w:rsid w:val="00B57005"/>
    <w:rsid w:val="00B574D7"/>
    <w:rsid w:val="00B57741"/>
    <w:rsid w:val="00B5789E"/>
    <w:rsid w:val="00B57981"/>
    <w:rsid w:val="00B601F1"/>
    <w:rsid w:val="00B602A1"/>
    <w:rsid w:val="00B60504"/>
    <w:rsid w:val="00B6062D"/>
    <w:rsid w:val="00B60728"/>
    <w:rsid w:val="00B607B4"/>
    <w:rsid w:val="00B60B0C"/>
    <w:rsid w:val="00B60B35"/>
    <w:rsid w:val="00B619CC"/>
    <w:rsid w:val="00B61E1D"/>
    <w:rsid w:val="00B61FC4"/>
    <w:rsid w:val="00B6241C"/>
    <w:rsid w:val="00B626B0"/>
    <w:rsid w:val="00B62924"/>
    <w:rsid w:val="00B62D98"/>
    <w:rsid w:val="00B62DFA"/>
    <w:rsid w:val="00B631BE"/>
    <w:rsid w:val="00B635D7"/>
    <w:rsid w:val="00B63684"/>
    <w:rsid w:val="00B638D8"/>
    <w:rsid w:val="00B642A2"/>
    <w:rsid w:val="00B642CE"/>
    <w:rsid w:val="00B643FC"/>
    <w:rsid w:val="00B6465D"/>
    <w:rsid w:val="00B6476C"/>
    <w:rsid w:val="00B649FA"/>
    <w:rsid w:val="00B64CE2"/>
    <w:rsid w:val="00B65776"/>
    <w:rsid w:val="00B65EC8"/>
    <w:rsid w:val="00B661AF"/>
    <w:rsid w:val="00B662CE"/>
    <w:rsid w:val="00B66584"/>
    <w:rsid w:val="00B6675E"/>
    <w:rsid w:val="00B66D30"/>
    <w:rsid w:val="00B66E06"/>
    <w:rsid w:val="00B67335"/>
    <w:rsid w:val="00B6765E"/>
    <w:rsid w:val="00B677FE"/>
    <w:rsid w:val="00B67A1D"/>
    <w:rsid w:val="00B67A5C"/>
    <w:rsid w:val="00B67D7A"/>
    <w:rsid w:val="00B67FF9"/>
    <w:rsid w:val="00B70620"/>
    <w:rsid w:val="00B70973"/>
    <w:rsid w:val="00B714FB"/>
    <w:rsid w:val="00B72044"/>
    <w:rsid w:val="00B72164"/>
    <w:rsid w:val="00B72449"/>
    <w:rsid w:val="00B724C9"/>
    <w:rsid w:val="00B726E6"/>
    <w:rsid w:val="00B72851"/>
    <w:rsid w:val="00B72A6E"/>
    <w:rsid w:val="00B72B43"/>
    <w:rsid w:val="00B72C00"/>
    <w:rsid w:val="00B72D27"/>
    <w:rsid w:val="00B72FAC"/>
    <w:rsid w:val="00B73120"/>
    <w:rsid w:val="00B7323F"/>
    <w:rsid w:val="00B73897"/>
    <w:rsid w:val="00B73BC3"/>
    <w:rsid w:val="00B73F1C"/>
    <w:rsid w:val="00B73F98"/>
    <w:rsid w:val="00B74883"/>
    <w:rsid w:val="00B74A72"/>
    <w:rsid w:val="00B753B4"/>
    <w:rsid w:val="00B75AA9"/>
    <w:rsid w:val="00B75D6C"/>
    <w:rsid w:val="00B75DF1"/>
    <w:rsid w:val="00B7621D"/>
    <w:rsid w:val="00B7661E"/>
    <w:rsid w:val="00B769AA"/>
    <w:rsid w:val="00B76BF7"/>
    <w:rsid w:val="00B76C7F"/>
    <w:rsid w:val="00B7718F"/>
    <w:rsid w:val="00B772A6"/>
    <w:rsid w:val="00B77563"/>
    <w:rsid w:val="00B77572"/>
    <w:rsid w:val="00B77996"/>
    <w:rsid w:val="00B8003E"/>
    <w:rsid w:val="00B805A7"/>
    <w:rsid w:val="00B80892"/>
    <w:rsid w:val="00B80966"/>
    <w:rsid w:val="00B80A13"/>
    <w:rsid w:val="00B80B28"/>
    <w:rsid w:val="00B80B6C"/>
    <w:rsid w:val="00B80C08"/>
    <w:rsid w:val="00B80C9B"/>
    <w:rsid w:val="00B80CDD"/>
    <w:rsid w:val="00B80F7E"/>
    <w:rsid w:val="00B813B1"/>
    <w:rsid w:val="00B815C2"/>
    <w:rsid w:val="00B8192A"/>
    <w:rsid w:val="00B81CA3"/>
    <w:rsid w:val="00B82284"/>
    <w:rsid w:val="00B82508"/>
    <w:rsid w:val="00B82582"/>
    <w:rsid w:val="00B832A2"/>
    <w:rsid w:val="00B83E85"/>
    <w:rsid w:val="00B84158"/>
    <w:rsid w:val="00B845A7"/>
    <w:rsid w:val="00B847CC"/>
    <w:rsid w:val="00B84AA6"/>
    <w:rsid w:val="00B84C0F"/>
    <w:rsid w:val="00B84F78"/>
    <w:rsid w:val="00B85757"/>
    <w:rsid w:val="00B85A6B"/>
    <w:rsid w:val="00B85F1B"/>
    <w:rsid w:val="00B8622D"/>
    <w:rsid w:val="00B865E4"/>
    <w:rsid w:val="00B86875"/>
    <w:rsid w:val="00B869AF"/>
    <w:rsid w:val="00B86AEE"/>
    <w:rsid w:val="00B87402"/>
    <w:rsid w:val="00B87843"/>
    <w:rsid w:val="00B87CE7"/>
    <w:rsid w:val="00B90195"/>
    <w:rsid w:val="00B9035D"/>
    <w:rsid w:val="00B914C9"/>
    <w:rsid w:val="00B918D6"/>
    <w:rsid w:val="00B918FF"/>
    <w:rsid w:val="00B919A7"/>
    <w:rsid w:val="00B91D84"/>
    <w:rsid w:val="00B91E6F"/>
    <w:rsid w:val="00B9298F"/>
    <w:rsid w:val="00B92D5F"/>
    <w:rsid w:val="00B932A5"/>
    <w:rsid w:val="00B932F1"/>
    <w:rsid w:val="00B9336E"/>
    <w:rsid w:val="00B933CA"/>
    <w:rsid w:val="00B934F9"/>
    <w:rsid w:val="00B93696"/>
    <w:rsid w:val="00B939DD"/>
    <w:rsid w:val="00B93C39"/>
    <w:rsid w:val="00B93C88"/>
    <w:rsid w:val="00B93F20"/>
    <w:rsid w:val="00B94354"/>
    <w:rsid w:val="00B94492"/>
    <w:rsid w:val="00B9472D"/>
    <w:rsid w:val="00B94765"/>
    <w:rsid w:val="00B948C4"/>
    <w:rsid w:val="00B94BB9"/>
    <w:rsid w:val="00B95220"/>
    <w:rsid w:val="00B95233"/>
    <w:rsid w:val="00B9539D"/>
    <w:rsid w:val="00B95565"/>
    <w:rsid w:val="00B9565F"/>
    <w:rsid w:val="00B9598A"/>
    <w:rsid w:val="00B95A03"/>
    <w:rsid w:val="00B95DD9"/>
    <w:rsid w:val="00B964C7"/>
    <w:rsid w:val="00B965F0"/>
    <w:rsid w:val="00B96C82"/>
    <w:rsid w:val="00B96C97"/>
    <w:rsid w:val="00B96CCF"/>
    <w:rsid w:val="00B96E79"/>
    <w:rsid w:val="00B96FFC"/>
    <w:rsid w:val="00B97080"/>
    <w:rsid w:val="00B976E1"/>
    <w:rsid w:val="00B97BD8"/>
    <w:rsid w:val="00BA033E"/>
    <w:rsid w:val="00BA04C4"/>
    <w:rsid w:val="00BA063A"/>
    <w:rsid w:val="00BA0710"/>
    <w:rsid w:val="00BA0945"/>
    <w:rsid w:val="00BA0980"/>
    <w:rsid w:val="00BA0B27"/>
    <w:rsid w:val="00BA0CAA"/>
    <w:rsid w:val="00BA0E65"/>
    <w:rsid w:val="00BA123C"/>
    <w:rsid w:val="00BA12CE"/>
    <w:rsid w:val="00BA14A9"/>
    <w:rsid w:val="00BA1509"/>
    <w:rsid w:val="00BA2128"/>
    <w:rsid w:val="00BA2488"/>
    <w:rsid w:val="00BA2D1E"/>
    <w:rsid w:val="00BA2E75"/>
    <w:rsid w:val="00BA3088"/>
    <w:rsid w:val="00BA32C2"/>
    <w:rsid w:val="00BA35AD"/>
    <w:rsid w:val="00BA35E1"/>
    <w:rsid w:val="00BA37AD"/>
    <w:rsid w:val="00BA37C2"/>
    <w:rsid w:val="00BA383D"/>
    <w:rsid w:val="00BA398F"/>
    <w:rsid w:val="00BA402E"/>
    <w:rsid w:val="00BA4051"/>
    <w:rsid w:val="00BA45DF"/>
    <w:rsid w:val="00BA46A7"/>
    <w:rsid w:val="00BA46CD"/>
    <w:rsid w:val="00BA47B5"/>
    <w:rsid w:val="00BA52AB"/>
    <w:rsid w:val="00BA554E"/>
    <w:rsid w:val="00BA555D"/>
    <w:rsid w:val="00BA5DAF"/>
    <w:rsid w:val="00BA5DFD"/>
    <w:rsid w:val="00BA64E9"/>
    <w:rsid w:val="00BA65A4"/>
    <w:rsid w:val="00BA6E04"/>
    <w:rsid w:val="00BA6FEF"/>
    <w:rsid w:val="00BA7072"/>
    <w:rsid w:val="00BA70CC"/>
    <w:rsid w:val="00BA7193"/>
    <w:rsid w:val="00BA7595"/>
    <w:rsid w:val="00BA783C"/>
    <w:rsid w:val="00BA7AA9"/>
    <w:rsid w:val="00BA7EC6"/>
    <w:rsid w:val="00BB06FF"/>
    <w:rsid w:val="00BB0F4D"/>
    <w:rsid w:val="00BB15D5"/>
    <w:rsid w:val="00BB1C91"/>
    <w:rsid w:val="00BB1DA0"/>
    <w:rsid w:val="00BB2175"/>
    <w:rsid w:val="00BB2208"/>
    <w:rsid w:val="00BB28F3"/>
    <w:rsid w:val="00BB2BA6"/>
    <w:rsid w:val="00BB2C8E"/>
    <w:rsid w:val="00BB2D79"/>
    <w:rsid w:val="00BB3A23"/>
    <w:rsid w:val="00BB3C51"/>
    <w:rsid w:val="00BB41DB"/>
    <w:rsid w:val="00BB47E7"/>
    <w:rsid w:val="00BB49CC"/>
    <w:rsid w:val="00BB4A86"/>
    <w:rsid w:val="00BB4BB9"/>
    <w:rsid w:val="00BB4BBC"/>
    <w:rsid w:val="00BB4DC1"/>
    <w:rsid w:val="00BB553D"/>
    <w:rsid w:val="00BB554B"/>
    <w:rsid w:val="00BB55C3"/>
    <w:rsid w:val="00BB5889"/>
    <w:rsid w:val="00BB5ADE"/>
    <w:rsid w:val="00BB5F50"/>
    <w:rsid w:val="00BB6113"/>
    <w:rsid w:val="00BB6870"/>
    <w:rsid w:val="00BB6E7E"/>
    <w:rsid w:val="00BB7111"/>
    <w:rsid w:val="00BB7657"/>
    <w:rsid w:val="00BB77E8"/>
    <w:rsid w:val="00BB7AF5"/>
    <w:rsid w:val="00BB7BFD"/>
    <w:rsid w:val="00BB7FD0"/>
    <w:rsid w:val="00BC0155"/>
    <w:rsid w:val="00BC0254"/>
    <w:rsid w:val="00BC035F"/>
    <w:rsid w:val="00BC072F"/>
    <w:rsid w:val="00BC0922"/>
    <w:rsid w:val="00BC0BC3"/>
    <w:rsid w:val="00BC0D94"/>
    <w:rsid w:val="00BC11FA"/>
    <w:rsid w:val="00BC17DB"/>
    <w:rsid w:val="00BC1BDA"/>
    <w:rsid w:val="00BC1EEF"/>
    <w:rsid w:val="00BC21F8"/>
    <w:rsid w:val="00BC23F8"/>
    <w:rsid w:val="00BC24B3"/>
    <w:rsid w:val="00BC26C6"/>
    <w:rsid w:val="00BC2816"/>
    <w:rsid w:val="00BC2E0C"/>
    <w:rsid w:val="00BC307B"/>
    <w:rsid w:val="00BC30AD"/>
    <w:rsid w:val="00BC31D8"/>
    <w:rsid w:val="00BC326D"/>
    <w:rsid w:val="00BC32D4"/>
    <w:rsid w:val="00BC335A"/>
    <w:rsid w:val="00BC33B5"/>
    <w:rsid w:val="00BC370B"/>
    <w:rsid w:val="00BC399D"/>
    <w:rsid w:val="00BC39D4"/>
    <w:rsid w:val="00BC3B54"/>
    <w:rsid w:val="00BC40B5"/>
    <w:rsid w:val="00BC446C"/>
    <w:rsid w:val="00BC4713"/>
    <w:rsid w:val="00BC483E"/>
    <w:rsid w:val="00BC5219"/>
    <w:rsid w:val="00BC53F4"/>
    <w:rsid w:val="00BC554D"/>
    <w:rsid w:val="00BC5BAF"/>
    <w:rsid w:val="00BC5E43"/>
    <w:rsid w:val="00BC5FBA"/>
    <w:rsid w:val="00BC6141"/>
    <w:rsid w:val="00BC61C6"/>
    <w:rsid w:val="00BC6765"/>
    <w:rsid w:val="00BC68CE"/>
    <w:rsid w:val="00BC6A08"/>
    <w:rsid w:val="00BC70DF"/>
    <w:rsid w:val="00BC713A"/>
    <w:rsid w:val="00BC7AC5"/>
    <w:rsid w:val="00BC7AF5"/>
    <w:rsid w:val="00BC7CD5"/>
    <w:rsid w:val="00BD042C"/>
    <w:rsid w:val="00BD0EF7"/>
    <w:rsid w:val="00BD192F"/>
    <w:rsid w:val="00BD1E21"/>
    <w:rsid w:val="00BD27EC"/>
    <w:rsid w:val="00BD2AB7"/>
    <w:rsid w:val="00BD3141"/>
    <w:rsid w:val="00BD319B"/>
    <w:rsid w:val="00BD38C1"/>
    <w:rsid w:val="00BD3BB2"/>
    <w:rsid w:val="00BD3C5B"/>
    <w:rsid w:val="00BD3D23"/>
    <w:rsid w:val="00BD3FF5"/>
    <w:rsid w:val="00BD415B"/>
    <w:rsid w:val="00BD4247"/>
    <w:rsid w:val="00BD4D9E"/>
    <w:rsid w:val="00BD4FA8"/>
    <w:rsid w:val="00BD5775"/>
    <w:rsid w:val="00BD5993"/>
    <w:rsid w:val="00BD5BEA"/>
    <w:rsid w:val="00BD60E5"/>
    <w:rsid w:val="00BD6492"/>
    <w:rsid w:val="00BD6689"/>
    <w:rsid w:val="00BD67EF"/>
    <w:rsid w:val="00BD6CC6"/>
    <w:rsid w:val="00BD6DD7"/>
    <w:rsid w:val="00BD6EC3"/>
    <w:rsid w:val="00BD6FDB"/>
    <w:rsid w:val="00BD7499"/>
    <w:rsid w:val="00BD7589"/>
    <w:rsid w:val="00BD7621"/>
    <w:rsid w:val="00BD769F"/>
    <w:rsid w:val="00BD76F9"/>
    <w:rsid w:val="00BD781E"/>
    <w:rsid w:val="00BD783A"/>
    <w:rsid w:val="00BD79E6"/>
    <w:rsid w:val="00BD7B33"/>
    <w:rsid w:val="00BD7BD4"/>
    <w:rsid w:val="00BD7EFA"/>
    <w:rsid w:val="00BD7FD5"/>
    <w:rsid w:val="00BE05DB"/>
    <w:rsid w:val="00BE0650"/>
    <w:rsid w:val="00BE07DD"/>
    <w:rsid w:val="00BE0C75"/>
    <w:rsid w:val="00BE1348"/>
    <w:rsid w:val="00BE1764"/>
    <w:rsid w:val="00BE19E5"/>
    <w:rsid w:val="00BE1AC4"/>
    <w:rsid w:val="00BE1B52"/>
    <w:rsid w:val="00BE1D77"/>
    <w:rsid w:val="00BE21F5"/>
    <w:rsid w:val="00BE2472"/>
    <w:rsid w:val="00BE289E"/>
    <w:rsid w:val="00BE2AD0"/>
    <w:rsid w:val="00BE2D38"/>
    <w:rsid w:val="00BE2F05"/>
    <w:rsid w:val="00BE2FA1"/>
    <w:rsid w:val="00BE354A"/>
    <w:rsid w:val="00BE3B82"/>
    <w:rsid w:val="00BE4244"/>
    <w:rsid w:val="00BE481F"/>
    <w:rsid w:val="00BE48CD"/>
    <w:rsid w:val="00BE4D60"/>
    <w:rsid w:val="00BE4EC7"/>
    <w:rsid w:val="00BE51BC"/>
    <w:rsid w:val="00BE52FD"/>
    <w:rsid w:val="00BE535E"/>
    <w:rsid w:val="00BE55BF"/>
    <w:rsid w:val="00BE56BD"/>
    <w:rsid w:val="00BE5C96"/>
    <w:rsid w:val="00BE601A"/>
    <w:rsid w:val="00BE6258"/>
    <w:rsid w:val="00BE64BF"/>
    <w:rsid w:val="00BE65F5"/>
    <w:rsid w:val="00BE669D"/>
    <w:rsid w:val="00BE6861"/>
    <w:rsid w:val="00BE7DA4"/>
    <w:rsid w:val="00BF06D3"/>
    <w:rsid w:val="00BF0883"/>
    <w:rsid w:val="00BF09D8"/>
    <w:rsid w:val="00BF0A50"/>
    <w:rsid w:val="00BF0B18"/>
    <w:rsid w:val="00BF0F7F"/>
    <w:rsid w:val="00BF10B8"/>
    <w:rsid w:val="00BF124F"/>
    <w:rsid w:val="00BF1263"/>
    <w:rsid w:val="00BF1BA6"/>
    <w:rsid w:val="00BF1EEE"/>
    <w:rsid w:val="00BF21BA"/>
    <w:rsid w:val="00BF2572"/>
    <w:rsid w:val="00BF2658"/>
    <w:rsid w:val="00BF2CBB"/>
    <w:rsid w:val="00BF2D63"/>
    <w:rsid w:val="00BF2DED"/>
    <w:rsid w:val="00BF3347"/>
    <w:rsid w:val="00BF353F"/>
    <w:rsid w:val="00BF3A7D"/>
    <w:rsid w:val="00BF3BC7"/>
    <w:rsid w:val="00BF3E38"/>
    <w:rsid w:val="00BF403D"/>
    <w:rsid w:val="00BF44D4"/>
    <w:rsid w:val="00BF5100"/>
    <w:rsid w:val="00BF5411"/>
    <w:rsid w:val="00BF5A10"/>
    <w:rsid w:val="00BF5A45"/>
    <w:rsid w:val="00BF5D4B"/>
    <w:rsid w:val="00BF5E11"/>
    <w:rsid w:val="00BF5F3C"/>
    <w:rsid w:val="00BF66EE"/>
    <w:rsid w:val="00BF68B2"/>
    <w:rsid w:val="00BF6DAC"/>
    <w:rsid w:val="00BF7119"/>
    <w:rsid w:val="00BF74F5"/>
    <w:rsid w:val="00BF75B4"/>
    <w:rsid w:val="00BF780F"/>
    <w:rsid w:val="00C0023E"/>
    <w:rsid w:val="00C003EB"/>
    <w:rsid w:val="00C00427"/>
    <w:rsid w:val="00C00539"/>
    <w:rsid w:val="00C007B9"/>
    <w:rsid w:val="00C00A49"/>
    <w:rsid w:val="00C00F30"/>
    <w:rsid w:val="00C01092"/>
    <w:rsid w:val="00C01828"/>
    <w:rsid w:val="00C01B51"/>
    <w:rsid w:val="00C01E01"/>
    <w:rsid w:val="00C01ED9"/>
    <w:rsid w:val="00C02247"/>
    <w:rsid w:val="00C0245A"/>
    <w:rsid w:val="00C02663"/>
    <w:rsid w:val="00C02F6F"/>
    <w:rsid w:val="00C03348"/>
    <w:rsid w:val="00C03A82"/>
    <w:rsid w:val="00C03CEA"/>
    <w:rsid w:val="00C0423B"/>
    <w:rsid w:val="00C04419"/>
    <w:rsid w:val="00C0445D"/>
    <w:rsid w:val="00C045C6"/>
    <w:rsid w:val="00C04DAB"/>
    <w:rsid w:val="00C053EE"/>
    <w:rsid w:val="00C057FD"/>
    <w:rsid w:val="00C05AB9"/>
    <w:rsid w:val="00C05AE3"/>
    <w:rsid w:val="00C05D92"/>
    <w:rsid w:val="00C05F2C"/>
    <w:rsid w:val="00C06406"/>
    <w:rsid w:val="00C0684F"/>
    <w:rsid w:val="00C0693C"/>
    <w:rsid w:val="00C069EA"/>
    <w:rsid w:val="00C06B2B"/>
    <w:rsid w:val="00C06C84"/>
    <w:rsid w:val="00C06CE8"/>
    <w:rsid w:val="00C070E6"/>
    <w:rsid w:val="00C07F83"/>
    <w:rsid w:val="00C10339"/>
    <w:rsid w:val="00C107BF"/>
    <w:rsid w:val="00C10C62"/>
    <w:rsid w:val="00C10D66"/>
    <w:rsid w:val="00C10FCF"/>
    <w:rsid w:val="00C11149"/>
    <w:rsid w:val="00C116EB"/>
    <w:rsid w:val="00C117B9"/>
    <w:rsid w:val="00C11CD6"/>
    <w:rsid w:val="00C11F25"/>
    <w:rsid w:val="00C126C7"/>
    <w:rsid w:val="00C127F9"/>
    <w:rsid w:val="00C12ADC"/>
    <w:rsid w:val="00C12F50"/>
    <w:rsid w:val="00C13255"/>
    <w:rsid w:val="00C1327A"/>
    <w:rsid w:val="00C1336E"/>
    <w:rsid w:val="00C13461"/>
    <w:rsid w:val="00C137FD"/>
    <w:rsid w:val="00C138CA"/>
    <w:rsid w:val="00C139B0"/>
    <w:rsid w:val="00C13AA8"/>
    <w:rsid w:val="00C148DC"/>
    <w:rsid w:val="00C1503E"/>
    <w:rsid w:val="00C15618"/>
    <w:rsid w:val="00C15C01"/>
    <w:rsid w:val="00C160A5"/>
    <w:rsid w:val="00C162B8"/>
    <w:rsid w:val="00C1665C"/>
    <w:rsid w:val="00C16744"/>
    <w:rsid w:val="00C16807"/>
    <w:rsid w:val="00C16A39"/>
    <w:rsid w:val="00C16C8C"/>
    <w:rsid w:val="00C16E85"/>
    <w:rsid w:val="00C16EFA"/>
    <w:rsid w:val="00C17646"/>
    <w:rsid w:val="00C178B3"/>
    <w:rsid w:val="00C17BF6"/>
    <w:rsid w:val="00C20209"/>
    <w:rsid w:val="00C209FB"/>
    <w:rsid w:val="00C20BC6"/>
    <w:rsid w:val="00C20D28"/>
    <w:rsid w:val="00C214E6"/>
    <w:rsid w:val="00C219BE"/>
    <w:rsid w:val="00C21F69"/>
    <w:rsid w:val="00C2213F"/>
    <w:rsid w:val="00C2220F"/>
    <w:rsid w:val="00C225A4"/>
    <w:rsid w:val="00C227C5"/>
    <w:rsid w:val="00C228B2"/>
    <w:rsid w:val="00C23594"/>
    <w:rsid w:val="00C2360C"/>
    <w:rsid w:val="00C24475"/>
    <w:rsid w:val="00C244D1"/>
    <w:rsid w:val="00C24870"/>
    <w:rsid w:val="00C24A9E"/>
    <w:rsid w:val="00C24D04"/>
    <w:rsid w:val="00C253EE"/>
    <w:rsid w:val="00C256B6"/>
    <w:rsid w:val="00C25906"/>
    <w:rsid w:val="00C26515"/>
    <w:rsid w:val="00C26547"/>
    <w:rsid w:val="00C26627"/>
    <w:rsid w:val="00C26A28"/>
    <w:rsid w:val="00C26A84"/>
    <w:rsid w:val="00C26B27"/>
    <w:rsid w:val="00C26D41"/>
    <w:rsid w:val="00C26E5B"/>
    <w:rsid w:val="00C26EDB"/>
    <w:rsid w:val="00C2733C"/>
    <w:rsid w:val="00C2774A"/>
    <w:rsid w:val="00C278B9"/>
    <w:rsid w:val="00C27A68"/>
    <w:rsid w:val="00C27B1C"/>
    <w:rsid w:val="00C27BC8"/>
    <w:rsid w:val="00C27BD6"/>
    <w:rsid w:val="00C27E45"/>
    <w:rsid w:val="00C3001F"/>
    <w:rsid w:val="00C30279"/>
    <w:rsid w:val="00C3047C"/>
    <w:rsid w:val="00C30638"/>
    <w:rsid w:val="00C306E1"/>
    <w:rsid w:val="00C3087B"/>
    <w:rsid w:val="00C30901"/>
    <w:rsid w:val="00C30B33"/>
    <w:rsid w:val="00C30F89"/>
    <w:rsid w:val="00C311F7"/>
    <w:rsid w:val="00C3131A"/>
    <w:rsid w:val="00C317C3"/>
    <w:rsid w:val="00C31B9F"/>
    <w:rsid w:val="00C321B6"/>
    <w:rsid w:val="00C32516"/>
    <w:rsid w:val="00C3284E"/>
    <w:rsid w:val="00C329F6"/>
    <w:rsid w:val="00C32A5C"/>
    <w:rsid w:val="00C32FF8"/>
    <w:rsid w:val="00C3306E"/>
    <w:rsid w:val="00C3327F"/>
    <w:rsid w:val="00C3383F"/>
    <w:rsid w:val="00C33D30"/>
    <w:rsid w:val="00C33F26"/>
    <w:rsid w:val="00C33F45"/>
    <w:rsid w:val="00C3412F"/>
    <w:rsid w:val="00C34135"/>
    <w:rsid w:val="00C34398"/>
    <w:rsid w:val="00C34588"/>
    <w:rsid w:val="00C3476A"/>
    <w:rsid w:val="00C347D0"/>
    <w:rsid w:val="00C3498D"/>
    <w:rsid w:val="00C354A8"/>
    <w:rsid w:val="00C354C4"/>
    <w:rsid w:val="00C35790"/>
    <w:rsid w:val="00C357E8"/>
    <w:rsid w:val="00C35AB4"/>
    <w:rsid w:val="00C35ACC"/>
    <w:rsid w:val="00C36076"/>
    <w:rsid w:val="00C36706"/>
    <w:rsid w:val="00C3690A"/>
    <w:rsid w:val="00C36BDB"/>
    <w:rsid w:val="00C36BDD"/>
    <w:rsid w:val="00C36DE2"/>
    <w:rsid w:val="00C36F0A"/>
    <w:rsid w:val="00C3755E"/>
    <w:rsid w:val="00C37940"/>
    <w:rsid w:val="00C37C89"/>
    <w:rsid w:val="00C402BC"/>
    <w:rsid w:val="00C40A44"/>
    <w:rsid w:val="00C40D65"/>
    <w:rsid w:val="00C413AA"/>
    <w:rsid w:val="00C418A9"/>
    <w:rsid w:val="00C4196B"/>
    <w:rsid w:val="00C41C61"/>
    <w:rsid w:val="00C420CA"/>
    <w:rsid w:val="00C42173"/>
    <w:rsid w:val="00C4251F"/>
    <w:rsid w:val="00C42974"/>
    <w:rsid w:val="00C42BA5"/>
    <w:rsid w:val="00C42CC4"/>
    <w:rsid w:val="00C42ED0"/>
    <w:rsid w:val="00C42ED4"/>
    <w:rsid w:val="00C43161"/>
    <w:rsid w:val="00C436BC"/>
    <w:rsid w:val="00C437CE"/>
    <w:rsid w:val="00C43A11"/>
    <w:rsid w:val="00C43B8E"/>
    <w:rsid w:val="00C43C53"/>
    <w:rsid w:val="00C444CE"/>
    <w:rsid w:val="00C446A4"/>
    <w:rsid w:val="00C44B69"/>
    <w:rsid w:val="00C44F96"/>
    <w:rsid w:val="00C45571"/>
    <w:rsid w:val="00C4559F"/>
    <w:rsid w:val="00C45C20"/>
    <w:rsid w:val="00C460BF"/>
    <w:rsid w:val="00C4678C"/>
    <w:rsid w:val="00C46879"/>
    <w:rsid w:val="00C46AEE"/>
    <w:rsid w:val="00C46E90"/>
    <w:rsid w:val="00C46FB2"/>
    <w:rsid w:val="00C46FC8"/>
    <w:rsid w:val="00C47690"/>
    <w:rsid w:val="00C477E9"/>
    <w:rsid w:val="00C478D1"/>
    <w:rsid w:val="00C47A48"/>
    <w:rsid w:val="00C5009B"/>
    <w:rsid w:val="00C504FB"/>
    <w:rsid w:val="00C5088E"/>
    <w:rsid w:val="00C50961"/>
    <w:rsid w:val="00C50E90"/>
    <w:rsid w:val="00C51352"/>
    <w:rsid w:val="00C517B4"/>
    <w:rsid w:val="00C51F4B"/>
    <w:rsid w:val="00C521D9"/>
    <w:rsid w:val="00C52401"/>
    <w:rsid w:val="00C5269B"/>
    <w:rsid w:val="00C52882"/>
    <w:rsid w:val="00C53322"/>
    <w:rsid w:val="00C53C65"/>
    <w:rsid w:val="00C53D35"/>
    <w:rsid w:val="00C540CA"/>
    <w:rsid w:val="00C54135"/>
    <w:rsid w:val="00C54143"/>
    <w:rsid w:val="00C5439E"/>
    <w:rsid w:val="00C54FE6"/>
    <w:rsid w:val="00C5534E"/>
    <w:rsid w:val="00C55613"/>
    <w:rsid w:val="00C557B4"/>
    <w:rsid w:val="00C558D2"/>
    <w:rsid w:val="00C56289"/>
    <w:rsid w:val="00C56577"/>
    <w:rsid w:val="00C5659B"/>
    <w:rsid w:val="00C56755"/>
    <w:rsid w:val="00C56A77"/>
    <w:rsid w:val="00C57226"/>
    <w:rsid w:val="00C575F2"/>
    <w:rsid w:val="00C57C3B"/>
    <w:rsid w:val="00C57D63"/>
    <w:rsid w:val="00C57D93"/>
    <w:rsid w:val="00C60303"/>
    <w:rsid w:val="00C603A9"/>
    <w:rsid w:val="00C604AC"/>
    <w:rsid w:val="00C60D9D"/>
    <w:rsid w:val="00C61289"/>
    <w:rsid w:val="00C61601"/>
    <w:rsid w:val="00C61792"/>
    <w:rsid w:val="00C61D40"/>
    <w:rsid w:val="00C61E14"/>
    <w:rsid w:val="00C6250E"/>
    <w:rsid w:val="00C62988"/>
    <w:rsid w:val="00C629AF"/>
    <w:rsid w:val="00C62A83"/>
    <w:rsid w:val="00C62D72"/>
    <w:rsid w:val="00C63295"/>
    <w:rsid w:val="00C63CBC"/>
    <w:rsid w:val="00C63FF8"/>
    <w:rsid w:val="00C641E8"/>
    <w:rsid w:val="00C64234"/>
    <w:rsid w:val="00C64351"/>
    <w:rsid w:val="00C646C7"/>
    <w:rsid w:val="00C64CC2"/>
    <w:rsid w:val="00C64EB5"/>
    <w:rsid w:val="00C64F32"/>
    <w:rsid w:val="00C65CB4"/>
    <w:rsid w:val="00C65FF3"/>
    <w:rsid w:val="00C66694"/>
    <w:rsid w:val="00C66BBE"/>
    <w:rsid w:val="00C673D2"/>
    <w:rsid w:val="00C67EE8"/>
    <w:rsid w:val="00C70088"/>
    <w:rsid w:val="00C700B4"/>
    <w:rsid w:val="00C702B6"/>
    <w:rsid w:val="00C70605"/>
    <w:rsid w:val="00C70682"/>
    <w:rsid w:val="00C70844"/>
    <w:rsid w:val="00C70992"/>
    <w:rsid w:val="00C70B53"/>
    <w:rsid w:val="00C70D32"/>
    <w:rsid w:val="00C70DEA"/>
    <w:rsid w:val="00C710E4"/>
    <w:rsid w:val="00C714B3"/>
    <w:rsid w:val="00C72690"/>
    <w:rsid w:val="00C726BF"/>
    <w:rsid w:val="00C729A6"/>
    <w:rsid w:val="00C72A00"/>
    <w:rsid w:val="00C72F04"/>
    <w:rsid w:val="00C72F99"/>
    <w:rsid w:val="00C7379F"/>
    <w:rsid w:val="00C73A0C"/>
    <w:rsid w:val="00C73E82"/>
    <w:rsid w:val="00C73F03"/>
    <w:rsid w:val="00C740AD"/>
    <w:rsid w:val="00C742A4"/>
    <w:rsid w:val="00C74343"/>
    <w:rsid w:val="00C74856"/>
    <w:rsid w:val="00C75652"/>
    <w:rsid w:val="00C757F4"/>
    <w:rsid w:val="00C75BF3"/>
    <w:rsid w:val="00C75FF4"/>
    <w:rsid w:val="00C7601C"/>
    <w:rsid w:val="00C760E6"/>
    <w:rsid w:val="00C76258"/>
    <w:rsid w:val="00C7632A"/>
    <w:rsid w:val="00C76676"/>
    <w:rsid w:val="00C766E7"/>
    <w:rsid w:val="00C76C34"/>
    <w:rsid w:val="00C77789"/>
    <w:rsid w:val="00C77A09"/>
    <w:rsid w:val="00C77AFE"/>
    <w:rsid w:val="00C77B7F"/>
    <w:rsid w:val="00C77EBB"/>
    <w:rsid w:val="00C80023"/>
    <w:rsid w:val="00C80101"/>
    <w:rsid w:val="00C80129"/>
    <w:rsid w:val="00C8016B"/>
    <w:rsid w:val="00C808DD"/>
    <w:rsid w:val="00C80936"/>
    <w:rsid w:val="00C80E19"/>
    <w:rsid w:val="00C80E38"/>
    <w:rsid w:val="00C813DC"/>
    <w:rsid w:val="00C8167B"/>
    <w:rsid w:val="00C816EF"/>
    <w:rsid w:val="00C817BE"/>
    <w:rsid w:val="00C818D6"/>
    <w:rsid w:val="00C818DC"/>
    <w:rsid w:val="00C81A22"/>
    <w:rsid w:val="00C82742"/>
    <w:rsid w:val="00C8287F"/>
    <w:rsid w:val="00C830AC"/>
    <w:rsid w:val="00C83646"/>
    <w:rsid w:val="00C83689"/>
    <w:rsid w:val="00C836E0"/>
    <w:rsid w:val="00C83890"/>
    <w:rsid w:val="00C83CC0"/>
    <w:rsid w:val="00C83CF7"/>
    <w:rsid w:val="00C84484"/>
    <w:rsid w:val="00C84742"/>
    <w:rsid w:val="00C84A4D"/>
    <w:rsid w:val="00C84B31"/>
    <w:rsid w:val="00C84B5E"/>
    <w:rsid w:val="00C858D3"/>
    <w:rsid w:val="00C85FE7"/>
    <w:rsid w:val="00C86086"/>
    <w:rsid w:val="00C8639B"/>
    <w:rsid w:val="00C865F7"/>
    <w:rsid w:val="00C86BDC"/>
    <w:rsid w:val="00C86D35"/>
    <w:rsid w:val="00C8713C"/>
    <w:rsid w:val="00C873A7"/>
    <w:rsid w:val="00C87483"/>
    <w:rsid w:val="00C87994"/>
    <w:rsid w:val="00C87BEB"/>
    <w:rsid w:val="00C87C98"/>
    <w:rsid w:val="00C87FCF"/>
    <w:rsid w:val="00C900A1"/>
    <w:rsid w:val="00C906AB"/>
    <w:rsid w:val="00C90D64"/>
    <w:rsid w:val="00C90E28"/>
    <w:rsid w:val="00C90EFD"/>
    <w:rsid w:val="00C9102E"/>
    <w:rsid w:val="00C91993"/>
    <w:rsid w:val="00C91E1D"/>
    <w:rsid w:val="00C921B5"/>
    <w:rsid w:val="00C925E0"/>
    <w:rsid w:val="00C92877"/>
    <w:rsid w:val="00C92D2B"/>
    <w:rsid w:val="00C92F84"/>
    <w:rsid w:val="00C92F8D"/>
    <w:rsid w:val="00C9358C"/>
    <w:rsid w:val="00C93671"/>
    <w:rsid w:val="00C93974"/>
    <w:rsid w:val="00C939A3"/>
    <w:rsid w:val="00C93E5D"/>
    <w:rsid w:val="00C93F18"/>
    <w:rsid w:val="00C941C5"/>
    <w:rsid w:val="00C94410"/>
    <w:rsid w:val="00C9449A"/>
    <w:rsid w:val="00C94776"/>
    <w:rsid w:val="00C948A7"/>
    <w:rsid w:val="00C94CAA"/>
    <w:rsid w:val="00C94EB3"/>
    <w:rsid w:val="00C94F4F"/>
    <w:rsid w:val="00C9509E"/>
    <w:rsid w:val="00C95687"/>
    <w:rsid w:val="00C9585B"/>
    <w:rsid w:val="00C9602E"/>
    <w:rsid w:val="00C96830"/>
    <w:rsid w:val="00C96837"/>
    <w:rsid w:val="00C968EE"/>
    <w:rsid w:val="00C96CF9"/>
    <w:rsid w:val="00C96E86"/>
    <w:rsid w:val="00C970C2"/>
    <w:rsid w:val="00C973BB"/>
    <w:rsid w:val="00C97934"/>
    <w:rsid w:val="00C979E8"/>
    <w:rsid w:val="00C97B04"/>
    <w:rsid w:val="00C97CF2"/>
    <w:rsid w:val="00C97D58"/>
    <w:rsid w:val="00C97E20"/>
    <w:rsid w:val="00CA0017"/>
    <w:rsid w:val="00CA02C1"/>
    <w:rsid w:val="00CA058E"/>
    <w:rsid w:val="00CA0635"/>
    <w:rsid w:val="00CA067A"/>
    <w:rsid w:val="00CA06B8"/>
    <w:rsid w:val="00CA0738"/>
    <w:rsid w:val="00CA0A52"/>
    <w:rsid w:val="00CA0E2F"/>
    <w:rsid w:val="00CA123D"/>
    <w:rsid w:val="00CA175B"/>
    <w:rsid w:val="00CA1975"/>
    <w:rsid w:val="00CA1C7F"/>
    <w:rsid w:val="00CA1EAB"/>
    <w:rsid w:val="00CA1F32"/>
    <w:rsid w:val="00CA245F"/>
    <w:rsid w:val="00CA29BD"/>
    <w:rsid w:val="00CA2B2F"/>
    <w:rsid w:val="00CA2C38"/>
    <w:rsid w:val="00CA2C89"/>
    <w:rsid w:val="00CA2EAA"/>
    <w:rsid w:val="00CA2F97"/>
    <w:rsid w:val="00CA4278"/>
    <w:rsid w:val="00CA465A"/>
    <w:rsid w:val="00CA46A5"/>
    <w:rsid w:val="00CA46E3"/>
    <w:rsid w:val="00CA4720"/>
    <w:rsid w:val="00CA47AD"/>
    <w:rsid w:val="00CA49F8"/>
    <w:rsid w:val="00CA4B4E"/>
    <w:rsid w:val="00CA4D4E"/>
    <w:rsid w:val="00CA4E8E"/>
    <w:rsid w:val="00CA5743"/>
    <w:rsid w:val="00CA588A"/>
    <w:rsid w:val="00CA59A8"/>
    <w:rsid w:val="00CA5A30"/>
    <w:rsid w:val="00CA5B9C"/>
    <w:rsid w:val="00CA6507"/>
    <w:rsid w:val="00CA6524"/>
    <w:rsid w:val="00CA6690"/>
    <w:rsid w:val="00CA688B"/>
    <w:rsid w:val="00CA6F99"/>
    <w:rsid w:val="00CA7863"/>
    <w:rsid w:val="00CA7A5D"/>
    <w:rsid w:val="00CA7A7E"/>
    <w:rsid w:val="00CA7AC3"/>
    <w:rsid w:val="00CA7B9C"/>
    <w:rsid w:val="00CA7C8F"/>
    <w:rsid w:val="00CB04E2"/>
    <w:rsid w:val="00CB0745"/>
    <w:rsid w:val="00CB0BDA"/>
    <w:rsid w:val="00CB0EEC"/>
    <w:rsid w:val="00CB1374"/>
    <w:rsid w:val="00CB1593"/>
    <w:rsid w:val="00CB1AE4"/>
    <w:rsid w:val="00CB1F28"/>
    <w:rsid w:val="00CB1F5B"/>
    <w:rsid w:val="00CB2BF6"/>
    <w:rsid w:val="00CB2FBF"/>
    <w:rsid w:val="00CB3147"/>
    <w:rsid w:val="00CB3518"/>
    <w:rsid w:val="00CB3774"/>
    <w:rsid w:val="00CB3976"/>
    <w:rsid w:val="00CB3B70"/>
    <w:rsid w:val="00CB3C77"/>
    <w:rsid w:val="00CB404A"/>
    <w:rsid w:val="00CB40B0"/>
    <w:rsid w:val="00CB414D"/>
    <w:rsid w:val="00CB484F"/>
    <w:rsid w:val="00CB48A1"/>
    <w:rsid w:val="00CB4A0F"/>
    <w:rsid w:val="00CB4E15"/>
    <w:rsid w:val="00CB4FBB"/>
    <w:rsid w:val="00CB534D"/>
    <w:rsid w:val="00CB54B4"/>
    <w:rsid w:val="00CB5C93"/>
    <w:rsid w:val="00CB5DDE"/>
    <w:rsid w:val="00CB603B"/>
    <w:rsid w:val="00CB6569"/>
    <w:rsid w:val="00CB673B"/>
    <w:rsid w:val="00CB6902"/>
    <w:rsid w:val="00CB6D65"/>
    <w:rsid w:val="00CB7094"/>
    <w:rsid w:val="00CB7960"/>
    <w:rsid w:val="00CB7DE5"/>
    <w:rsid w:val="00CB7E39"/>
    <w:rsid w:val="00CB7F0B"/>
    <w:rsid w:val="00CC009B"/>
    <w:rsid w:val="00CC031B"/>
    <w:rsid w:val="00CC0BB8"/>
    <w:rsid w:val="00CC0BCE"/>
    <w:rsid w:val="00CC0C40"/>
    <w:rsid w:val="00CC0C69"/>
    <w:rsid w:val="00CC1196"/>
    <w:rsid w:val="00CC13B0"/>
    <w:rsid w:val="00CC15C1"/>
    <w:rsid w:val="00CC1B2A"/>
    <w:rsid w:val="00CC1E8D"/>
    <w:rsid w:val="00CC1FE9"/>
    <w:rsid w:val="00CC204A"/>
    <w:rsid w:val="00CC21B6"/>
    <w:rsid w:val="00CC2554"/>
    <w:rsid w:val="00CC290C"/>
    <w:rsid w:val="00CC2A30"/>
    <w:rsid w:val="00CC3006"/>
    <w:rsid w:val="00CC3827"/>
    <w:rsid w:val="00CC4053"/>
    <w:rsid w:val="00CC43BB"/>
    <w:rsid w:val="00CC4446"/>
    <w:rsid w:val="00CC4658"/>
    <w:rsid w:val="00CC46BF"/>
    <w:rsid w:val="00CC4792"/>
    <w:rsid w:val="00CC48F3"/>
    <w:rsid w:val="00CC4B29"/>
    <w:rsid w:val="00CC4F49"/>
    <w:rsid w:val="00CC501A"/>
    <w:rsid w:val="00CC516A"/>
    <w:rsid w:val="00CC5502"/>
    <w:rsid w:val="00CC578F"/>
    <w:rsid w:val="00CC5E18"/>
    <w:rsid w:val="00CC6584"/>
    <w:rsid w:val="00CC68BB"/>
    <w:rsid w:val="00CC6C22"/>
    <w:rsid w:val="00CC73DF"/>
    <w:rsid w:val="00CC7459"/>
    <w:rsid w:val="00CC74E9"/>
    <w:rsid w:val="00CC75A6"/>
    <w:rsid w:val="00CC7607"/>
    <w:rsid w:val="00CC7A7F"/>
    <w:rsid w:val="00CC7B70"/>
    <w:rsid w:val="00CD0930"/>
    <w:rsid w:val="00CD0ABE"/>
    <w:rsid w:val="00CD0BCF"/>
    <w:rsid w:val="00CD0D9D"/>
    <w:rsid w:val="00CD0DA1"/>
    <w:rsid w:val="00CD10D6"/>
    <w:rsid w:val="00CD1333"/>
    <w:rsid w:val="00CD15CA"/>
    <w:rsid w:val="00CD1628"/>
    <w:rsid w:val="00CD1725"/>
    <w:rsid w:val="00CD1B4A"/>
    <w:rsid w:val="00CD2248"/>
    <w:rsid w:val="00CD26E6"/>
    <w:rsid w:val="00CD2C36"/>
    <w:rsid w:val="00CD2C3A"/>
    <w:rsid w:val="00CD2D21"/>
    <w:rsid w:val="00CD3189"/>
    <w:rsid w:val="00CD390E"/>
    <w:rsid w:val="00CD400C"/>
    <w:rsid w:val="00CD42EC"/>
    <w:rsid w:val="00CD460A"/>
    <w:rsid w:val="00CD47B4"/>
    <w:rsid w:val="00CD4858"/>
    <w:rsid w:val="00CD4860"/>
    <w:rsid w:val="00CD4B0B"/>
    <w:rsid w:val="00CD4F8D"/>
    <w:rsid w:val="00CD5163"/>
    <w:rsid w:val="00CD58BE"/>
    <w:rsid w:val="00CD5AF4"/>
    <w:rsid w:val="00CD5CA6"/>
    <w:rsid w:val="00CD5FBC"/>
    <w:rsid w:val="00CD60DD"/>
    <w:rsid w:val="00CD622B"/>
    <w:rsid w:val="00CD6446"/>
    <w:rsid w:val="00CD664C"/>
    <w:rsid w:val="00CD7388"/>
    <w:rsid w:val="00CD7943"/>
    <w:rsid w:val="00CD7B71"/>
    <w:rsid w:val="00CE03D0"/>
    <w:rsid w:val="00CE0A2E"/>
    <w:rsid w:val="00CE0AF1"/>
    <w:rsid w:val="00CE0C54"/>
    <w:rsid w:val="00CE0F38"/>
    <w:rsid w:val="00CE102B"/>
    <w:rsid w:val="00CE144A"/>
    <w:rsid w:val="00CE14F2"/>
    <w:rsid w:val="00CE1662"/>
    <w:rsid w:val="00CE196F"/>
    <w:rsid w:val="00CE19E2"/>
    <w:rsid w:val="00CE1B63"/>
    <w:rsid w:val="00CE1D2B"/>
    <w:rsid w:val="00CE2033"/>
    <w:rsid w:val="00CE20E4"/>
    <w:rsid w:val="00CE2525"/>
    <w:rsid w:val="00CE28DF"/>
    <w:rsid w:val="00CE2D98"/>
    <w:rsid w:val="00CE2F30"/>
    <w:rsid w:val="00CE30E6"/>
    <w:rsid w:val="00CE32A0"/>
    <w:rsid w:val="00CE3A20"/>
    <w:rsid w:val="00CE3CA1"/>
    <w:rsid w:val="00CE3D08"/>
    <w:rsid w:val="00CE3E55"/>
    <w:rsid w:val="00CE3FC2"/>
    <w:rsid w:val="00CE427D"/>
    <w:rsid w:val="00CE4490"/>
    <w:rsid w:val="00CE44FF"/>
    <w:rsid w:val="00CE491A"/>
    <w:rsid w:val="00CE4CCE"/>
    <w:rsid w:val="00CE4D82"/>
    <w:rsid w:val="00CE5199"/>
    <w:rsid w:val="00CE5475"/>
    <w:rsid w:val="00CE56AD"/>
    <w:rsid w:val="00CE57F7"/>
    <w:rsid w:val="00CE60BC"/>
    <w:rsid w:val="00CE6124"/>
    <w:rsid w:val="00CE62D0"/>
    <w:rsid w:val="00CE72B2"/>
    <w:rsid w:val="00CE7AD6"/>
    <w:rsid w:val="00CE7B38"/>
    <w:rsid w:val="00CE7BBB"/>
    <w:rsid w:val="00CF0375"/>
    <w:rsid w:val="00CF0430"/>
    <w:rsid w:val="00CF0769"/>
    <w:rsid w:val="00CF07BB"/>
    <w:rsid w:val="00CF0913"/>
    <w:rsid w:val="00CF099B"/>
    <w:rsid w:val="00CF0B3F"/>
    <w:rsid w:val="00CF0CFA"/>
    <w:rsid w:val="00CF140B"/>
    <w:rsid w:val="00CF1E89"/>
    <w:rsid w:val="00CF1EBC"/>
    <w:rsid w:val="00CF1ED7"/>
    <w:rsid w:val="00CF1F1F"/>
    <w:rsid w:val="00CF231D"/>
    <w:rsid w:val="00CF258A"/>
    <w:rsid w:val="00CF26F7"/>
    <w:rsid w:val="00CF3091"/>
    <w:rsid w:val="00CF31AA"/>
    <w:rsid w:val="00CF321A"/>
    <w:rsid w:val="00CF328B"/>
    <w:rsid w:val="00CF32AA"/>
    <w:rsid w:val="00CF35D9"/>
    <w:rsid w:val="00CF35DA"/>
    <w:rsid w:val="00CF3666"/>
    <w:rsid w:val="00CF384A"/>
    <w:rsid w:val="00CF3C64"/>
    <w:rsid w:val="00CF4138"/>
    <w:rsid w:val="00CF413F"/>
    <w:rsid w:val="00CF460E"/>
    <w:rsid w:val="00CF480D"/>
    <w:rsid w:val="00CF4B67"/>
    <w:rsid w:val="00CF52A4"/>
    <w:rsid w:val="00CF5762"/>
    <w:rsid w:val="00CF577F"/>
    <w:rsid w:val="00CF5942"/>
    <w:rsid w:val="00CF673A"/>
    <w:rsid w:val="00CF6D55"/>
    <w:rsid w:val="00CF6DCA"/>
    <w:rsid w:val="00CF771E"/>
    <w:rsid w:val="00CF7CB7"/>
    <w:rsid w:val="00CF7E96"/>
    <w:rsid w:val="00CF7F93"/>
    <w:rsid w:val="00D0025E"/>
    <w:rsid w:val="00D0037C"/>
    <w:rsid w:val="00D00BCB"/>
    <w:rsid w:val="00D01381"/>
    <w:rsid w:val="00D01440"/>
    <w:rsid w:val="00D0189F"/>
    <w:rsid w:val="00D01B07"/>
    <w:rsid w:val="00D01B09"/>
    <w:rsid w:val="00D01D06"/>
    <w:rsid w:val="00D02049"/>
    <w:rsid w:val="00D020BB"/>
    <w:rsid w:val="00D023B5"/>
    <w:rsid w:val="00D02419"/>
    <w:rsid w:val="00D027F0"/>
    <w:rsid w:val="00D02BB5"/>
    <w:rsid w:val="00D02E95"/>
    <w:rsid w:val="00D03AB9"/>
    <w:rsid w:val="00D03B81"/>
    <w:rsid w:val="00D03C57"/>
    <w:rsid w:val="00D03CD5"/>
    <w:rsid w:val="00D04380"/>
    <w:rsid w:val="00D04777"/>
    <w:rsid w:val="00D04D1C"/>
    <w:rsid w:val="00D05025"/>
    <w:rsid w:val="00D05498"/>
    <w:rsid w:val="00D05509"/>
    <w:rsid w:val="00D05528"/>
    <w:rsid w:val="00D05A15"/>
    <w:rsid w:val="00D05F34"/>
    <w:rsid w:val="00D05F77"/>
    <w:rsid w:val="00D06700"/>
    <w:rsid w:val="00D06854"/>
    <w:rsid w:val="00D069B1"/>
    <w:rsid w:val="00D06B00"/>
    <w:rsid w:val="00D07548"/>
    <w:rsid w:val="00D07864"/>
    <w:rsid w:val="00D07DEC"/>
    <w:rsid w:val="00D10046"/>
    <w:rsid w:val="00D1008A"/>
    <w:rsid w:val="00D10271"/>
    <w:rsid w:val="00D1057C"/>
    <w:rsid w:val="00D10877"/>
    <w:rsid w:val="00D10931"/>
    <w:rsid w:val="00D10CC2"/>
    <w:rsid w:val="00D10F93"/>
    <w:rsid w:val="00D10FEA"/>
    <w:rsid w:val="00D114AB"/>
    <w:rsid w:val="00D11578"/>
    <w:rsid w:val="00D118D8"/>
    <w:rsid w:val="00D120B2"/>
    <w:rsid w:val="00D12212"/>
    <w:rsid w:val="00D12550"/>
    <w:rsid w:val="00D12867"/>
    <w:rsid w:val="00D12974"/>
    <w:rsid w:val="00D12C32"/>
    <w:rsid w:val="00D12D3D"/>
    <w:rsid w:val="00D13040"/>
    <w:rsid w:val="00D130BE"/>
    <w:rsid w:val="00D13122"/>
    <w:rsid w:val="00D1320F"/>
    <w:rsid w:val="00D13271"/>
    <w:rsid w:val="00D132B4"/>
    <w:rsid w:val="00D13840"/>
    <w:rsid w:val="00D13BDB"/>
    <w:rsid w:val="00D14ECF"/>
    <w:rsid w:val="00D15067"/>
    <w:rsid w:val="00D150AF"/>
    <w:rsid w:val="00D15114"/>
    <w:rsid w:val="00D152B0"/>
    <w:rsid w:val="00D1596E"/>
    <w:rsid w:val="00D1630F"/>
    <w:rsid w:val="00D1640D"/>
    <w:rsid w:val="00D16941"/>
    <w:rsid w:val="00D16ABA"/>
    <w:rsid w:val="00D16D4D"/>
    <w:rsid w:val="00D16DE7"/>
    <w:rsid w:val="00D16F53"/>
    <w:rsid w:val="00D172FD"/>
    <w:rsid w:val="00D17F35"/>
    <w:rsid w:val="00D2022E"/>
    <w:rsid w:val="00D2028A"/>
    <w:rsid w:val="00D20427"/>
    <w:rsid w:val="00D20677"/>
    <w:rsid w:val="00D20820"/>
    <w:rsid w:val="00D20E34"/>
    <w:rsid w:val="00D20F4E"/>
    <w:rsid w:val="00D20F6E"/>
    <w:rsid w:val="00D210D5"/>
    <w:rsid w:val="00D21198"/>
    <w:rsid w:val="00D21807"/>
    <w:rsid w:val="00D21981"/>
    <w:rsid w:val="00D21E3E"/>
    <w:rsid w:val="00D21F02"/>
    <w:rsid w:val="00D22620"/>
    <w:rsid w:val="00D226F1"/>
    <w:rsid w:val="00D229FF"/>
    <w:rsid w:val="00D23427"/>
    <w:rsid w:val="00D2343F"/>
    <w:rsid w:val="00D23686"/>
    <w:rsid w:val="00D23A7F"/>
    <w:rsid w:val="00D23DD6"/>
    <w:rsid w:val="00D2450B"/>
    <w:rsid w:val="00D2459A"/>
    <w:rsid w:val="00D246E1"/>
    <w:rsid w:val="00D248BE"/>
    <w:rsid w:val="00D24A53"/>
    <w:rsid w:val="00D24F99"/>
    <w:rsid w:val="00D25032"/>
    <w:rsid w:val="00D2530C"/>
    <w:rsid w:val="00D25354"/>
    <w:rsid w:val="00D258D0"/>
    <w:rsid w:val="00D259A5"/>
    <w:rsid w:val="00D25CFB"/>
    <w:rsid w:val="00D25E9F"/>
    <w:rsid w:val="00D25FD5"/>
    <w:rsid w:val="00D2608D"/>
    <w:rsid w:val="00D261C4"/>
    <w:rsid w:val="00D2623B"/>
    <w:rsid w:val="00D2624F"/>
    <w:rsid w:val="00D26419"/>
    <w:rsid w:val="00D26776"/>
    <w:rsid w:val="00D26910"/>
    <w:rsid w:val="00D27C8B"/>
    <w:rsid w:val="00D27D69"/>
    <w:rsid w:val="00D30208"/>
    <w:rsid w:val="00D3071E"/>
    <w:rsid w:val="00D30B5C"/>
    <w:rsid w:val="00D31598"/>
    <w:rsid w:val="00D316CD"/>
    <w:rsid w:val="00D31864"/>
    <w:rsid w:val="00D319E2"/>
    <w:rsid w:val="00D31A8D"/>
    <w:rsid w:val="00D32063"/>
    <w:rsid w:val="00D32253"/>
    <w:rsid w:val="00D3277F"/>
    <w:rsid w:val="00D3286E"/>
    <w:rsid w:val="00D32A4B"/>
    <w:rsid w:val="00D32A61"/>
    <w:rsid w:val="00D32BE6"/>
    <w:rsid w:val="00D32C35"/>
    <w:rsid w:val="00D32E6B"/>
    <w:rsid w:val="00D32E86"/>
    <w:rsid w:val="00D33172"/>
    <w:rsid w:val="00D3336A"/>
    <w:rsid w:val="00D33524"/>
    <w:rsid w:val="00D33D81"/>
    <w:rsid w:val="00D3427B"/>
    <w:rsid w:val="00D342EA"/>
    <w:rsid w:val="00D34A08"/>
    <w:rsid w:val="00D34EDC"/>
    <w:rsid w:val="00D35926"/>
    <w:rsid w:val="00D35D01"/>
    <w:rsid w:val="00D3601E"/>
    <w:rsid w:val="00D3623F"/>
    <w:rsid w:val="00D363F0"/>
    <w:rsid w:val="00D36884"/>
    <w:rsid w:val="00D36AF5"/>
    <w:rsid w:val="00D36BBE"/>
    <w:rsid w:val="00D36CB3"/>
    <w:rsid w:val="00D371DB"/>
    <w:rsid w:val="00D3735D"/>
    <w:rsid w:val="00D3744B"/>
    <w:rsid w:val="00D379E0"/>
    <w:rsid w:val="00D37CF7"/>
    <w:rsid w:val="00D37D6D"/>
    <w:rsid w:val="00D37E7E"/>
    <w:rsid w:val="00D40136"/>
    <w:rsid w:val="00D4037A"/>
    <w:rsid w:val="00D403F4"/>
    <w:rsid w:val="00D406C7"/>
    <w:rsid w:val="00D407A9"/>
    <w:rsid w:val="00D40F70"/>
    <w:rsid w:val="00D4116D"/>
    <w:rsid w:val="00D41308"/>
    <w:rsid w:val="00D4132B"/>
    <w:rsid w:val="00D415AF"/>
    <w:rsid w:val="00D41986"/>
    <w:rsid w:val="00D41CF0"/>
    <w:rsid w:val="00D41F64"/>
    <w:rsid w:val="00D421EB"/>
    <w:rsid w:val="00D42365"/>
    <w:rsid w:val="00D42648"/>
    <w:rsid w:val="00D42780"/>
    <w:rsid w:val="00D42831"/>
    <w:rsid w:val="00D42B8C"/>
    <w:rsid w:val="00D42E44"/>
    <w:rsid w:val="00D42ECC"/>
    <w:rsid w:val="00D42FA4"/>
    <w:rsid w:val="00D43304"/>
    <w:rsid w:val="00D43349"/>
    <w:rsid w:val="00D43616"/>
    <w:rsid w:val="00D43EB8"/>
    <w:rsid w:val="00D43F1A"/>
    <w:rsid w:val="00D44461"/>
    <w:rsid w:val="00D447FE"/>
    <w:rsid w:val="00D44B62"/>
    <w:rsid w:val="00D44B6D"/>
    <w:rsid w:val="00D44CF3"/>
    <w:rsid w:val="00D45091"/>
    <w:rsid w:val="00D4548C"/>
    <w:rsid w:val="00D45546"/>
    <w:rsid w:val="00D4590C"/>
    <w:rsid w:val="00D45E4E"/>
    <w:rsid w:val="00D45FA1"/>
    <w:rsid w:val="00D463DB"/>
    <w:rsid w:val="00D463E8"/>
    <w:rsid w:val="00D46690"/>
    <w:rsid w:val="00D46A56"/>
    <w:rsid w:val="00D46BA4"/>
    <w:rsid w:val="00D47128"/>
    <w:rsid w:val="00D47396"/>
    <w:rsid w:val="00D47992"/>
    <w:rsid w:val="00D50AE9"/>
    <w:rsid w:val="00D50EBE"/>
    <w:rsid w:val="00D50ECF"/>
    <w:rsid w:val="00D5108B"/>
    <w:rsid w:val="00D517A4"/>
    <w:rsid w:val="00D51909"/>
    <w:rsid w:val="00D51BBC"/>
    <w:rsid w:val="00D52259"/>
    <w:rsid w:val="00D524B6"/>
    <w:rsid w:val="00D52728"/>
    <w:rsid w:val="00D52AC1"/>
    <w:rsid w:val="00D52AE8"/>
    <w:rsid w:val="00D52C0E"/>
    <w:rsid w:val="00D5321A"/>
    <w:rsid w:val="00D533D8"/>
    <w:rsid w:val="00D534C3"/>
    <w:rsid w:val="00D534FD"/>
    <w:rsid w:val="00D5361B"/>
    <w:rsid w:val="00D543C0"/>
    <w:rsid w:val="00D5457C"/>
    <w:rsid w:val="00D54730"/>
    <w:rsid w:val="00D54807"/>
    <w:rsid w:val="00D54B95"/>
    <w:rsid w:val="00D54C35"/>
    <w:rsid w:val="00D54DA7"/>
    <w:rsid w:val="00D55231"/>
    <w:rsid w:val="00D55468"/>
    <w:rsid w:val="00D55809"/>
    <w:rsid w:val="00D55836"/>
    <w:rsid w:val="00D5592F"/>
    <w:rsid w:val="00D55B75"/>
    <w:rsid w:val="00D55C90"/>
    <w:rsid w:val="00D5632F"/>
    <w:rsid w:val="00D565DC"/>
    <w:rsid w:val="00D5694C"/>
    <w:rsid w:val="00D56E69"/>
    <w:rsid w:val="00D57130"/>
    <w:rsid w:val="00D57E20"/>
    <w:rsid w:val="00D60085"/>
    <w:rsid w:val="00D601B6"/>
    <w:rsid w:val="00D60592"/>
    <w:rsid w:val="00D605DA"/>
    <w:rsid w:val="00D607BC"/>
    <w:rsid w:val="00D60906"/>
    <w:rsid w:val="00D60AB0"/>
    <w:rsid w:val="00D60B44"/>
    <w:rsid w:val="00D60D74"/>
    <w:rsid w:val="00D60DFA"/>
    <w:rsid w:val="00D60E99"/>
    <w:rsid w:val="00D611DE"/>
    <w:rsid w:val="00D61363"/>
    <w:rsid w:val="00D616B2"/>
    <w:rsid w:val="00D617FD"/>
    <w:rsid w:val="00D61DAF"/>
    <w:rsid w:val="00D61F50"/>
    <w:rsid w:val="00D620C0"/>
    <w:rsid w:val="00D62384"/>
    <w:rsid w:val="00D6283B"/>
    <w:rsid w:val="00D62D17"/>
    <w:rsid w:val="00D63173"/>
    <w:rsid w:val="00D6366F"/>
    <w:rsid w:val="00D636CC"/>
    <w:rsid w:val="00D63A4F"/>
    <w:rsid w:val="00D63D48"/>
    <w:rsid w:val="00D63D6A"/>
    <w:rsid w:val="00D642CE"/>
    <w:rsid w:val="00D6477D"/>
    <w:rsid w:val="00D64794"/>
    <w:rsid w:val="00D64A95"/>
    <w:rsid w:val="00D64ADC"/>
    <w:rsid w:val="00D64D1D"/>
    <w:rsid w:val="00D64FF8"/>
    <w:rsid w:val="00D650A4"/>
    <w:rsid w:val="00D650A5"/>
    <w:rsid w:val="00D654F3"/>
    <w:rsid w:val="00D65BEA"/>
    <w:rsid w:val="00D65E20"/>
    <w:rsid w:val="00D66164"/>
    <w:rsid w:val="00D661EE"/>
    <w:rsid w:val="00D66B9E"/>
    <w:rsid w:val="00D66EEB"/>
    <w:rsid w:val="00D6700F"/>
    <w:rsid w:val="00D678DC"/>
    <w:rsid w:val="00D67F8B"/>
    <w:rsid w:val="00D703E7"/>
    <w:rsid w:val="00D708BB"/>
    <w:rsid w:val="00D70C55"/>
    <w:rsid w:val="00D70E4B"/>
    <w:rsid w:val="00D71B76"/>
    <w:rsid w:val="00D71D1C"/>
    <w:rsid w:val="00D722ED"/>
    <w:rsid w:val="00D72A21"/>
    <w:rsid w:val="00D72B98"/>
    <w:rsid w:val="00D72E7A"/>
    <w:rsid w:val="00D736AB"/>
    <w:rsid w:val="00D7395A"/>
    <w:rsid w:val="00D7422D"/>
    <w:rsid w:val="00D74317"/>
    <w:rsid w:val="00D746FD"/>
    <w:rsid w:val="00D749EB"/>
    <w:rsid w:val="00D7581D"/>
    <w:rsid w:val="00D75AC7"/>
    <w:rsid w:val="00D76005"/>
    <w:rsid w:val="00D7601A"/>
    <w:rsid w:val="00D760C3"/>
    <w:rsid w:val="00D76250"/>
    <w:rsid w:val="00D764C1"/>
    <w:rsid w:val="00D76901"/>
    <w:rsid w:val="00D76983"/>
    <w:rsid w:val="00D76C19"/>
    <w:rsid w:val="00D772DF"/>
    <w:rsid w:val="00D775DA"/>
    <w:rsid w:val="00D7762F"/>
    <w:rsid w:val="00D779C3"/>
    <w:rsid w:val="00D77C4B"/>
    <w:rsid w:val="00D77DA0"/>
    <w:rsid w:val="00D808EE"/>
    <w:rsid w:val="00D80C96"/>
    <w:rsid w:val="00D80FD4"/>
    <w:rsid w:val="00D81217"/>
    <w:rsid w:val="00D815D9"/>
    <w:rsid w:val="00D81608"/>
    <w:rsid w:val="00D81834"/>
    <w:rsid w:val="00D81952"/>
    <w:rsid w:val="00D81A4E"/>
    <w:rsid w:val="00D81F9F"/>
    <w:rsid w:val="00D820EE"/>
    <w:rsid w:val="00D823C7"/>
    <w:rsid w:val="00D82660"/>
    <w:rsid w:val="00D826DF"/>
    <w:rsid w:val="00D82C79"/>
    <w:rsid w:val="00D82E73"/>
    <w:rsid w:val="00D8307A"/>
    <w:rsid w:val="00D8428D"/>
    <w:rsid w:val="00D8461D"/>
    <w:rsid w:val="00D84734"/>
    <w:rsid w:val="00D852BE"/>
    <w:rsid w:val="00D858FB"/>
    <w:rsid w:val="00D85C54"/>
    <w:rsid w:val="00D85C61"/>
    <w:rsid w:val="00D86064"/>
    <w:rsid w:val="00D860BA"/>
    <w:rsid w:val="00D8617E"/>
    <w:rsid w:val="00D8636A"/>
    <w:rsid w:val="00D867AD"/>
    <w:rsid w:val="00D86E97"/>
    <w:rsid w:val="00D86FFD"/>
    <w:rsid w:val="00D871B2"/>
    <w:rsid w:val="00D87A11"/>
    <w:rsid w:val="00D87ADE"/>
    <w:rsid w:val="00D87D24"/>
    <w:rsid w:val="00D90047"/>
    <w:rsid w:val="00D904AD"/>
    <w:rsid w:val="00D90825"/>
    <w:rsid w:val="00D90892"/>
    <w:rsid w:val="00D90BB2"/>
    <w:rsid w:val="00D90C17"/>
    <w:rsid w:val="00D90D9C"/>
    <w:rsid w:val="00D90F73"/>
    <w:rsid w:val="00D914F3"/>
    <w:rsid w:val="00D91646"/>
    <w:rsid w:val="00D916B0"/>
    <w:rsid w:val="00D91F3B"/>
    <w:rsid w:val="00D922CD"/>
    <w:rsid w:val="00D9261C"/>
    <w:rsid w:val="00D92D45"/>
    <w:rsid w:val="00D9319C"/>
    <w:rsid w:val="00D937B3"/>
    <w:rsid w:val="00D93A7D"/>
    <w:rsid w:val="00D93EBA"/>
    <w:rsid w:val="00D94097"/>
    <w:rsid w:val="00D9427E"/>
    <w:rsid w:val="00D944A4"/>
    <w:rsid w:val="00D948B4"/>
    <w:rsid w:val="00D94CF1"/>
    <w:rsid w:val="00D9513B"/>
    <w:rsid w:val="00D9544A"/>
    <w:rsid w:val="00D95B99"/>
    <w:rsid w:val="00D95FEF"/>
    <w:rsid w:val="00D964EE"/>
    <w:rsid w:val="00D96C99"/>
    <w:rsid w:val="00D96FF7"/>
    <w:rsid w:val="00D9714D"/>
    <w:rsid w:val="00D971B8"/>
    <w:rsid w:val="00D975E1"/>
    <w:rsid w:val="00D97864"/>
    <w:rsid w:val="00D97D5C"/>
    <w:rsid w:val="00D97FE1"/>
    <w:rsid w:val="00DA03C5"/>
    <w:rsid w:val="00DA05C6"/>
    <w:rsid w:val="00DA07C0"/>
    <w:rsid w:val="00DA1271"/>
    <w:rsid w:val="00DA15A1"/>
    <w:rsid w:val="00DA18ED"/>
    <w:rsid w:val="00DA1DC4"/>
    <w:rsid w:val="00DA20B3"/>
    <w:rsid w:val="00DA2385"/>
    <w:rsid w:val="00DA23B6"/>
    <w:rsid w:val="00DA2701"/>
    <w:rsid w:val="00DA2AC5"/>
    <w:rsid w:val="00DA2CB6"/>
    <w:rsid w:val="00DA3000"/>
    <w:rsid w:val="00DA31F7"/>
    <w:rsid w:val="00DA329F"/>
    <w:rsid w:val="00DA3653"/>
    <w:rsid w:val="00DA3661"/>
    <w:rsid w:val="00DA3A16"/>
    <w:rsid w:val="00DA3EA9"/>
    <w:rsid w:val="00DA3EB2"/>
    <w:rsid w:val="00DA3EF2"/>
    <w:rsid w:val="00DA4072"/>
    <w:rsid w:val="00DA417A"/>
    <w:rsid w:val="00DA44E6"/>
    <w:rsid w:val="00DA4619"/>
    <w:rsid w:val="00DA4C9F"/>
    <w:rsid w:val="00DA50A3"/>
    <w:rsid w:val="00DA52DA"/>
    <w:rsid w:val="00DA5319"/>
    <w:rsid w:val="00DA5ABE"/>
    <w:rsid w:val="00DA60FC"/>
    <w:rsid w:val="00DA6126"/>
    <w:rsid w:val="00DA62F7"/>
    <w:rsid w:val="00DA6533"/>
    <w:rsid w:val="00DA65AB"/>
    <w:rsid w:val="00DA6A5A"/>
    <w:rsid w:val="00DA6D8C"/>
    <w:rsid w:val="00DA700F"/>
    <w:rsid w:val="00DA71FE"/>
    <w:rsid w:val="00DA7506"/>
    <w:rsid w:val="00DA7727"/>
    <w:rsid w:val="00DB04F8"/>
    <w:rsid w:val="00DB05B8"/>
    <w:rsid w:val="00DB080A"/>
    <w:rsid w:val="00DB0A8E"/>
    <w:rsid w:val="00DB1109"/>
    <w:rsid w:val="00DB142D"/>
    <w:rsid w:val="00DB159F"/>
    <w:rsid w:val="00DB16A3"/>
    <w:rsid w:val="00DB1938"/>
    <w:rsid w:val="00DB1F7C"/>
    <w:rsid w:val="00DB2BC7"/>
    <w:rsid w:val="00DB2C36"/>
    <w:rsid w:val="00DB3DA8"/>
    <w:rsid w:val="00DB44E0"/>
    <w:rsid w:val="00DB451F"/>
    <w:rsid w:val="00DB4573"/>
    <w:rsid w:val="00DB48A2"/>
    <w:rsid w:val="00DB496C"/>
    <w:rsid w:val="00DB4B9F"/>
    <w:rsid w:val="00DB4E98"/>
    <w:rsid w:val="00DB4EA0"/>
    <w:rsid w:val="00DB4F87"/>
    <w:rsid w:val="00DB511C"/>
    <w:rsid w:val="00DB54D0"/>
    <w:rsid w:val="00DB56C2"/>
    <w:rsid w:val="00DB5949"/>
    <w:rsid w:val="00DB5A81"/>
    <w:rsid w:val="00DB5D70"/>
    <w:rsid w:val="00DB6014"/>
    <w:rsid w:val="00DB61C4"/>
    <w:rsid w:val="00DB6A7C"/>
    <w:rsid w:val="00DB6DFF"/>
    <w:rsid w:val="00DB6FB6"/>
    <w:rsid w:val="00DB6FBF"/>
    <w:rsid w:val="00DB70F0"/>
    <w:rsid w:val="00DB75BD"/>
    <w:rsid w:val="00DB7655"/>
    <w:rsid w:val="00DB7918"/>
    <w:rsid w:val="00DB7DD1"/>
    <w:rsid w:val="00DB7EE4"/>
    <w:rsid w:val="00DC080E"/>
    <w:rsid w:val="00DC0B68"/>
    <w:rsid w:val="00DC0CEC"/>
    <w:rsid w:val="00DC0E5D"/>
    <w:rsid w:val="00DC103C"/>
    <w:rsid w:val="00DC10D0"/>
    <w:rsid w:val="00DC13D0"/>
    <w:rsid w:val="00DC169E"/>
    <w:rsid w:val="00DC1768"/>
    <w:rsid w:val="00DC197F"/>
    <w:rsid w:val="00DC1C44"/>
    <w:rsid w:val="00DC280B"/>
    <w:rsid w:val="00DC2BA0"/>
    <w:rsid w:val="00DC2E77"/>
    <w:rsid w:val="00DC347F"/>
    <w:rsid w:val="00DC3688"/>
    <w:rsid w:val="00DC38D1"/>
    <w:rsid w:val="00DC3B93"/>
    <w:rsid w:val="00DC3F30"/>
    <w:rsid w:val="00DC41B6"/>
    <w:rsid w:val="00DC42A9"/>
    <w:rsid w:val="00DC4833"/>
    <w:rsid w:val="00DC4AB7"/>
    <w:rsid w:val="00DC4C40"/>
    <w:rsid w:val="00DC4D71"/>
    <w:rsid w:val="00DC525D"/>
    <w:rsid w:val="00DC55DC"/>
    <w:rsid w:val="00DC5B7C"/>
    <w:rsid w:val="00DC64D6"/>
    <w:rsid w:val="00DC663E"/>
    <w:rsid w:val="00DC6940"/>
    <w:rsid w:val="00DC6AFC"/>
    <w:rsid w:val="00DC6B27"/>
    <w:rsid w:val="00DC6BEA"/>
    <w:rsid w:val="00DC6F09"/>
    <w:rsid w:val="00DC727F"/>
    <w:rsid w:val="00DC7898"/>
    <w:rsid w:val="00DC78B8"/>
    <w:rsid w:val="00DC7AD2"/>
    <w:rsid w:val="00DC7AF6"/>
    <w:rsid w:val="00DC7CAF"/>
    <w:rsid w:val="00DD00C9"/>
    <w:rsid w:val="00DD0553"/>
    <w:rsid w:val="00DD07C1"/>
    <w:rsid w:val="00DD091C"/>
    <w:rsid w:val="00DD0ABE"/>
    <w:rsid w:val="00DD1072"/>
    <w:rsid w:val="00DD108F"/>
    <w:rsid w:val="00DD1266"/>
    <w:rsid w:val="00DD17E5"/>
    <w:rsid w:val="00DD18C6"/>
    <w:rsid w:val="00DD192D"/>
    <w:rsid w:val="00DD1FFD"/>
    <w:rsid w:val="00DD2087"/>
    <w:rsid w:val="00DD23DA"/>
    <w:rsid w:val="00DD24E5"/>
    <w:rsid w:val="00DD2506"/>
    <w:rsid w:val="00DD2BFD"/>
    <w:rsid w:val="00DD2CA3"/>
    <w:rsid w:val="00DD2E08"/>
    <w:rsid w:val="00DD300E"/>
    <w:rsid w:val="00DD34D2"/>
    <w:rsid w:val="00DD3587"/>
    <w:rsid w:val="00DD396D"/>
    <w:rsid w:val="00DD3BCC"/>
    <w:rsid w:val="00DD3CC9"/>
    <w:rsid w:val="00DD400B"/>
    <w:rsid w:val="00DD43D0"/>
    <w:rsid w:val="00DD450A"/>
    <w:rsid w:val="00DD478E"/>
    <w:rsid w:val="00DD4C3B"/>
    <w:rsid w:val="00DD4C7F"/>
    <w:rsid w:val="00DD4FFC"/>
    <w:rsid w:val="00DD5885"/>
    <w:rsid w:val="00DD62CB"/>
    <w:rsid w:val="00DD62F9"/>
    <w:rsid w:val="00DD65E3"/>
    <w:rsid w:val="00DD6BB2"/>
    <w:rsid w:val="00DD6CF5"/>
    <w:rsid w:val="00DD6F01"/>
    <w:rsid w:val="00DD729A"/>
    <w:rsid w:val="00DD7367"/>
    <w:rsid w:val="00DD7613"/>
    <w:rsid w:val="00DD79DD"/>
    <w:rsid w:val="00DE0AB3"/>
    <w:rsid w:val="00DE0E9A"/>
    <w:rsid w:val="00DE0ED9"/>
    <w:rsid w:val="00DE0FC5"/>
    <w:rsid w:val="00DE11EB"/>
    <w:rsid w:val="00DE1487"/>
    <w:rsid w:val="00DE16E0"/>
    <w:rsid w:val="00DE17C5"/>
    <w:rsid w:val="00DE1C35"/>
    <w:rsid w:val="00DE1E82"/>
    <w:rsid w:val="00DE2351"/>
    <w:rsid w:val="00DE2432"/>
    <w:rsid w:val="00DE25B1"/>
    <w:rsid w:val="00DE2806"/>
    <w:rsid w:val="00DE28B2"/>
    <w:rsid w:val="00DE28F9"/>
    <w:rsid w:val="00DE3C5D"/>
    <w:rsid w:val="00DE3D80"/>
    <w:rsid w:val="00DE4253"/>
    <w:rsid w:val="00DE42B8"/>
    <w:rsid w:val="00DE4708"/>
    <w:rsid w:val="00DE4C7F"/>
    <w:rsid w:val="00DE4DBA"/>
    <w:rsid w:val="00DE554D"/>
    <w:rsid w:val="00DE59BB"/>
    <w:rsid w:val="00DE5A6F"/>
    <w:rsid w:val="00DE5B1E"/>
    <w:rsid w:val="00DE5C5F"/>
    <w:rsid w:val="00DE5D07"/>
    <w:rsid w:val="00DE5D2F"/>
    <w:rsid w:val="00DE5F38"/>
    <w:rsid w:val="00DE604C"/>
    <w:rsid w:val="00DE6063"/>
    <w:rsid w:val="00DE60F9"/>
    <w:rsid w:val="00DE6376"/>
    <w:rsid w:val="00DE653C"/>
    <w:rsid w:val="00DE7104"/>
    <w:rsid w:val="00DE7AD3"/>
    <w:rsid w:val="00DE7CF4"/>
    <w:rsid w:val="00DE7D19"/>
    <w:rsid w:val="00DE7E01"/>
    <w:rsid w:val="00DE7EAE"/>
    <w:rsid w:val="00DF00A8"/>
    <w:rsid w:val="00DF04E4"/>
    <w:rsid w:val="00DF0628"/>
    <w:rsid w:val="00DF08BE"/>
    <w:rsid w:val="00DF0BB1"/>
    <w:rsid w:val="00DF0C9E"/>
    <w:rsid w:val="00DF0E15"/>
    <w:rsid w:val="00DF0F21"/>
    <w:rsid w:val="00DF0F6B"/>
    <w:rsid w:val="00DF15E7"/>
    <w:rsid w:val="00DF196D"/>
    <w:rsid w:val="00DF1EB2"/>
    <w:rsid w:val="00DF246F"/>
    <w:rsid w:val="00DF2656"/>
    <w:rsid w:val="00DF3098"/>
    <w:rsid w:val="00DF30F5"/>
    <w:rsid w:val="00DF375F"/>
    <w:rsid w:val="00DF3927"/>
    <w:rsid w:val="00DF3991"/>
    <w:rsid w:val="00DF493D"/>
    <w:rsid w:val="00DF49A0"/>
    <w:rsid w:val="00DF4D2B"/>
    <w:rsid w:val="00DF5468"/>
    <w:rsid w:val="00DF57B1"/>
    <w:rsid w:val="00DF5A59"/>
    <w:rsid w:val="00DF6018"/>
    <w:rsid w:val="00DF60C1"/>
    <w:rsid w:val="00DF61CE"/>
    <w:rsid w:val="00DF6EDC"/>
    <w:rsid w:val="00DF7048"/>
    <w:rsid w:val="00DF719E"/>
    <w:rsid w:val="00DF7B51"/>
    <w:rsid w:val="00DF7B81"/>
    <w:rsid w:val="00DF7BAC"/>
    <w:rsid w:val="00DF7EF2"/>
    <w:rsid w:val="00E00545"/>
    <w:rsid w:val="00E007C9"/>
    <w:rsid w:val="00E00ABA"/>
    <w:rsid w:val="00E00DF2"/>
    <w:rsid w:val="00E0110B"/>
    <w:rsid w:val="00E014BF"/>
    <w:rsid w:val="00E01FFC"/>
    <w:rsid w:val="00E02017"/>
    <w:rsid w:val="00E021A0"/>
    <w:rsid w:val="00E021F5"/>
    <w:rsid w:val="00E0243A"/>
    <w:rsid w:val="00E02446"/>
    <w:rsid w:val="00E024F8"/>
    <w:rsid w:val="00E02ECE"/>
    <w:rsid w:val="00E02EE2"/>
    <w:rsid w:val="00E03235"/>
    <w:rsid w:val="00E036C5"/>
    <w:rsid w:val="00E0387E"/>
    <w:rsid w:val="00E03D3D"/>
    <w:rsid w:val="00E03D7D"/>
    <w:rsid w:val="00E03E55"/>
    <w:rsid w:val="00E03E7C"/>
    <w:rsid w:val="00E03F71"/>
    <w:rsid w:val="00E045DC"/>
    <w:rsid w:val="00E04B27"/>
    <w:rsid w:val="00E050AC"/>
    <w:rsid w:val="00E05803"/>
    <w:rsid w:val="00E058D8"/>
    <w:rsid w:val="00E0596B"/>
    <w:rsid w:val="00E065A9"/>
    <w:rsid w:val="00E0667A"/>
    <w:rsid w:val="00E0676B"/>
    <w:rsid w:val="00E0684F"/>
    <w:rsid w:val="00E0687E"/>
    <w:rsid w:val="00E069D3"/>
    <w:rsid w:val="00E06B2A"/>
    <w:rsid w:val="00E071A4"/>
    <w:rsid w:val="00E077A5"/>
    <w:rsid w:val="00E0782D"/>
    <w:rsid w:val="00E07B28"/>
    <w:rsid w:val="00E07C0F"/>
    <w:rsid w:val="00E101B4"/>
    <w:rsid w:val="00E10427"/>
    <w:rsid w:val="00E10B12"/>
    <w:rsid w:val="00E10FCB"/>
    <w:rsid w:val="00E11077"/>
    <w:rsid w:val="00E110B3"/>
    <w:rsid w:val="00E112DD"/>
    <w:rsid w:val="00E1135A"/>
    <w:rsid w:val="00E1159A"/>
    <w:rsid w:val="00E117CC"/>
    <w:rsid w:val="00E118AC"/>
    <w:rsid w:val="00E11AD2"/>
    <w:rsid w:val="00E11D36"/>
    <w:rsid w:val="00E1203D"/>
    <w:rsid w:val="00E12431"/>
    <w:rsid w:val="00E1252F"/>
    <w:rsid w:val="00E129D8"/>
    <w:rsid w:val="00E12C62"/>
    <w:rsid w:val="00E12C81"/>
    <w:rsid w:val="00E12E0B"/>
    <w:rsid w:val="00E1362E"/>
    <w:rsid w:val="00E139B1"/>
    <w:rsid w:val="00E13EDF"/>
    <w:rsid w:val="00E14038"/>
    <w:rsid w:val="00E147BF"/>
    <w:rsid w:val="00E14E35"/>
    <w:rsid w:val="00E15050"/>
    <w:rsid w:val="00E15082"/>
    <w:rsid w:val="00E15088"/>
    <w:rsid w:val="00E1587F"/>
    <w:rsid w:val="00E159F6"/>
    <w:rsid w:val="00E15AA2"/>
    <w:rsid w:val="00E15D2A"/>
    <w:rsid w:val="00E15E6E"/>
    <w:rsid w:val="00E15F0D"/>
    <w:rsid w:val="00E163FC"/>
    <w:rsid w:val="00E16453"/>
    <w:rsid w:val="00E16679"/>
    <w:rsid w:val="00E1669A"/>
    <w:rsid w:val="00E16801"/>
    <w:rsid w:val="00E16E82"/>
    <w:rsid w:val="00E170A5"/>
    <w:rsid w:val="00E17218"/>
    <w:rsid w:val="00E172AC"/>
    <w:rsid w:val="00E178D9"/>
    <w:rsid w:val="00E179E7"/>
    <w:rsid w:val="00E20AB1"/>
    <w:rsid w:val="00E20D37"/>
    <w:rsid w:val="00E20F31"/>
    <w:rsid w:val="00E217C1"/>
    <w:rsid w:val="00E21B0E"/>
    <w:rsid w:val="00E21BB0"/>
    <w:rsid w:val="00E222E8"/>
    <w:rsid w:val="00E22594"/>
    <w:rsid w:val="00E22782"/>
    <w:rsid w:val="00E22914"/>
    <w:rsid w:val="00E22C35"/>
    <w:rsid w:val="00E22FBA"/>
    <w:rsid w:val="00E22FFC"/>
    <w:rsid w:val="00E2307A"/>
    <w:rsid w:val="00E23105"/>
    <w:rsid w:val="00E23744"/>
    <w:rsid w:val="00E23D90"/>
    <w:rsid w:val="00E23EEE"/>
    <w:rsid w:val="00E24551"/>
    <w:rsid w:val="00E2479C"/>
    <w:rsid w:val="00E247AC"/>
    <w:rsid w:val="00E24DEA"/>
    <w:rsid w:val="00E24F29"/>
    <w:rsid w:val="00E25238"/>
    <w:rsid w:val="00E2543A"/>
    <w:rsid w:val="00E25C3F"/>
    <w:rsid w:val="00E26288"/>
    <w:rsid w:val="00E26777"/>
    <w:rsid w:val="00E267AD"/>
    <w:rsid w:val="00E267D2"/>
    <w:rsid w:val="00E268C1"/>
    <w:rsid w:val="00E26AB4"/>
    <w:rsid w:val="00E26AF1"/>
    <w:rsid w:val="00E26CA7"/>
    <w:rsid w:val="00E26DEB"/>
    <w:rsid w:val="00E27231"/>
    <w:rsid w:val="00E272AA"/>
    <w:rsid w:val="00E27795"/>
    <w:rsid w:val="00E277D8"/>
    <w:rsid w:val="00E2791E"/>
    <w:rsid w:val="00E27D35"/>
    <w:rsid w:val="00E3002B"/>
    <w:rsid w:val="00E303D1"/>
    <w:rsid w:val="00E3052F"/>
    <w:rsid w:val="00E307FE"/>
    <w:rsid w:val="00E31185"/>
    <w:rsid w:val="00E31350"/>
    <w:rsid w:val="00E3184B"/>
    <w:rsid w:val="00E31F01"/>
    <w:rsid w:val="00E31FA1"/>
    <w:rsid w:val="00E3221C"/>
    <w:rsid w:val="00E322D7"/>
    <w:rsid w:val="00E32533"/>
    <w:rsid w:val="00E32818"/>
    <w:rsid w:val="00E32FCF"/>
    <w:rsid w:val="00E33385"/>
    <w:rsid w:val="00E3399B"/>
    <w:rsid w:val="00E33ACD"/>
    <w:rsid w:val="00E3411E"/>
    <w:rsid w:val="00E34442"/>
    <w:rsid w:val="00E34511"/>
    <w:rsid w:val="00E34581"/>
    <w:rsid w:val="00E3468D"/>
    <w:rsid w:val="00E34B85"/>
    <w:rsid w:val="00E34D91"/>
    <w:rsid w:val="00E34DD8"/>
    <w:rsid w:val="00E34F8F"/>
    <w:rsid w:val="00E3502A"/>
    <w:rsid w:val="00E3513E"/>
    <w:rsid w:val="00E35672"/>
    <w:rsid w:val="00E356E0"/>
    <w:rsid w:val="00E358AF"/>
    <w:rsid w:val="00E35B2A"/>
    <w:rsid w:val="00E35F3A"/>
    <w:rsid w:val="00E36769"/>
    <w:rsid w:val="00E369F0"/>
    <w:rsid w:val="00E37286"/>
    <w:rsid w:val="00E374AE"/>
    <w:rsid w:val="00E37A72"/>
    <w:rsid w:val="00E401D0"/>
    <w:rsid w:val="00E404B7"/>
    <w:rsid w:val="00E41110"/>
    <w:rsid w:val="00E41691"/>
    <w:rsid w:val="00E41EB8"/>
    <w:rsid w:val="00E41F86"/>
    <w:rsid w:val="00E42D0F"/>
    <w:rsid w:val="00E433E9"/>
    <w:rsid w:val="00E43596"/>
    <w:rsid w:val="00E43D8B"/>
    <w:rsid w:val="00E43FC3"/>
    <w:rsid w:val="00E4400C"/>
    <w:rsid w:val="00E44021"/>
    <w:rsid w:val="00E44BAA"/>
    <w:rsid w:val="00E44DAC"/>
    <w:rsid w:val="00E44F10"/>
    <w:rsid w:val="00E4500C"/>
    <w:rsid w:val="00E45532"/>
    <w:rsid w:val="00E456E1"/>
    <w:rsid w:val="00E45A0B"/>
    <w:rsid w:val="00E45B99"/>
    <w:rsid w:val="00E45D06"/>
    <w:rsid w:val="00E4618B"/>
    <w:rsid w:val="00E4779F"/>
    <w:rsid w:val="00E478EF"/>
    <w:rsid w:val="00E47965"/>
    <w:rsid w:val="00E47ABC"/>
    <w:rsid w:val="00E47B83"/>
    <w:rsid w:val="00E47BD4"/>
    <w:rsid w:val="00E50151"/>
    <w:rsid w:val="00E501C2"/>
    <w:rsid w:val="00E50775"/>
    <w:rsid w:val="00E507AF"/>
    <w:rsid w:val="00E5083F"/>
    <w:rsid w:val="00E509DF"/>
    <w:rsid w:val="00E50A4B"/>
    <w:rsid w:val="00E50B1A"/>
    <w:rsid w:val="00E50D34"/>
    <w:rsid w:val="00E50D64"/>
    <w:rsid w:val="00E50D8E"/>
    <w:rsid w:val="00E50E7F"/>
    <w:rsid w:val="00E50F1D"/>
    <w:rsid w:val="00E50F6E"/>
    <w:rsid w:val="00E510F9"/>
    <w:rsid w:val="00E5130F"/>
    <w:rsid w:val="00E5134E"/>
    <w:rsid w:val="00E516D4"/>
    <w:rsid w:val="00E5181C"/>
    <w:rsid w:val="00E51880"/>
    <w:rsid w:val="00E51913"/>
    <w:rsid w:val="00E51941"/>
    <w:rsid w:val="00E51D7B"/>
    <w:rsid w:val="00E51E52"/>
    <w:rsid w:val="00E51E97"/>
    <w:rsid w:val="00E524AC"/>
    <w:rsid w:val="00E526F9"/>
    <w:rsid w:val="00E5297A"/>
    <w:rsid w:val="00E52DC6"/>
    <w:rsid w:val="00E5325F"/>
    <w:rsid w:val="00E53A44"/>
    <w:rsid w:val="00E53DA2"/>
    <w:rsid w:val="00E53DE1"/>
    <w:rsid w:val="00E54291"/>
    <w:rsid w:val="00E542B8"/>
    <w:rsid w:val="00E54387"/>
    <w:rsid w:val="00E54BCF"/>
    <w:rsid w:val="00E55364"/>
    <w:rsid w:val="00E55FA7"/>
    <w:rsid w:val="00E56073"/>
    <w:rsid w:val="00E560F6"/>
    <w:rsid w:val="00E568B8"/>
    <w:rsid w:val="00E569DC"/>
    <w:rsid w:val="00E56A11"/>
    <w:rsid w:val="00E56F2D"/>
    <w:rsid w:val="00E57040"/>
    <w:rsid w:val="00E571E1"/>
    <w:rsid w:val="00E5763F"/>
    <w:rsid w:val="00E57807"/>
    <w:rsid w:val="00E57D69"/>
    <w:rsid w:val="00E57EA2"/>
    <w:rsid w:val="00E57F3A"/>
    <w:rsid w:val="00E604C4"/>
    <w:rsid w:val="00E60B71"/>
    <w:rsid w:val="00E60C6C"/>
    <w:rsid w:val="00E60EAA"/>
    <w:rsid w:val="00E60F2B"/>
    <w:rsid w:val="00E61131"/>
    <w:rsid w:val="00E611D5"/>
    <w:rsid w:val="00E61338"/>
    <w:rsid w:val="00E613AB"/>
    <w:rsid w:val="00E61829"/>
    <w:rsid w:val="00E61C01"/>
    <w:rsid w:val="00E61DDB"/>
    <w:rsid w:val="00E61F34"/>
    <w:rsid w:val="00E61FC0"/>
    <w:rsid w:val="00E62720"/>
    <w:rsid w:val="00E627DB"/>
    <w:rsid w:val="00E62899"/>
    <w:rsid w:val="00E62C66"/>
    <w:rsid w:val="00E62D8D"/>
    <w:rsid w:val="00E63C01"/>
    <w:rsid w:val="00E63D94"/>
    <w:rsid w:val="00E644A7"/>
    <w:rsid w:val="00E64590"/>
    <w:rsid w:val="00E6464E"/>
    <w:rsid w:val="00E6470D"/>
    <w:rsid w:val="00E64775"/>
    <w:rsid w:val="00E64DAC"/>
    <w:rsid w:val="00E64EAE"/>
    <w:rsid w:val="00E6523A"/>
    <w:rsid w:val="00E6623B"/>
    <w:rsid w:val="00E66519"/>
    <w:rsid w:val="00E670FE"/>
    <w:rsid w:val="00E67392"/>
    <w:rsid w:val="00E676CC"/>
    <w:rsid w:val="00E67803"/>
    <w:rsid w:val="00E67A40"/>
    <w:rsid w:val="00E67A82"/>
    <w:rsid w:val="00E700AD"/>
    <w:rsid w:val="00E7058E"/>
    <w:rsid w:val="00E708B9"/>
    <w:rsid w:val="00E70A21"/>
    <w:rsid w:val="00E70E63"/>
    <w:rsid w:val="00E71421"/>
    <w:rsid w:val="00E714DF"/>
    <w:rsid w:val="00E714E3"/>
    <w:rsid w:val="00E722B4"/>
    <w:rsid w:val="00E72680"/>
    <w:rsid w:val="00E73058"/>
    <w:rsid w:val="00E733C7"/>
    <w:rsid w:val="00E7366A"/>
    <w:rsid w:val="00E73D51"/>
    <w:rsid w:val="00E73E66"/>
    <w:rsid w:val="00E7432F"/>
    <w:rsid w:val="00E745BA"/>
    <w:rsid w:val="00E74821"/>
    <w:rsid w:val="00E74970"/>
    <w:rsid w:val="00E74C95"/>
    <w:rsid w:val="00E74D8F"/>
    <w:rsid w:val="00E74F6F"/>
    <w:rsid w:val="00E75736"/>
    <w:rsid w:val="00E7574C"/>
    <w:rsid w:val="00E75C5A"/>
    <w:rsid w:val="00E75D8E"/>
    <w:rsid w:val="00E75DE5"/>
    <w:rsid w:val="00E75E72"/>
    <w:rsid w:val="00E761F3"/>
    <w:rsid w:val="00E7643B"/>
    <w:rsid w:val="00E7650A"/>
    <w:rsid w:val="00E7661F"/>
    <w:rsid w:val="00E76682"/>
    <w:rsid w:val="00E76C63"/>
    <w:rsid w:val="00E7747C"/>
    <w:rsid w:val="00E7748F"/>
    <w:rsid w:val="00E77650"/>
    <w:rsid w:val="00E77738"/>
    <w:rsid w:val="00E7781C"/>
    <w:rsid w:val="00E77B15"/>
    <w:rsid w:val="00E800DB"/>
    <w:rsid w:val="00E80103"/>
    <w:rsid w:val="00E8016D"/>
    <w:rsid w:val="00E8025E"/>
    <w:rsid w:val="00E8027F"/>
    <w:rsid w:val="00E8090D"/>
    <w:rsid w:val="00E80ADA"/>
    <w:rsid w:val="00E80BF6"/>
    <w:rsid w:val="00E80D2D"/>
    <w:rsid w:val="00E80E21"/>
    <w:rsid w:val="00E80E40"/>
    <w:rsid w:val="00E8133B"/>
    <w:rsid w:val="00E81C4B"/>
    <w:rsid w:val="00E81C8A"/>
    <w:rsid w:val="00E81E93"/>
    <w:rsid w:val="00E81FBB"/>
    <w:rsid w:val="00E82E73"/>
    <w:rsid w:val="00E8398E"/>
    <w:rsid w:val="00E83F5E"/>
    <w:rsid w:val="00E8496D"/>
    <w:rsid w:val="00E84A77"/>
    <w:rsid w:val="00E84FB3"/>
    <w:rsid w:val="00E85391"/>
    <w:rsid w:val="00E85643"/>
    <w:rsid w:val="00E8568E"/>
    <w:rsid w:val="00E856DD"/>
    <w:rsid w:val="00E85ACB"/>
    <w:rsid w:val="00E86311"/>
    <w:rsid w:val="00E86663"/>
    <w:rsid w:val="00E869CF"/>
    <w:rsid w:val="00E86A21"/>
    <w:rsid w:val="00E86A45"/>
    <w:rsid w:val="00E86BE7"/>
    <w:rsid w:val="00E87088"/>
    <w:rsid w:val="00E87746"/>
    <w:rsid w:val="00E877DF"/>
    <w:rsid w:val="00E878BF"/>
    <w:rsid w:val="00E878FC"/>
    <w:rsid w:val="00E87D15"/>
    <w:rsid w:val="00E87F90"/>
    <w:rsid w:val="00E90330"/>
    <w:rsid w:val="00E9040B"/>
    <w:rsid w:val="00E90476"/>
    <w:rsid w:val="00E9063A"/>
    <w:rsid w:val="00E908F9"/>
    <w:rsid w:val="00E910CF"/>
    <w:rsid w:val="00E91226"/>
    <w:rsid w:val="00E91459"/>
    <w:rsid w:val="00E9161A"/>
    <w:rsid w:val="00E916C0"/>
    <w:rsid w:val="00E91742"/>
    <w:rsid w:val="00E91772"/>
    <w:rsid w:val="00E91946"/>
    <w:rsid w:val="00E91989"/>
    <w:rsid w:val="00E91D12"/>
    <w:rsid w:val="00E91E35"/>
    <w:rsid w:val="00E925B6"/>
    <w:rsid w:val="00E93D2D"/>
    <w:rsid w:val="00E93DE3"/>
    <w:rsid w:val="00E94001"/>
    <w:rsid w:val="00E941E2"/>
    <w:rsid w:val="00E9420B"/>
    <w:rsid w:val="00E949B4"/>
    <w:rsid w:val="00E94AC2"/>
    <w:rsid w:val="00E94F0A"/>
    <w:rsid w:val="00E95E20"/>
    <w:rsid w:val="00E96214"/>
    <w:rsid w:val="00E96402"/>
    <w:rsid w:val="00E9643C"/>
    <w:rsid w:val="00E9664C"/>
    <w:rsid w:val="00E96ED1"/>
    <w:rsid w:val="00E96FCE"/>
    <w:rsid w:val="00E97008"/>
    <w:rsid w:val="00E97166"/>
    <w:rsid w:val="00E9717B"/>
    <w:rsid w:val="00E97372"/>
    <w:rsid w:val="00E974FF"/>
    <w:rsid w:val="00E979CF"/>
    <w:rsid w:val="00E97BAF"/>
    <w:rsid w:val="00EA01D0"/>
    <w:rsid w:val="00EA020B"/>
    <w:rsid w:val="00EA040D"/>
    <w:rsid w:val="00EA0961"/>
    <w:rsid w:val="00EA0B7E"/>
    <w:rsid w:val="00EA0C36"/>
    <w:rsid w:val="00EA0CC0"/>
    <w:rsid w:val="00EA0E6E"/>
    <w:rsid w:val="00EA19C0"/>
    <w:rsid w:val="00EA1CDD"/>
    <w:rsid w:val="00EA1DA4"/>
    <w:rsid w:val="00EA23DE"/>
    <w:rsid w:val="00EA24A2"/>
    <w:rsid w:val="00EA29D2"/>
    <w:rsid w:val="00EA29F6"/>
    <w:rsid w:val="00EA2E5D"/>
    <w:rsid w:val="00EA2EF4"/>
    <w:rsid w:val="00EA2FFF"/>
    <w:rsid w:val="00EA312D"/>
    <w:rsid w:val="00EA330B"/>
    <w:rsid w:val="00EA3373"/>
    <w:rsid w:val="00EA360E"/>
    <w:rsid w:val="00EA4094"/>
    <w:rsid w:val="00EA411C"/>
    <w:rsid w:val="00EA4653"/>
    <w:rsid w:val="00EA4839"/>
    <w:rsid w:val="00EA4957"/>
    <w:rsid w:val="00EA4A4F"/>
    <w:rsid w:val="00EA51B8"/>
    <w:rsid w:val="00EA610C"/>
    <w:rsid w:val="00EA629C"/>
    <w:rsid w:val="00EA6682"/>
    <w:rsid w:val="00EA6B6C"/>
    <w:rsid w:val="00EA6EE8"/>
    <w:rsid w:val="00EA7067"/>
    <w:rsid w:val="00EA732C"/>
    <w:rsid w:val="00EA74EF"/>
    <w:rsid w:val="00EA7654"/>
    <w:rsid w:val="00EA7756"/>
    <w:rsid w:val="00EA7D56"/>
    <w:rsid w:val="00EB0165"/>
    <w:rsid w:val="00EB0277"/>
    <w:rsid w:val="00EB089F"/>
    <w:rsid w:val="00EB0900"/>
    <w:rsid w:val="00EB0CD6"/>
    <w:rsid w:val="00EB0D46"/>
    <w:rsid w:val="00EB102C"/>
    <w:rsid w:val="00EB1194"/>
    <w:rsid w:val="00EB178A"/>
    <w:rsid w:val="00EB186F"/>
    <w:rsid w:val="00EB191D"/>
    <w:rsid w:val="00EB1C2D"/>
    <w:rsid w:val="00EB1D51"/>
    <w:rsid w:val="00EB1ED1"/>
    <w:rsid w:val="00EB1F7A"/>
    <w:rsid w:val="00EB1F91"/>
    <w:rsid w:val="00EB29FC"/>
    <w:rsid w:val="00EB2F81"/>
    <w:rsid w:val="00EB323F"/>
    <w:rsid w:val="00EB33AE"/>
    <w:rsid w:val="00EB37A9"/>
    <w:rsid w:val="00EB380B"/>
    <w:rsid w:val="00EB3E0D"/>
    <w:rsid w:val="00EB3FA4"/>
    <w:rsid w:val="00EB4054"/>
    <w:rsid w:val="00EB4308"/>
    <w:rsid w:val="00EB47F7"/>
    <w:rsid w:val="00EB480E"/>
    <w:rsid w:val="00EB4973"/>
    <w:rsid w:val="00EB4D68"/>
    <w:rsid w:val="00EB5074"/>
    <w:rsid w:val="00EB59C1"/>
    <w:rsid w:val="00EB5C0A"/>
    <w:rsid w:val="00EB61D5"/>
    <w:rsid w:val="00EB6BFF"/>
    <w:rsid w:val="00EB7079"/>
    <w:rsid w:val="00EC0266"/>
    <w:rsid w:val="00EC0314"/>
    <w:rsid w:val="00EC069C"/>
    <w:rsid w:val="00EC0BFA"/>
    <w:rsid w:val="00EC0DF6"/>
    <w:rsid w:val="00EC0F57"/>
    <w:rsid w:val="00EC1246"/>
    <w:rsid w:val="00EC141B"/>
    <w:rsid w:val="00EC142D"/>
    <w:rsid w:val="00EC1673"/>
    <w:rsid w:val="00EC2076"/>
    <w:rsid w:val="00EC2169"/>
    <w:rsid w:val="00EC2265"/>
    <w:rsid w:val="00EC2FCC"/>
    <w:rsid w:val="00EC316D"/>
    <w:rsid w:val="00EC31B3"/>
    <w:rsid w:val="00EC325F"/>
    <w:rsid w:val="00EC38C8"/>
    <w:rsid w:val="00EC3A54"/>
    <w:rsid w:val="00EC3B83"/>
    <w:rsid w:val="00EC3BA6"/>
    <w:rsid w:val="00EC3BC3"/>
    <w:rsid w:val="00EC3C11"/>
    <w:rsid w:val="00EC48DD"/>
    <w:rsid w:val="00EC4A38"/>
    <w:rsid w:val="00EC4CFC"/>
    <w:rsid w:val="00EC4E1E"/>
    <w:rsid w:val="00EC4E51"/>
    <w:rsid w:val="00EC4E99"/>
    <w:rsid w:val="00EC4FA2"/>
    <w:rsid w:val="00EC5220"/>
    <w:rsid w:val="00EC5547"/>
    <w:rsid w:val="00EC5670"/>
    <w:rsid w:val="00EC576A"/>
    <w:rsid w:val="00EC576B"/>
    <w:rsid w:val="00EC5A2E"/>
    <w:rsid w:val="00EC6212"/>
    <w:rsid w:val="00EC659C"/>
    <w:rsid w:val="00EC673B"/>
    <w:rsid w:val="00EC68CC"/>
    <w:rsid w:val="00EC68F3"/>
    <w:rsid w:val="00EC68F4"/>
    <w:rsid w:val="00EC6A16"/>
    <w:rsid w:val="00EC6B9F"/>
    <w:rsid w:val="00EC6DF6"/>
    <w:rsid w:val="00EC6F5F"/>
    <w:rsid w:val="00EC70E1"/>
    <w:rsid w:val="00EC7271"/>
    <w:rsid w:val="00EC750F"/>
    <w:rsid w:val="00EC76E7"/>
    <w:rsid w:val="00EC77AD"/>
    <w:rsid w:val="00EC7926"/>
    <w:rsid w:val="00EC7DAA"/>
    <w:rsid w:val="00ED012B"/>
    <w:rsid w:val="00ED0133"/>
    <w:rsid w:val="00ED03E7"/>
    <w:rsid w:val="00ED0741"/>
    <w:rsid w:val="00ED0B36"/>
    <w:rsid w:val="00ED0FF7"/>
    <w:rsid w:val="00ED16B3"/>
    <w:rsid w:val="00ED1A91"/>
    <w:rsid w:val="00ED1DDE"/>
    <w:rsid w:val="00ED2212"/>
    <w:rsid w:val="00ED264A"/>
    <w:rsid w:val="00ED268A"/>
    <w:rsid w:val="00ED2B18"/>
    <w:rsid w:val="00ED2DC9"/>
    <w:rsid w:val="00ED3117"/>
    <w:rsid w:val="00ED3246"/>
    <w:rsid w:val="00ED3A5D"/>
    <w:rsid w:val="00ED3C39"/>
    <w:rsid w:val="00ED3D24"/>
    <w:rsid w:val="00ED3F9E"/>
    <w:rsid w:val="00ED40F0"/>
    <w:rsid w:val="00ED4315"/>
    <w:rsid w:val="00ED4671"/>
    <w:rsid w:val="00ED4755"/>
    <w:rsid w:val="00ED4BF5"/>
    <w:rsid w:val="00ED51B2"/>
    <w:rsid w:val="00ED561E"/>
    <w:rsid w:val="00ED58A5"/>
    <w:rsid w:val="00ED5CF5"/>
    <w:rsid w:val="00ED5D96"/>
    <w:rsid w:val="00ED63F1"/>
    <w:rsid w:val="00ED6444"/>
    <w:rsid w:val="00ED65D2"/>
    <w:rsid w:val="00ED7104"/>
    <w:rsid w:val="00ED71AA"/>
    <w:rsid w:val="00ED7311"/>
    <w:rsid w:val="00ED7448"/>
    <w:rsid w:val="00ED7AA5"/>
    <w:rsid w:val="00ED7C75"/>
    <w:rsid w:val="00EE042D"/>
    <w:rsid w:val="00EE0A32"/>
    <w:rsid w:val="00EE154B"/>
    <w:rsid w:val="00EE1B3C"/>
    <w:rsid w:val="00EE1BD3"/>
    <w:rsid w:val="00EE1E35"/>
    <w:rsid w:val="00EE21B2"/>
    <w:rsid w:val="00EE228D"/>
    <w:rsid w:val="00EE23CD"/>
    <w:rsid w:val="00EE25E0"/>
    <w:rsid w:val="00EE2926"/>
    <w:rsid w:val="00EE319B"/>
    <w:rsid w:val="00EE33F7"/>
    <w:rsid w:val="00EE3852"/>
    <w:rsid w:val="00EE3A87"/>
    <w:rsid w:val="00EE3DF1"/>
    <w:rsid w:val="00EE4DA1"/>
    <w:rsid w:val="00EE51A5"/>
    <w:rsid w:val="00EE5267"/>
    <w:rsid w:val="00EE527A"/>
    <w:rsid w:val="00EE577B"/>
    <w:rsid w:val="00EE63DC"/>
    <w:rsid w:val="00EE6420"/>
    <w:rsid w:val="00EE6724"/>
    <w:rsid w:val="00EE75A7"/>
    <w:rsid w:val="00EF03CD"/>
    <w:rsid w:val="00EF04D4"/>
    <w:rsid w:val="00EF0876"/>
    <w:rsid w:val="00EF11CA"/>
    <w:rsid w:val="00EF11FF"/>
    <w:rsid w:val="00EF12CC"/>
    <w:rsid w:val="00EF15E0"/>
    <w:rsid w:val="00EF164E"/>
    <w:rsid w:val="00EF1BB2"/>
    <w:rsid w:val="00EF26DE"/>
    <w:rsid w:val="00EF279A"/>
    <w:rsid w:val="00EF31A6"/>
    <w:rsid w:val="00EF3346"/>
    <w:rsid w:val="00EF3468"/>
    <w:rsid w:val="00EF34DC"/>
    <w:rsid w:val="00EF35E7"/>
    <w:rsid w:val="00EF3C71"/>
    <w:rsid w:val="00EF4105"/>
    <w:rsid w:val="00EF4342"/>
    <w:rsid w:val="00EF466D"/>
    <w:rsid w:val="00EF46D6"/>
    <w:rsid w:val="00EF5085"/>
    <w:rsid w:val="00EF5E22"/>
    <w:rsid w:val="00EF6473"/>
    <w:rsid w:val="00EF64B5"/>
    <w:rsid w:val="00EF6EA0"/>
    <w:rsid w:val="00EF73C0"/>
    <w:rsid w:val="00EF7A37"/>
    <w:rsid w:val="00EF7E1D"/>
    <w:rsid w:val="00F00165"/>
    <w:rsid w:val="00F00436"/>
    <w:rsid w:val="00F006F8"/>
    <w:rsid w:val="00F00713"/>
    <w:rsid w:val="00F00715"/>
    <w:rsid w:val="00F0080F"/>
    <w:rsid w:val="00F00843"/>
    <w:rsid w:val="00F008CF"/>
    <w:rsid w:val="00F00A4F"/>
    <w:rsid w:val="00F00ADB"/>
    <w:rsid w:val="00F01451"/>
    <w:rsid w:val="00F014D9"/>
    <w:rsid w:val="00F01901"/>
    <w:rsid w:val="00F01930"/>
    <w:rsid w:val="00F01B03"/>
    <w:rsid w:val="00F025EF"/>
    <w:rsid w:val="00F02734"/>
    <w:rsid w:val="00F02A58"/>
    <w:rsid w:val="00F02AD2"/>
    <w:rsid w:val="00F02B0B"/>
    <w:rsid w:val="00F032E3"/>
    <w:rsid w:val="00F03487"/>
    <w:rsid w:val="00F03618"/>
    <w:rsid w:val="00F0396F"/>
    <w:rsid w:val="00F03A88"/>
    <w:rsid w:val="00F03B59"/>
    <w:rsid w:val="00F03E18"/>
    <w:rsid w:val="00F03F7C"/>
    <w:rsid w:val="00F03FA5"/>
    <w:rsid w:val="00F040C7"/>
    <w:rsid w:val="00F0423E"/>
    <w:rsid w:val="00F04450"/>
    <w:rsid w:val="00F04764"/>
    <w:rsid w:val="00F04A44"/>
    <w:rsid w:val="00F0551F"/>
    <w:rsid w:val="00F05C0E"/>
    <w:rsid w:val="00F05EDC"/>
    <w:rsid w:val="00F0654F"/>
    <w:rsid w:val="00F06761"/>
    <w:rsid w:val="00F068D3"/>
    <w:rsid w:val="00F06C5C"/>
    <w:rsid w:val="00F0717F"/>
    <w:rsid w:val="00F0721F"/>
    <w:rsid w:val="00F072F4"/>
    <w:rsid w:val="00F0762F"/>
    <w:rsid w:val="00F07A01"/>
    <w:rsid w:val="00F07A27"/>
    <w:rsid w:val="00F07E98"/>
    <w:rsid w:val="00F07FCF"/>
    <w:rsid w:val="00F101D2"/>
    <w:rsid w:val="00F104C0"/>
    <w:rsid w:val="00F10667"/>
    <w:rsid w:val="00F10844"/>
    <w:rsid w:val="00F10E23"/>
    <w:rsid w:val="00F1109A"/>
    <w:rsid w:val="00F115A1"/>
    <w:rsid w:val="00F11D0D"/>
    <w:rsid w:val="00F11D8A"/>
    <w:rsid w:val="00F11EDD"/>
    <w:rsid w:val="00F12014"/>
    <w:rsid w:val="00F12639"/>
    <w:rsid w:val="00F12700"/>
    <w:rsid w:val="00F12D11"/>
    <w:rsid w:val="00F12DB1"/>
    <w:rsid w:val="00F130C9"/>
    <w:rsid w:val="00F134FE"/>
    <w:rsid w:val="00F13AC1"/>
    <w:rsid w:val="00F13E48"/>
    <w:rsid w:val="00F14137"/>
    <w:rsid w:val="00F14642"/>
    <w:rsid w:val="00F148D5"/>
    <w:rsid w:val="00F1495D"/>
    <w:rsid w:val="00F14F92"/>
    <w:rsid w:val="00F150F7"/>
    <w:rsid w:val="00F156E2"/>
    <w:rsid w:val="00F15A46"/>
    <w:rsid w:val="00F15EC7"/>
    <w:rsid w:val="00F164DE"/>
    <w:rsid w:val="00F1655C"/>
    <w:rsid w:val="00F16D2A"/>
    <w:rsid w:val="00F1714E"/>
    <w:rsid w:val="00F1728A"/>
    <w:rsid w:val="00F1741F"/>
    <w:rsid w:val="00F17439"/>
    <w:rsid w:val="00F174EB"/>
    <w:rsid w:val="00F17A05"/>
    <w:rsid w:val="00F17EFB"/>
    <w:rsid w:val="00F17F38"/>
    <w:rsid w:val="00F2033D"/>
    <w:rsid w:val="00F20460"/>
    <w:rsid w:val="00F20482"/>
    <w:rsid w:val="00F2089D"/>
    <w:rsid w:val="00F20D46"/>
    <w:rsid w:val="00F20E1B"/>
    <w:rsid w:val="00F20E55"/>
    <w:rsid w:val="00F21327"/>
    <w:rsid w:val="00F2135B"/>
    <w:rsid w:val="00F21AF8"/>
    <w:rsid w:val="00F21B2B"/>
    <w:rsid w:val="00F21E52"/>
    <w:rsid w:val="00F2212C"/>
    <w:rsid w:val="00F22355"/>
    <w:rsid w:val="00F22D90"/>
    <w:rsid w:val="00F22E5B"/>
    <w:rsid w:val="00F22EB0"/>
    <w:rsid w:val="00F23091"/>
    <w:rsid w:val="00F23623"/>
    <w:rsid w:val="00F2375B"/>
    <w:rsid w:val="00F238D4"/>
    <w:rsid w:val="00F23978"/>
    <w:rsid w:val="00F23A35"/>
    <w:rsid w:val="00F23E50"/>
    <w:rsid w:val="00F23E58"/>
    <w:rsid w:val="00F23F65"/>
    <w:rsid w:val="00F243CB"/>
    <w:rsid w:val="00F2451A"/>
    <w:rsid w:val="00F2492F"/>
    <w:rsid w:val="00F24A4D"/>
    <w:rsid w:val="00F24CA9"/>
    <w:rsid w:val="00F24CF6"/>
    <w:rsid w:val="00F24E78"/>
    <w:rsid w:val="00F2558F"/>
    <w:rsid w:val="00F25686"/>
    <w:rsid w:val="00F25E85"/>
    <w:rsid w:val="00F2604E"/>
    <w:rsid w:val="00F26433"/>
    <w:rsid w:val="00F265A1"/>
    <w:rsid w:val="00F27E8D"/>
    <w:rsid w:val="00F300F2"/>
    <w:rsid w:val="00F30238"/>
    <w:rsid w:val="00F303B8"/>
    <w:rsid w:val="00F30633"/>
    <w:rsid w:val="00F30A54"/>
    <w:rsid w:val="00F30BAF"/>
    <w:rsid w:val="00F30F95"/>
    <w:rsid w:val="00F31094"/>
    <w:rsid w:val="00F310DF"/>
    <w:rsid w:val="00F314BA"/>
    <w:rsid w:val="00F31892"/>
    <w:rsid w:val="00F31BF7"/>
    <w:rsid w:val="00F31D05"/>
    <w:rsid w:val="00F31F18"/>
    <w:rsid w:val="00F321EB"/>
    <w:rsid w:val="00F326BC"/>
    <w:rsid w:val="00F3306A"/>
    <w:rsid w:val="00F3385E"/>
    <w:rsid w:val="00F33976"/>
    <w:rsid w:val="00F33D19"/>
    <w:rsid w:val="00F33D50"/>
    <w:rsid w:val="00F33D51"/>
    <w:rsid w:val="00F33D5F"/>
    <w:rsid w:val="00F3433E"/>
    <w:rsid w:val="00F34858"/>
    <w:rsid w:val="00F34C2C"/>
    <w:rsid w:val="00F34C43"/>
    <w:rsid w:val="00F3532E"/>
    <w:rsid w:val="00F3539E"/>
    <w:rsid w:val="00F353CB"/>
    <w:rsid w:val="00F35551"/>
    <w:rsid w:val="00F357C0"/>
    <w:rsid w:val="00F35C1B"/>
    <w:rsid w:val="00F35CD7"/>
    <w:rsid w:val="00F35CE9"/>
    <w:rsid w:val="00F35F88"/>
    <w:rsid w:val="00F3654D"/>
    <w:rsid w:val="00F369C3"/>
    <w:rsid w:val="00F36D48"/>
    <w:rsid w:val="00F374C0"/>
    <w:rsid w:val="00F379A6"/>
    <w:rsid w:val="00F37C42"/>
    <w:rsid w:val="00F37C7A"/>
    <w:rsid w:val="00F37D3D"/>
    <w:rsid w:val="00F4072E"/>
    <w:rsid w:val="00F408B3"/>
    <w:rsid w:val="00F40A92"/>
    <w:rsid w:val="00F40BCE"/>
    <w:rsid w:val="00F41605"/>
    <w:rsid w:val="00F41E5E"/>
    <w:rsid w:val="00F41F49"/>
    <w:rsid w:val="00F4258F"/>
    <w:rsid w:val="00F426B9"/>
    <w:rsid w:val="00F42936"/>
    <w:rsid w:val="00F42A46"/>
    <w:rsid w:val="00F433E3"/>
    <w:rsid w:val="00F43601"/>
    <w:rsid w:val="00F43D4D"/>
    <w:rsid w:val="00F441D8"/>
    <w:rsid w:val="00F445FB"/>
    <w:rsid w:val="00F447D3"/>
    <w:rsid w:val="00F447E7"/>
    <w:rsid w:val="00F449EF"/>
    <w:rsid w:val="00F44C58"/>
    <w:rsid w:val="00F44EED"/>
    <w:rsid w:val="00F4519B"/>
    <w:rsid w:val="00F4541E"/>
    <w:rsid w:val="00F454E5"/>
    <w:rsid w:val="00F45574"/>
    <w:rsid w:val="00F455E1"/>
    <w:rsid w:val="00F4594A"/>
    <w:rsid w:val="00F459DA"/>
    <w:rsid w:val="00F45D29"/>
    <w:rsid w:val="00F45D2B"/>
    <w:rsid w:val="00F4610A"/>
    <w:rsid w:val="00F46194"/>
    <w:rsid w:val="00F461EC"/>
    <w:rsid w:val="00F462CA"/>
    <w:rsid w:val="00F462EF"/>
    <w:rsid w:val="00F462F8"/>
    <w:rsid w:val="00F46994"/>
    <w:rsid w:val="00F46DDB"/>
    <w:rsid w:val="00F470F8"/>
    <w:rsid w:val="00F47355"/>
    <w:rsid w:val="00F478F5"/>
    <w:rsid w:val="00F47CFA"/>
    <w:rsid w:val="00F47DDC"/>
    <w:rsid w:val="00F47E3C"/>
    <w:rsid w:val="00F47FEC"/>
    <w:rsid w:val="00F50017"/>
    <w:rsid w:val="00F503D8"/>
    <w:rsid w:val="00F5051B"/>
    <w:rsid w:val="00F506E5"/>
    <w:rsid w:val="00F509A7"/>
    <w:rsid w:val="00F509C5"/>
    <w:rsid w:val="00F50BAA"/>
    <w:rsid w:val="00F50E88"/>
    <w:rsid w:val="00F50EA8"/>
    <w:rsid w:val="00F510D9"/>
    <w:rsid w:val="00F51377"/>
    <w:rsid w:val="00F51BA9"/>
    <w:rsid w:val="00F51EA1"/>
    <w:rsid w:val="00F51F2D"/>
    <w:rsid w:val="00F520CD"/>
    <w:rsid w:val="00F520F2"/>
    <w:rsid w:val="00F5227C"/>
    <w:rsid w:val="00F523F3"/>
    <w:rsid w:val="00F5253F"/>
    <w:rsid w:val="00F52638"/>
    <w:rsid w:val="00F52A70"/>
    <w:rsid w:val="00F52B13"/>
    <w:rsid w:val="00F52B6F"/>
    <w:rsid w:val="00F52CF6"/>
    <w:rsid w:val="00F52D71"/>
    <w:rsid w:val="00F52EE4"/>
    <w:rsid w:val="00F5335F"/>
    <w:rsid w:val="00F533D2"/>
    <w:rsid w:val="00F53783"/>
    <w:rsid w:val="00F539E0"/>
    <w:rsid w:val="00F53BD0"/>
    <w:rsid w:val="00F53C18"/>
    <w:rsid w:val="00F53EFE"/>
    <w:rsid w:val="00F54045"/>
    <w:rsid w:val="00F54407"/>
    <w:rsid w:val="00F54490"/>
    <w:rsid w:val="00F544AB"/>
    <w:rsid w:val="00F5474D"/>
    <w:rsid w:val="00F547C8"/>
    <w:rsid w:val="00F5493F"/>
    <w:rsid w:val="00F55715"/>
    <w:rsid w:val="00F5572E"/>
    <w:rsid w:val="00F55769"/>
    <w:rsid w:val="00F55B15"/>
    <w:rsid w:val="00F55E50"/>
    <w:rsid w:val="00F55F86"/>
    <w:rsid w:val="00F561CD"/>
    <w:rsid w:val="00F564E9"/>
    <w:rsid w:val="00F56753"/>
    <w:rsid w:val="00F56987"/>
    <w:rsid w:val="00F5699D"/>
    <w:rsid w:val="00F56C32"/>
    <w:rsid w:val="00F56F99"/>
    <w:rsid w:val="00F579C5"/>
    <w:rsid w:val="00F57C52"/>
    <w:rsid w:val="00F57CA6"/>
    <w:rsid w:val="00F57E50"/>
    <w:rsid w:val="00F60D96"/>
    <w:rsid w:val="00F60F6E"/>
    <w:rsid w:val="00F6106D"/>
    <w:rsid w:val="00F61136"/>
    <w:rsid w:val="00F6143F"/>
    <w:rsid w:val="00F61959"/>
    <w:rsid w:val="00F61F4A"/>
    <w:rsid w:val="00F61FA7"/>
    <w:rsid w:val="00F620C4"/>
    <w:rsid w:val="00F62781"/>
    <w:rsid w:val="00F62B0B"/>
    <w:rsid w:val="00F62E67"/>
    <w:rsid w:val="00F63371"/>
    <w:rsid w:val="00F6393F"/>
    <w:rsid w:val="00F63B78"/>
    <w:rsid w:val="00F64215"/>
    <w:rsid w:val="00F64824"/>
    <w:rsid w:val="00F64B07"/>
    <w:rsid w:val="00F64F4D"/>
    <w:rsid w:val="00F64F65"/>
    <w:rsid w:val="00F650A0"/>
    <w:rsid w:val="00F65120"/>
    <w:rsid w:val="00F654A3"/>
    <w:rsid w:val="00F65732"/>
    <w:rsid w:val="00F65D62"/>
    <w:rsid w:val="00F65D73"/>
    <w:rsid w:val="00F66491"/>
    <w:rsid w:val="00F664FE"/>
    <w:rsid w:val="00F66693"/>
    <w:rsid w:val="00F6708C"/>
    <w:rsid w:val="00F67322"/>
    <w:rsid w:val="00F67339"/>
    <w:rsid w:val="00F67382"/>
    <w:rsid w:val="00F67488"/>
    <w:rsid w:val="00F67807"/>
    <w:rsid w:val="00F67998"/>
    <w:rsid w:val="00F70239"/>
    <w:rsid w:val="00F70395"/>
    <w:rsid w:val="00F70979"/>
    <w:rsid w:val="00F70990"/>
    <w:rsid w:val="00F70B5E"/>
    <w:rsid w:val="00F70C3D"/>
    <w:rsid w:val="00F70EFA"/>
    <w:rsid w:val="00F70FBF"/>
    <w:rsid w:val="00F71159"/>
    <w:rsid w:val="00F71178"/>
    <w:rsid w:val="00F7135A"/>
    <w:rsid w:val="00F71798"/>
    <w:rsid w:val="00F71A18"/>
    <w:rsid w:val="00F71FCE"/>
    <w:rsid w:val="00F72ADC"/>
    <w:rsid w:val="00F72B52"/>
    <w:rsid w:val="00F72CB5"/>
    <w:rsid w:val="00F72DC6"/>
    <w:rsid w:val="00F73548"/>
    <w:rsid w:val="00F73566"/>
    <w:rsid w:val="00F736A2"/>
    <w:rsid w:val="00F73794"/>
    <w:rsid w:val="00F73C8D"/>
    <w:rsid w:val="00F73D15"/>
    <w:rsid w:val="00F7439D"/>
    <w:rsid w:val="00F74651"/>
    <w:rsid w:val="00F74721"/>
    <w:rsid w:val="00F75471"/>
    <w:rsid w:val="00F75840"/>
    <w:rsid w:val="00F758BC"/>
    <w:rsid w:val="00F7618B"/>
    <w:rsid w:val="00F761D9"/>
    <w:rsid w:val="00F76AA7"/>
    <w:rsid w:val="00F76C50"/>
    <w:rsid w:val="00F77A69"/>
    <w:rsid w:val="00F77AC0"/>
    <w:rsid w:val="00F77AEF"/>
    <w:rsid w:val="00F77B7A"/>
    <w:rsid w:val="00F801E7"/>
    <w:rsid w:val="00F8048D"/>
    <w:rsid w:val="00F804E0"/>
    <w:rsid w:val="00F8057B"/>
    <w:rsid w:val="00F808E1"/>
    <w:rsid w:val="00F80C18"/>
    <w:rsid w:val="00F81575"/>
    <w:rsid w:val="00F8160E"/>
    <w:rsid w:val="00F817B2"/>
    <w:rsid w:val="00F81873"/>
    <w:rsid w:val="00F81B41"/>
    <w:rsid w:val="00F81B4F"/>
    <w:rsid w:val="00F81E26"/>
    <w:rsid w:val="00F81F24"/>
    <w:rsid w:val="00F82031"/>
    <w:rsid w:val="00F82858"/>
    <w:rsid w:val="00F82A87"/>
    <w:rsid w:val="00F831A3"/>
    <w:rsid w:val="00F83374"/>
    <w:rsid w:val="00F83472"/>
    <w:rsid w:val="00F83519"/>
    <w:rsid w:val="00F839AA"/>
    <w:rsid w:val="00F83BB7"/>
    <w:rsid w:val="00F83BBC"/>
    <w:rsid w:val="00F83E8A"/>
    <w:rsid w:val="00F8444A"/>
    <w:rsid w:val="00F8446E"/>
    <w:rsid w:val="00F84AE4"/>
    <w:rsid w:val="00F84C45"/>
    <w:rsid w:val="00F85112"/>
    <w:rsid w:val="00F853AF"/>
    <w:rsid w:val="00F856E9"/>
    <w:rsid w:val="00F85E77"/>
    <w:rsid w:val="00F85EE9"/>
    <w:rsid w:val="00F860CD"/>
    <w:rsid w:val="00F86271"/>
    <w:rsid w:val="00F863F5"/>
    <w:rsid w:val="00F8641E"/>
    <w:rsid w:val="00F86467"/>
    <w:rsid w:val="00F86912"/>
    <w:rsid w:val="00F86C60"/>
    <w:rsid w:val="00F8717D"/>
    <w:rsid w:val="00F8750B"/>
    <w:rsid w:val="00F87722"/>
    <w:rsid w:val="00F87B2E"/>
    <w:rsid w:val="00F87EB4"/>
    <w:rsid w:val="00F87FCB"/>
    <w:rsid w:val="00F90232"/>
    <w:rsid w:val="00F9047A"/>
    <w:rsid w:val="00F9080D"/>
    <w:rsid w:val="00F90846"/>
    <w:rsid w:val="00F90D2A"/>
    <w:rsid w:val="00F90FD4"/>
    <w:rsid w:val="00F91306"/>
    <w:rsid w:val="00F913B9"/>
    <w:rsid w:val="00F91498"/>
    <w:rsid w:val="00F919F7"/>
    <w:rsid w:val="00F91A55"/>
    <w:rsid w:val="00F92025"/>
    <w:rsid w:val="00F920C6"/>
    <w:rsid w:val="00F923D5"/>
    <w:rsid w:val="00F92438"/>
    <w:rsid w:val="00F92584"/>
    <w:rsid w:val="00F92675"/>
    <w:rsid w:val="00F926A3"/>
    <w:rsid w:val="00F927D5"/>
    <w:rsid w:val="00F92A71"/>
    <w:rsid w:val="00F92D27"/>
    <w:rsid w:val="00F92E18"/>
    <w:rsid w:val="00F92FAE"/>
    <w:rsid w:val="00F9307B"/>
    <w:rsid w:val="00F936B4"/>
    <w:rsid w:val="00F93C10"/>
    <w:rsid w:val="00F94034"/>
    <w:rsid w:val="00F9470C"/>
    <w:rsid w:val="00F94895"/>
    <w:rsid w:val="00F94966"/>
    <w:rsid w:val="00F949B4"/>
    <w:rsid w:val="00F94C4A"/>
    <w:rsid w:val="00F94D46"/>
    <w:rsid w:val="00F9568D"/>
    <w:rsid w:val="00F9587C"/>
    <w:rsid w:val="00F95A12"/>
    <w:rsid w:val="00F95D4D"/>
    <w:rsid w:val="00F960AB"/>
    <w:rsid w:val="00F961A5"/>
    <w:rsid w:val="00F96550"/>
    <w:rsid w:val="00F96A3D"/>
    <w:rsid w:val="00F96B11"/>
    <w:rsid w:val="00F96CDD"/>
    <w:rsid w:val="00F97128"/>
    <w:rsid w:val="00F97312"/>
    <w:rsid w:val="00F973D2"/>
    <w:rsid w:val="00F97452"/>
    <w:rsid w:val="00F9753B"/>
    <w:rsid w:val="00F976D6"/>
    <w:rsid w:val="00F97E11"/>
    <w:rsid w:val="00FA00BF"/>
    <w:rsid w:val="00FA01AC"/>
    <w:rsid w:val="00FA0C35"/>
    <w:rsid w:val="00FA0F6F"/>
    <w:rsid w:val="00FA11AF"/>
    <w:rsid w:val="00FA15AC"/>
    <w:rsid w:val="00FA184A"/>
    <w:rsid w:val="00FA19D5"/>
    <w:rsid w:val="00FA1ADE"/>
    <w:rsid w:val="00FA1C4D"/>
    <w:rsid w:val="00FA21D3"/>
    <w:rsid w:val="00FA2351"/>
    <w:rsid w:val="00FA23CB"/>
    <w:rsid w:val="00FA2964"/>
    <w:rsid w:val="00FA2AD3"/>
    <w:rsid w:val="00FA2D38"/>
    <w:rsid w:val="00FA3463"/>
    <w:rsid w:val="00FA36AE"/>
    <w:rsid w:val="00FA3E4F"/>
    <w:rsid w:val="00FA3F1F"/>
    <w:rsid w:val="00FA40DE"/>
    <w:rsid w:val="00FA442C"/>
    <w:rsid w:val="00FA44F1"/>
    <w:rsid w:val="00FA4AF1"/>
    <w:rsid w:val="00FA4BF2"/>
    <w:rsid w:val="00FA52B7"/>
    <w:rsid w:val="00FA53AB"/>
    <w:rsid w:val="00FA5594"/>
    <w:rsid w:val="00FA5793"/>
    <w:rsid w:val="00FA595E"/>
    <w:rsid w:val="00FA618C"/>
    <w:rsid w:val="00FA6439"/>
    <w:rsid w:val="00FA67C6"/>
    <w:rsid w:val="00FA6815"/>
    <w:rsid w:val="00FA6833"/>
    <w:rsid w:val="00FA699A"/>
    <w:rsid w:val="00FA7348"/>
    <w:rsid w:val="00FA75F9"/>
    <w:rsid w:val="00FA7991"/>
    <w:rsid w:val="00FB00DE"/>
    <w:rsid w:val="00FB021F"/>
    <w:rsid w:val="00FB0A4A"/>
    <w:rsid w:val="00FB0E0B"/>
    <w:rsid w:val="00FB0E75"/>
    <w:rsid w:val="00FB104D"/>
    <w:rsid w:val="00FB1098"/>
    <w:rsid w:val="00FB10A6"/>
    <w:rsid w:val="00FB145C"/>
    <w:rsid w:val="00FB14E7"/>
    <w:rsid w:val="00FB1DF7"/>
    <w:rsid w:val="00FB28C4"/>
    <w:rsid w:val="00FB2A63"/>
    <w:rsid w:val="00FB339D"/>
    <w:rsid w:val="00FB34A2"/>
    <w:rsid w:val="00FB38D1"/>
    <w:rsid w:val="00FB38EF"/>
    <w:rsid w:val="00FB3A6B"/>
    <w:rsid w:val="00FB3FFB"/>
    <w:rsid w:val="00FB4001"/>
    <w:rsid w:val="00FB41B9"/>
    <w:rsid w:val="00FB42E7"/>
    <w:rsid w:val="00FB431E"/>
    <w:rsid w:val="00FB4DA0"/>
    <w:rsid w:val="00FB4DBC"/>
    <w:rsid w:val="00FB4FCF"/>
    <w:rsid w:val="00FB5478"/>
    <w:rsid w:val="00FB5EA0"/>
    <w:rsid w:val="00FB64EA"/>
    <w:rsid w:val="00FB6A1E"/>
    <w:rsid w:val="00FB6A54"/>
    <w:rsid w:val="00FB6BA2"/>
    <w:rsid w:val="00FB6C3D"/>
    <w:rsid w:val="00FB6F7E"/>
    <w:rsid w:val="00FB70CF"/>
    <w:rsid w:val="00FB71AB"/>
    <w:rsid w:val="00FB77A3"/>
    <w:rsid w:val="00FB77F8"/>
    <w:rsid w:val="00FC00B3"/>
    <w:rsid w:val="00FC0367"/>
    <w:rsid w:val="00FC0C04"/>
    <w:rsid w:val="00FC0C43"/>
    <w:rsid w:val="00FC0EAC"/>
    <w:rsid w:val="00FC1072"/>
    <w:rsid w:val="00FC113A"/>
    <w:rsid w:val="00FC14E4"/>
    <w:rsid w:val="00FC1D9A"/>
    <w:rsid w:val="00FC230B"/>
    <w:rsid w:val="00FC2484"/>
    <w:rsid w:val="00FC25CA"/>
    <w:rsid w:val="00FC2939"/>
    <w:rsid w:val="00FC2A33"/>
    <w:rsid w:val="00FC2F31"/>
    <w:rsid w:val="00FC2FE5"/>
    <w:rsid w:val="00FC3063"/>
    <w:rsid w:val="00FC3467"/>
    <w:rsid w:val="00FC34AB"/>
    <w:rsid w:val="00FC393C"/>
    <w:rsid w:val="00FC3AB5"/>
    <w:rsid w:val="00FC3BDB"/>
    <w:rsid w:val="00FC3BF5"/>
    <w:rsid w:val="00FC3C9B"/>
    <w:rsid w:val="00FC3DDB"/>
    <w:rsid w:val="00FC43AB"/>
    <w:rsid w:val="00FC46E1"/>
    <w:rsid w:val="00FC4BD6"/>
    <w:rsid w:val="00FC502D"/>
    <w:rsid w:val="00FC561B"/>
    <w:rsid w:val="00FC58FB"/>
    <w:rsid w:val="00FC5E12"/>
    <w:rsid w:val="00FC5F5E"/>
    <w:rsid w:val="00FC5FF1"/>
    <w:rsid w:val="00FC602E"/>
    <w:rsid w:val="00FC60AD"/>
    <w:rsid w:val="00FC64AF"/>
    <w:rsid w:val="00FC673A"/>
    <w:rsid w:val="00FC6D15"/>
    <w:rsid w:val="00FC7424"/>
    <w:rsid w:val="00FC75B4"/>
    <w:rsid w:val="00FC75FD"/>
    <w:rsid w:val="00FC7675"/>
    <w:rsid w:val="00FC779C"/>
    <w:rsid w:val="00FC785F"/>
    <w:rsid w:val="00FC7F13"/>
    <w:rsid w:val="00FD0582"/>
    <w:rsid w:val="00FD0AF7"/>
    <w:rsid w:val="00FD0C79"/>
    <w:rsid w:val="00FD0D6D"/>
    <w:rsid w:val="00FD0FE9"/>
    <w:rsid w:val="00FD1022"/>
    <w:rsid w:val="00FD134C"/>
    <w:rsid w:val="00FD15B7"/>
    <w:rsid w:val="00FD1813"/>
    <w:rsid w:val="00FD18D5"/>
    <w:rsid w:val="00FD19FC"/>
    <w:rsid w:val="00FD20D4"/>
    <w:rsid w:val="00FD21DA"/>
    <w:rsid w:val="00FD23B7"/>
    <w:rsid w:val="00FD2451"/>
    <w:rsid w:val="00FD25A2"/>
    <w:rsid w:val="00FD2BDE"/>
    <w:rsid w:val="00FD35A0"/>
    <w:rsid w:val="00FD368A"/>
    <w:rsid w:val="00FD36EA"/>
    <w:rsid w:val="00FD3A6D"/>
    <w:rsid w:val="00FD3F84"/>
    <w:rsid w:val="00FD4038"/>
    <w:rsid w:val="00FD4184"/>
    <w:rsid w:val="00FD4815"/>
    <w:rsid w:val="00FD48DE"/>
    <w:rsid w:val="00FD516D"/>
    <w:rsid w:val="00FD5583"/>
    <w:rsid w:val="00FD5607"/>
    <w:rsid w:val="00FD57EE"/>
    <w:rsid w:val="00FD58EB"/>
    <w:rsid w:val="00FD5C13"/>
    <w:rsid w:val="00FD5D1A"/>
    <w:rsid w:val="00FD5FC8"/>
    <w:rsid w:val="00FD6410"/>
    <w:rsid w:val="00FD65C8"/>
    <w:rsid w:val="00FD6AE5"/>
    <w:rsid w:val="00FD6B0C"/>
    <w:rsid w:val="00FD704A"/>
    <w:rsid w:val="00FD75F8"/>
    <w:rsid w:val="00FD79C0"/>
    <w:rsid w:val="00FE0118"/>
    <w:rsid w:val="00FE057D"/>
    <w:rsid w:val="00FE05F8"/>
    <w:rsid w:val="00FE0753"/>
    <w:rsid w:val="00FE0815"/>
    <w:rsid w:val="00FE0AE5"/>
    <w:rsid w:val="00FE10E6"/>
    <w:rsid w:val="00FE115A"/>
    <w:rsid w:val="00FE1199"/>
    <w:rsid w:val="00FE12CA"/>
    <w:rsid w:val="00FE1A5B"/>
    <w:rsid w:val="00FE1B59"/>
    <w:rsid w:val="00FE22A9"/>
    <w:rsid w:val="00FE284E"/>
    <w:rsid w:val="00FE2A02"/>
    <w:rsid w:val="00FE2B9A"/>
    <w:rsid w:val="00FE2C93"/>
    <w:rsid w:val="00FE2EC0"/>
    <w:rsid w:val="00FE309E"/>
    <w:rsid w:val="00FE317F"/>
    <w:rsid w:val="00FE31A2"/>
    <w:rsid w:val="00FE320D"/>
    <w:rsid w:val="00FE32BA"/>
    <w:rsid w:val="00FE35A1"/>
    <w:rsid w:val="00FE360B"/>
    <w:rsid w:val="00FE37B9"/>
    <w:rsid w:val="00FE39D1"/>
    <w:rsid w:val="00FE3BBC"/>
    <w:rsid w:val="00FE3EA8"/>
    <w:rsid w:val="00FE405B"/>
    <w:rsid w:val="00FE4369"/>
    <w:rsid w:val="00FE43FB"/>
    <w:rsid w:val="00FE4427"/>
    <w:rsid w:val="00FE455A"/>
    <w:rsid w:val="00FE4CFE"/>
    <w:rsid w:val="00FE50B7"/>
    <w:rsid w:val="00FE520F"/>
    <w:rsid w:val="00FE5257"/>
    <w:rsid w:val="00FE5588"/>
    <w:rsid w:val="00FE5638"/>
    <w:rsid w:val="00FE58B4"/>
    <w:rsid w:val="00FE5AAE"/>
    <w:rsid w:val="00FE5CFC"/>
    <w:rsid w:val="00FE63C6"/>
    <w:rsid w:val="00FE64A8"/>
    <w:rsid w:val="00FE6A2B"/>
    <w:rsid w:val="00FE6B06"/>
    <w:rsid w:val="00FE6B70"/>
    <w:rsid w:val="00FE6C68"/>
    <w:rsid w:val="00FE6E0B"/>
    <w:rsid w:val="00FE6E30"/>
    <w:rsid w:val="00FE70E5"/>
    <w:rsid w:val="00FE7429"/>
    <w:rsid w:val="00FE7698"/>
    <w:rsid w:val="00FE77A5"/>
    <w:rsid w:val="00FF00E0"/>
    <w:rsid w:val="00FF01BA"/>
    <w:rsid w:val="00FF0963"/>
    <w:rsid w:val="00FF183C"/>
    <w:rsid w:val="00FF1863"/>
    <w:rsid w:val="00FF1C3F"/>
    <w:rsid w:val="00FF2215"/>
    <w:rsid w:val="00FF2536"/>
    <w:rsid w:val="00FF2695"/>
    <w:rsid w:val="00FF279E"/>
    <w:rsid w:val="00FF2973"/>
    <w:rsid w:val="00FF2F42"/>
    <w:rsid w:val="00FF3587"/>
    <w:rsid w:val="00FF3ADB"/>
    <w:rsid w:val="00FF3DAA"/>
    <w:rsid w:val="00FF3DF1"/>
    <w:rsid w:val="00FF3EC0"/>
    <w:rsid w:val="00FF4095"/>
    <w:rsid w:val="00FF40DA"/>
    <w:rsid w:val="00FF4136"/>
    <w:rsid w:val="00FF4367"/>
    <w:rsid w:val="00FF4ADB"/>
    <w:rsid w:val="00FF4ADD"/>
    <w:rsid w:val="00FF4D51"/>
    <w:rsid w:val="00FF4E62"/>
    <w:rsid w:val="00FF503E"/>
    <w:rsid w:val="00FF5385"/>
    <w:rsid w:val="00FF54EE"/>
    <w:rsid w:val="00FF5611"/>
    <w:rsid w:val="00FF5AA9"/>
    <w:rsid w:val="00FF5EAE"/>
    <w:rsid w:val="00FF64A7"/>
    <w:rsid w:val="00FF6553"/>
    <w:rsid w:val="00FF6B1F"/>
    <w:rsid w:val="00FF6B27"/>
    <w:rsid w:val="00FF70F5"/>
    <w:rsid w:val="00FF716A"/>
    <w:rsid w:val="00FF763E"/>
    <w:rsid w:val="00FF7912"/>
    <w:rsid w:val="00FF791E"/>
    <w:rsid w:val="00FF7DFB"/>
    <w:rsid w:val="00FF7EE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691"/>
    <w:rPr>
      <w:sz w:val="24"/>
      <w:szCs w:val="24"/>
    </w:rPr>
  </w:style>
  <w:style w:type="paragraph" w:styleId="Balk1">
    <w:name w:val="heading 1"/>
    <w:basedOn w:val="Normal"/>
    <w:next w:val="Normal"/>
    <w:link w:val="Balk1Char"/>
    <w:autoRedefine/>
    <w:uiPriority w:val="99"/>
    <w:qFormat/>
    <w:rsid w:val="00733A2B"/>
    <w:pPr>
      <w:keepNext/>
      <w:spacing w:before="240" w:after="240" w:line="360" w:lineRule="auto"/>
      <w:jc w:val="center"/>
      <w:outlineLvl w:val="0"/>
    </w:pPr>
    <w:rPr>
      <w:b/>
      <w:bCs/>
      <w:sz w:val="28"/>
      <w:szCs w:val="28"/>
    </w:rPr>
  </w:style>
  <w:style w:type="paragraph" w:styleId="Balk2">
    <w:name w:val="heading 2"/>
    <w:basedOn w:val="Normal"/>
    <w:next w:val="Normal"/>
    <w:link w:val="Balk2Char"/>
    <w:autoRedefine/>
    <w:uiPriority w:val="99"/>
    <w:qFormat/>
    <w:rsid w:val="0031716B"/>
    <w:pPr>
      <w:keepNext/>
      <w:numPr>
        <w:ilvl w:val="1"/>
        <w:numId w:val="26"/>
      </w:numPr>
      <w:tabs>
        <w:tab w:val="left" w:pos="426"/>
      </w:tabs>
      <w:spacing w:before="240" w:after="240" w:line="360" w:lineRule="auto"/>
      <w:outlineLvl w:val="1"/>
    </w:pPr>
    <w:rPr>
      <w:b/>
      <w:bCs/>
      <w:caps/>
    </w:rPr>
  </w:style>
  <w:style w:type="paragraph" w:styleId="Balk3">
    <w:name w:val="heading 3"/>
    <w:basedOn w:val="ListeParagraf"/>
    <w:next w:val="Normal"/>
    <w:link w:val="Balk3Char"/>
    <w:autoRedefine/>
    <w:uiPriority w:val="99"/>
    <w:qFormat/>
    <w:rsid w:val="0031716B"/>
    <w:pPr>
      <w:numPr>
        <w:ilvl w:val="2"/>
        <w:numId w:val="29"/>
      </w:numPr>
      <w:tabs>
        <w:tab w:val="left" w:pos="567"/>
      </w:tabs>
      <w:spacing w:after="200" w:line="276" w:lineRule="auto"/>
      <w:jc w:val="both"/>
      <w:outlineLvl w:val="2"/>
    </w:pPr>
    <w:rPr>
      <w:b/>
      <w:bCs/>
    </w:rPr>
  </w:style>
  <w:style w:type="paragraph" w:styleId="Balk4">
    <w:name w:val="heading 4"/>
    <w:basedOn w:val="Normal"/>
    <w:next w:val="Normal"/>
    <w:link w:val="Balk4Char"/>
    <w:autoRedefine/>
    <w:uiPriority w:val="99"/>
    <w:qFormat/>
    <w:rsid w:val="00126FA4"/>
    <w:pPr>
      <w:keepNext/>
      <w:spacing w:before="240" w:after="60"/>
      <w:outlineLvl w:val="3"/>
    </w:pPr>
    <w:rPr>
      <w:rFonts w:eastAsia="Calibri"/>
      <w:b/>
      <w:bCs/>
    </w:rPr>
  </w:style>
  <w:style w:type="paragraph" w:styleId="Balk5">
    <w:name w:val="heading 5"/>
    <w:basedOn w:val="Normal"/>
    <w:next w:val="Normal"/>
    <w:link w:val="Balk5Char"/>
    <w:uiPriority w:val="99"/>
    <w:qFormat/>
    <w:rsid w:val="00110F37"/>
    <w:pPr>
      <w:spacing w:before="240" w:after="60"/>
      <w:outlineLvl w:val="4"/>
    </w:pPr>
    <w:rPr>
      <w:b/>
      <w:bCs/>
    </w:rPr>
  </w:style>
  <w:style w:type="paragraph" w:styleId="Balk6">
    <w:name w:val="heading 6"/>
    <w:basedOn w:val="Normal"/>
    <w:next w:val="Normal"/>
    <w:link w:val="Balk6Char"/>
    <w:uiPriority w:val="99"/>
    <w:qFormat/>
    <w:rsid w:val="00F00843"/>
    <w:pPr>
      <w:spacing w:before="240" w:after="60"/>
      <w:outlineLvl w:val="5"/>
    </w:pPr>
    <w:rPr>
      <w:rFonts w:ascii="Calibri" w:hAnsi="Calibri" w:cs="Calibri"/>
      <w:b/>
      <w:bCs/>
      <w:sz w:val="22"/>
      <w:szCs w:val="22"/>
    </w:rPr>
  </w:style>
  <w:style w:type="paragraph" w:styleId="Balk7">
    <w:name w:val="heading 7"/>
    <w:basedOn w:val="Normal"/>
    <w:next w:val="Normal"/>
    <w:link w:val="Balk7Char"/>
    <w:uiPriority w:val="99"/>
    <w:qFormat/>
    <w:rsid w:val="00F00843"/>
    <w:pPr>
      <w:spacing w:before="240" w:after="60"/>
      <w:outlineLvl w:val="6"/>
    </w:pPr>
    <w:rPr>
      <w:rFonts w:ascii="Calibri" w:hAnsi="Calibri" w:cs="Calibri"/>
    </w:rPr>
  </w:style>
  <w:style w:type="paragraph" w:styleId="Balk8">
    <w:name w:val="heading 8"/>
    <w:aliases w:val="A"/>
    <w:basedOn w:val="ekil"/>
    <w:next w:val="ekil"/>
    <w:link w:val="Balk8Char"/>
    <w:autoRedefine/>
    <w:unhideWhenUsed/>
    <w:qFormat/>
    <w:rsid w:val="00A1381D"/>
    <w:pPr>
      <w:keepLines/>
      <w:spacing w:before="200"/>
      <w:outlineLvl w:val="7"/>
    </w:pPr>
    <w:rPr>
      <w:rFonts w:eastAsiaTheme="majorEastAsia" w:cstheme="majorBidi"/>
      <w:szCs w:val="20"/>
    </w:rPr>
  </w:style>
  <w:style w:type="paragraph" w:styleId="Balk9">
    <w:name w:val="heading 9"/>
    <w:basedOn w:val="Normal"/>
    <w:next w:val="Normal"/>
    <w:link w:val="Balk9Char"/>
    <w:uiPriority w:val="99"/>
    <w:qFormat/>
    <w:rsid w:val="007C2F0D"/>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733A2B"/>
    <w:rPr>
      <w:b/>
      <w:bCs/>
      <w:sz w:val="28"/>
      <w:szCs w:val="28"/>
    </w:rPr>
  </w:style>
  <w:style w:type="character" w:customStyle="1" w:styleId="Balk2Char">
    <w:name w:val="Başlık 2 Char"/>
    <w:basedOn w:val="VarsaylanParagrafYazTipi"/>
    <w:link w:val="Balk2"/>
    <w:uiPriority w:val="99"/>
    <w:locked/>
    <w:rsid w:val="0031716B"/>
    <w:rPr>
      <w:b/>
      <w:bCs/>
      <w:caps/>
      <w:sz w:val="24"/>
      <w:szCs w:val="24"/>
    </w:rPr>
  </w:style>
  <w:style w:type="character" w:customStyle="1" w:styleId="Balk3Char">
    <w:name w:val="Başlık 3 Char"/>
    <w:basedOn w:val="VarsaylanParagrafYazTipi"/>
    <w:link w:val="Balk3"/>
    <w:uiPriority w:val="99"/>
    <w:locked/>
    <w:rsid w:val="0031716B"/>
    <w:rPr>
      <w:b/>
      <w:bCs/>
      <w:sz w:val="24"/>
      <w:szCs w:val="24"/>
    </w:rPr>
  </w:style>
  <w:style w:type="character" w:customStyle="1" w:styleId="Balk4Char">
    <w:name w:val="Başlık 4 Char"/>
    <w:basedOn w:val="VarsaylanParagrafYazTipi"/>
    <w:link w:val="Balk4"/>
    <w:uiPriority w:val="99"/>
    <w:locked/>
    <w:rsid w:val="00126FA4"/>
    <w:rPr>
      <w:rFonts w:eastAsia="Calibri"/>
      <w:b/>
      <w:bCs/>
      <w:sz w:val="24"/>
      <w:szCs w:val="24"/>
    </w:rPr>
  </w:style>
  <w:style w:type="character" w:customStyle="1" w:styleId="Balk5Char">
    <w:name w:val="Başlık 5 Char"/>
    <w:basedOn w:val="VarsaylanParagrafYazTipi"/>
    <w:link w:val="Balk5"/>
    <w:uiPriority w:val="99"/>
    <w:semiHidden/>
    <w:locked/>
    <w:rsid w:val="00296311"/>
    <w:rPr>
      <w:rFonts w:ascii="Calibri" w:hAnsi="Calibri" w:cs="Calibri"/>
      <w:b/>
      <w:bCs/>
      <w:i/>
      <w:iCs/>
      <w:sz w:val="26"/>
      <w:szCs w:val="26"/>
    </w:rPr>
  </w:style>
  <w:style w:type="character" w:customStyle="1" w:styleId="Balk6Char">
    <w:name w:val="Başlık 6 Char"/>
    <w:basedOn w:val="VarsaylanParagrafYazTipi"/>
    <w:link w:val="Balk6"/>
    <w:uiPriority w:val="99"/>
    <w:locked/>
    <w:rsid w:val="00F00843"/>
    <w:rPr>
      <w:rFonts w:ascii="Calibri" w:hAnsi="Calibri" w:cs="Calibri"/>
      <w:b/>
      <w:bCs/>
      <w:sz w:val="22"/>
      <w:szCs w:val="22"/>
      <w:lang w:val="tr-TR" w:eastAsia="tr-TR"/>
    </w:rPr>
  </w:style>
  <w:style w:type="character" w:customStyle="1" w:styleId="Balk7Char">
    <w:name w:val="Başlık 7 Char"/>
    <w:basedOn w:val="VarsaylanParagrafYazTipi"/>
    <w:link w:val="Balk7"/>
    <w:uiPriority w:val="99"/>
    <w:locked/>
    <w:rsid w:val="00F00843"/>
    <w:rPr>
      <w:rFonts w:ascii="Calibri" w:hAnsi="Calibri" w:cs="Calibri"/>
      <w:sz w:val="24"/>
      <w:szCs w:val="24"/>
      <w:lang w:val="tr-TR" w:eastAsia="tr-TR"/>
    </w:rPr>
  </w:style>
  <w:style w:type="character" w:customStyle="1" w:styleId="Balk9Char">
    <w:name w:val="Başlık 9 Char"/>
    <w:basedOn w:val="VarsaylanParagrafYazTipi"/>
    <w:link w:val="Balk9"/>
    <w:uiPriority w:val="99"/>
    <w:locked/>
    <w:rsid w:val="007C2F0D"/>
    <w:rPr>
      <w:rFonts w:ascii="Arial" w:hAnsi="Arial" w:cs="Arial"/>
    </w:rPr>
  </w:style>
  <w:style w:type="paragraph" w:styleId="Altbilgi">
    <w:name w:val="footer"/>
    <w:basedOn w:val="Normal"/>
    <w:link w:val="AltbilgiChar"/>
    <w:uiPriority w:val="99"/>
    <w:rsid w:val="00A227FF"/>
    <w:pPr>
      <w:tabs>
        <w:tab w:val="center" w:pos="4536"/>
        <w:tab w:val="right" w:pos="9072"/>
      </w:tabs>
    </w:pPr>
  </w:style>
  <w:style w:type="character" w:customStyle="1" w:styleId="AltbilgiChar">
    <w:name w:val="Altbilgi Char"/>
    <w:basedOn w:val="VarsaylanParagrafYazTipi"/>
    <w:link w:val="Altbilgi"/>
    <w:uiPriority w:val="99"/>
    <w:locked/>
    <w:rsid w:val="0075283E"/>
    <w:rPr>
      <w:sz w:val="24"/>
      <w:szCs w:val="24"/>
    </w:rPr>
  </w:style>
  <w:style w:type="character" w:styleId="Kpr">
    <w:name w:val="Hyperlink"/>
    <w:basedOn w:val="VarsaylanParagrafYazTipi"/>
    <w:uiPriority w:val="99"/>
    <w:rsid w:val="00A227FF"/>
    <w:rPr>
      <w:color w:val="0000FF"/>
      <w:u w:val="single"/>
    </w:rPr>
  </w:style>
  <w:style w:type="paragraph" w:styleId="T2">
    <w:name w:val="toc 2"/>
    <w:basedOn w:val="Normal"/>
    <w:next w:val="Normal"/>
    <w:autoRedefine/>
    <w:uiPriority w:val="39"/>
    <w:qFormat/>
    <w:rsid w:val="00101F34"/>
    <w:pPr>
      <w:tabs>
        <w:tab w:val="left" w:pos="450"/>
        <w:tab w:val="right" w:leader="dot" w:pos="8460"/>
      </w:tabs>
      <w:spacing w:before="120" w:line="360" w:lineRule="auto"/>
      <w:ind w:left="450" w:hanging="450"/>
      <w:jc w:val="both"/>
    </w:pPr>
    <w:rPr>
      <w:noProof/>
    </w:rPr>
  </w:style>
  <w:style w:type="paragraph" w:styleId="T1">
    <w:name w:val="toc 1"/>
    <w:basedOn w:val="Normal"/>
    <w:next w:val="Normal"/>
    <w:autoRedefine/>
    <w:uiPriority w:val="39"/>
    <w:qFormat/>
    <w:rsid w:val="007E0310"/>
    <w:pPr>
      <w:tabs>
        <w:tab w:val="left" w:pos="284"/>
        <w:tab w:val="right" w:leader="dot" w:pos="8460"/>
      </w:tabs>
      <w:spacing w:line="360" w:lineRule="auto"/>
    </w:pPr>
    <w:rPr>
      <w:noProof/>
    </w:rPr>
  </w:style>
  <w:style w:type="paragraph" w:styleId="T3">
    <w:name w:val="toc 3"/>
    <w:basedOn w:val="Normal"/>
    <w:next w:val="Normal"/>
    <w:autoRedefine/>
    <w:uiPriority w:val="39"/>
    <w:qFormat/>
    <w:rsid w:val="00101F34"/>
    <w:pPr>
      <w:tabs>
        <w:tab w:val="left" w:pos="1080"/>
        <w:tab w:val="right" w:leader="dot" w:pos="8494"/>
      </w:tabs>
      <w:ind w:left="1260" w:hanging="810"/>
    </w:pPr>
  </w:style>
  <w:style w:type="paragraph" w:styleId="T4">
    <w:name w:val="toc 4"/>
    <w:basedOn w:val="Normal"/>
    <w:next w:val="Normal"/>
    <w:autoRedefine/>
    <w:uiPriority w:val="39"/>
    <w:rsid w:val="00101F34"/>
    <w:pPr>
      <w:tabs>
        <w:tab w:val="left" w:pos="1530"/>
        <w:tab w:val="right" w:leader="dot" w:pos="8494"/>
      </w:tabs>
      <w:ind w:left="993" w:hanging="273"/>
    </w:pPr>
    <w:rPr>
      <w:caps/>
      <w:noProof/>
    </w:rPr>
  </w:style>
  <w:style w:type="paragraph" w:styleId="T5">
    <w:name w:val="toc 5"/>
    <w:basedOn w:val="Normal"/>
    <w:next w:val="Normal"/>
    <w:autoRedefine/>
    <w:uiPriority w:val="39"/>
    <w:rsid w:val="003F52A0"/>
    <w:pPr>
      <w:tabs>
        <w:tab w:val="right" w:leader="dot" w:pos="8460"/>
      </w:tabs>
      <w:ind w:left="958"/>
    </w:pPr>
    <w:rPr>
      <w:noProof/>
    </w:rPr>
  </w:style>
  <w:style w:type="paragraph" w:styleId="T6">
    <w:name w:val="toc 6"/>
    <w:basedOn w:val="Normal"/>
    <w:next w:val="Normal"/>
    <w:autoRedefine/>
    <w:uiPriority w:val="99"/>
    <w:semiHidden/>
    <w:rsid w:val="00A227FF"/>
    <w:pPr>
      <w:tabs>
        <w:tab w:val="right" w:leader="dot" w:pos="8210"/>
      </w:tabs>
      <w:ind w:left="2342" w:hanging="1140"/>
    </w:pPr>
    <w:rPr>
      <w:noProof/>
    </w:rPr>
  </w:style>
  <w:style w:type="paragraph" w:styleId="GvdeMetniGirintisi">
    <w:name w:val="Body Text Indent"/>
    <w:basedOn w:val="Normal"/>
    <w:link w:val="GvdeMetniGirintisiChar"/>
    <w:rsid w:val="007F1C84"/>
    <w:pPr>
      <w:spacing w:line="360" w:lineRule="auto"/>
      <w:ind w:firstLine="709"/>
      <w:jc w:val="both"/>
    </w:pPr>
  </w:style>
  <w:style w:type="character" w:customStyle="1" w:styleId="GvdeMetniGirintisiChar">
    <w:name w:val="Gövde Metni Girintisi Char"/>
    <w:basedOn w:val="VarsaylanParagrafYazTipi"/>
    <w:link w:val="GvdeMetniGirintisi"/>
    <w:locked/>
    <w:rsid w:val="002A08C7"/>
    <w:rPr>
      <w:sz w:val="24"/>
      <w:szCs w:val="24"/>
    </w:rPr>
  </w:style>
  <w:style w:type="paragraph" w:styleId="ekillerTablosu">
    <w:name w:val="table of figures"/>
    <w:basedOn w:val="Normal"/>
    <w:next w:val="Normal"/>
    <w:uiPriority w:val="99"/>
    <w:semiHidden/>
    <w:rsid w:val="007F1C84"/>
    <w:pPr>
      <w:ind w:left="482" w:hanging="482"/>
    </w:pPr>
    <w:rPr>
      <w:b/>
      <w:bCs/>
    </w:rPr>
  </w:style>
  <w:style w:type="paragraph" w:customStyle="1" w:styleId="izelgelerTablosu">
    <w:name w:val="Çizelgeler Tablosu"/>
    <w:basedOn w:val="Normal"/>
    <w:uiPriority w:val="99"/>
    <w:rsid w:val="00D81608"/>
    <w:pPr>
      <w:spacing w:before="240" w:after="240"/>
    </w:pPr>
    <w:rPr>
      <w:b/>
      <w:bCs/>
    </w:rPr>
  </w:style>
  <w:style w:type="table" w:styleId="TabloKlavuzu">
    <w:name w:val="Table Grid"/>
    <w:basedOn w:val="NormalTablo"/>
    <w:uiPriority w:val="59"/>
    <w:rsid w:val="00D8160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uiPriority w:val="99"/>
    <w:rsid w:val="006939CD"/>
    <w:pPr>
      <w:spacing w:after="120"/>
    </w:pPr>
  </w:style>
  <w:style w:type="character" w:customStyle="1" w:styleId="GvdeMetniChar">
    <w:name w:val="Gövde Metni Char"/>
    <w:basedOn w:val="VarsaylanParagrafYazTipi"/>
    <w:link w:val="GvdeMetni"/>
    <w:uiPriority w:val="99"/>
    <w:locked/>
    <w:rsid w:val="00AE6CB8"/>
    <w:rPr>
      <w:sz w:val="24"/>
      <w:szCs w:val="24"/>
      <w:lang w:val="tr-TR" w:eastAsia="tr-TR"/>
    </w:rPr>
  </w:style>
  <w:style w:type="paragraph" w:styleId="GvdeMetni2">
    <w:name w:val="Body Text 2"/>
    <w:basedOn w:val="Normal"/>
    <w:link w:val="GvdeMetni2Char"/>
    <w:uiPriority w:val="99"/>
    <w:rsid w:val="006939CD"/>
    <w:pPr>
      <w:spacing w:after="120" w:line="480" w:lineRule="auto"/>
    </w:pPr>
  </w:style>
  <w:style w:type="character" w:customStyle="1" w:styleId="GvdeMetni2Char">
    <w:name w:val="Gövde Metni 2 Char"/>
    <w:basedOn w:val="VarsaylanParagrafYazTipi"/>
    <w:link w:val="GvdeMetni2"/>
    <w:uiPriority w:val="99"/>
    <w:semiHidden/>
    <w:locked/>
    <w:rsid w:val="00296311"/>
    <w:rPr>
      <w:sz w:val="24"/>
      <w:szCs w:val="24"/>
    </w:rPr>
  </w:style>
  <w:style w:type="paragraph" w:customStyle="1" w:styleId="bolukcizgisi">
    <w:name w:val="boşluk cizgisi"/>
    <w:basedOn w:val="Normal"/>
    <w:rsid w:val="00DA18ED"/>
    <w:pPr>
      <w:widowControl w:val="0"/>
      <w:jc w:val="both"/>
    </w:pPr>
  </w:style>
  <w:style w:type="paragraph" w:styleId="NormalWeb">
    <w:name w:val="Normal (Web)"/>
    <w:basedOn w:val="Normal"/>
    <w:rsid w:val="00DA18ED"/>
    <w:pPr>
      <w:shd w:val="clear" w:color="auto" w:fill="FFFFFF"/>
      <w:spacing w:before="100" w:beforeAutospacing="1" w:after="100" w:afterAutospacing="1"/>
      <w:jc w:val="both"/>
    </w:pPr>
    <w:rPr>
      <w:rFonts w:ascii="Trebuchet MS" w:hAnsi="Trebuchet MS" w:cs="Trebuchet MS"/>
      <w:color w:val="000000"/>
      <w:sz w:val="20"/>
      <w:szCs w:val="20"/>
    </w:rPr>
  </w:style>
  <w:style w:type="character" w:styleId="SayfaNumaras">
    <w:name w:val="page number"/>
    <w:basedOn w:val="VarsaylanParagrafYazTipi"/>
    <w:uiPriority w:val="99"/>
    <w:rsid w:val="005E1F91"/>
  </w:style>
  <w:style w:type="paragraph" w:styleId="BalonMetni">
    <w:name w:val="Balloon Text"/>
    <w:basedOn w:val="Normal"/>
    <w:link w:val="BalonMetniChar"/>
    <w:uiPriority w:val="99"/>
    <w:semiHidden/>
    <w:rsid w:val="00785C80"/>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296311"/>
    <w:rPr>
      <w:sz w:val="2"/>
      <w:szCs w:val="2"/>
    </w:rPr>
  </w:style>
  <w:style w:type="paragraph" w:styleId="stbilgi">
    <w:name w:val="header"/>
    <w:basedOn w:val="Normal"/>
    <w:link w:val="stbilgiChar"/>
    <w:uiPriority w:val="99"/>
    <w:rsid w:val="00AF4C06"/>
    <w:pPr>
      <w:tabs>
        <w:tab w:val="center" w:pos="4536"/>
        <w:tab w:val="right" w:pos="9072"/>
      </w:tabs>
    </w:pPr>
  </w:style>
  <w:style w:type="character" w:customStyle="1" w:styleId="stbilgiChar">
    <w:name w:val="Üstbilgi Char"/>
    <w:basedOn w:val="VarsaylanParagrafYazTipi"/>
    <w:link w:val="stbilgi"/>
    <w:uiPriority w:val="99"/>
    <w:locked/>
    <w:rsid w:val="00AF222B"/>
    <w:rPr>
      <w:sz w:val="24"/>
      <w:szCs w:val="24"/>
    </w:rPr>
  </w:style>
  <w:style w:type="paragraph" w:customStyle="1" w:styleId="Stil14nkKalnOrtadan">
    <w:name w:val="Stil 14 nk Kalın Ortadan"/>
    <w:basedOn w:val="KonuBal"/>
    <w:uiPriority w:val="99"/>
    <w:rsid w:val="0067242B"/>
    <w:rPr>
      <w:rFonts w:ascii="Times New Roman" w:hAnsi="Times New Roman" w:cs="Times New Roman"/>
      <w:sz w:val="28"/>
      <w:szCs w:val="28"/>
    </w:rPr>
  </w:style>
  <w:style w:type="paragraph" w:styleId="KonuBal">
    <w:name w:val="Title"/>
    <w:basedOn w:val="Normal"/>
    <w:link w:val="KonuBalChar"/>
    <w:uiPriority w:val="99"/>
    <w:qFormat/>
    <w:rsid w:val="0067242B"/>
    <w:pPr>
      <w:spacing w:before="240" w:after="60"/>
      <w:jc w:val="center"/>
      <w:outlineLvl w:val="0"/>
    </w:pPr>
    <w:rPr>
      <w:rFonts w:ascii="Arial" w:hAnsi="Arial" w:cs="Arial"/>
      <w:b/>
      <w:bCs/>
      <w:kern w:val="28"/>
      <w:sz w:val="32"/>
      <w:szCs w:val="32"/>
    </w:rPr>
  </w:style>
  <w:style w:type="character" w:customStyle="1" w:styleId="KonuBalChar">
    <w:name w:val="Konu Başlığı Char"/>
    <w:basedOn w:val="VarsaylanParagrafYazTipi"/>
    <w:link w:val="KonuBal"/>
    <w:uiPriority w:val="99"/>
    <w:locked/>
    <w:rsid w:val="00EC68F4"/>
    <w:rPr>
      <w:rFonts w:ascii="Arial" w:hAnsi="Arial" w:cs="Arial"/>
      <w:b/>
      <w:bCs/>
      <w:kern w:val="28"/>
      <w:sz w:val="32"/>
      <w:szCs w:val="32"/>
    </w:rPr>
  </w:style>
  <w:style w:type="character" w:styleId="DipnotBavurusu">
    <w:name w:val="footnote reference"/>
    <w:aliases w:val="EN Footnote Reference,-E Fußnotenzeichen"/>
    <w:basedOn w:val="VarsaylanParagrafYazTipi"/>
    <w:uiPriority w:val="99"/>
    <w:semiHidden/>
    <w:rsid w:val="00B259FE"/>
    <w:rPr>
      <w:vertAlign w:val="superscript"/>
    </w:rPr>
  </w:style>
  <w:style w:type="paragraph" w:styleId="DipnotMetni">
    <w:name w:val="footnote text"/>
    <w:aliases w:val="Footnote Text Char,Footnote,-E Fußnotentext,Fußnotentext Ursprung,footnote text"/>
    <w:basedOn w:val="Normal"/>
    <w:link w:val="DipnotMetniChar"/>
    <w:uiPriority w:val="99"/>
    <w:semiHidden/>
    <w:rsid w:val="00B259FE"/>
    <w:rPr>
      <w:sz w:val="20"/>
      <w:szCs w:val="20"/>
    </w:rPr>
  </w:style>
  <w:style w:type="character" w:customStyle="1" w:styleId="FootnoteTextChar1">
    <w:name w:val="Footnote Text Char1"/>
    <w:aliases w:val="Footnote Text Char Char,Footnote Char,-E Fußnotentext Char,Fußnotentext Ursprung Char"/>
    <w:basedOn w:val="VarsaylanParagrafYazTipi"/>
    <w:uiPriority w:val="99"/>
    <w:semiHidden/>
    <w:locked/>
    <w:rsid w:val="00296311"/>
    <w:rPr>
      <w:sz w:val="20"/>
      <w:szCs w:val="20"/>
    </w:rPr>
  </w:style>
  <w:style w:type="paragraph" w:customStyle="1" w:styleId="kutu1">
    <w:name w:val="kutu1"/>
    <w:basedOn w:val="Normal"/>
    <w:uiPriority w:val="99"/>
    <w:rsid w:val="004D65D8"/>
    <w:pPr>
      <w:spacing w:before="284" w:after="100" w:afterAutospacing="1"/>
      <w:ind w:left="1134" w:right="1134" w:firstLine="567"/>
      <w:jc w:val="both"/>
    </w:pPr>
    <w:rPr>
      <w:rFonts w:ascii="Verdana" w:hAnsi="Verdana" w:cs="Verdana"/>
      <w:sz w:val="14"/>
      <w:szCs w:val="14"/>
    </w:rPr>
  </w:style>
  <w:style w:type="paragraph" w:customStyle="1" w:styleId="Default">
    <w:name w:val="Default"/>
    <w:rsid w:val="00F23978"/>
    <w:pPr>
      <w:autoSpaceDE w:val="0"/>
      <w:autoSpaceDN w:val="0"/>
      <w:adjustRightInd w:val="0"/>
    </w:pPr>
    <w:rPr>
      <w:rFonts w:ascii="Garamond-Bold" w:hAnsi="Garamond-Bold" w:cs="Garamond-Bold"/>
      <w:sz w:val="20"/>
      <w:szCs w:val="20"/>
    </w:rPr>
  </w:style>
  <w:style w:type="character" w:customStyle="1" w:styleId="longtext">
    <w:name w:val="long_text"/>
    <w:basedOn w:val="VarsaylanParagrafYazTipi"/>
    <w:uiPriority w:val="99"/>
    <w:rsid w:val="00833F0A"/>
  </w:style>
  <w:style w:type="paragraph" w:styleId="GvdeMetni3">
    <w:name w:val="Body Text 3"/>
    <w:basedOn w:val="Normal"/>
    <w:link w:val="GvdeMetni3Char"/>
    <w:uiPriority w:val="99"/>
    <w:rsid w:val="00724673"/>
    <w:pPr>
      <w:spacing w:after="120"/>
    </w:pPr>
    <w:rPr>
      <w:sz w:val="16"/>
      <w:szCs w:val="16"/>
    </w:rPr>
  </w:style>
  <w:style w:type="character" w:customStyle="1" w:styleId="GvdeMetni3Char">
    <w:name w:val="Gövde Metni 3 Char"/>
    <w:basedOn w:val="VarsaylanParagrafYazTipi"/>
    <w:link w:val="GvdeMetni3"/>
    <w:uiPriority w:val="99"/>
    <w:semiHidden/>
    <w:locked/>
    <w:rsid w:val="00296311"/>
    <w:rPr>
      <w:sz w:val="16"/>
      <w:szCs w:val="16"/>
    </w:rPr>
  </w:style>
  <w:style w:type="paragraph" w:styleId="GvdeMetniGirintisi3">
    <w:name w:val="Body Text Indent 3"/>
    <w:basedOn w:val="Normal"/>
    <w:link w:val="GvdeMetniGirintisi3Char"/>
    <w:uiPriority w:val="99"/>
    <w:rsid w:val="00F533D2"/>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locked/>
    <w:rsid w:val="00296311"/>
    <w:rPr>
      <w:sz w:val="16"/>
      <w:szCs w:val="16"/>
    </w:rPr>
  </w:style>
  <w:style w:type="character" w:customStyle="1" w:styleId="A1">
    <w:name w:val="A1"/>
    <w:uiPriority w:val="99"/>
    <w:rsid w:val="006D4B35"/>
    <w:rPr>
      <w:color w:val="000000"/>
      <w:sz w:val="16"/>
      <w:szCs w:val="16"/>
    </w:rPr>
  </w:style>
  <w:style w:type="character" w:customStyle="1" w:styleId="hps">
    <w:name w:val="hps"/>
    <w:rsid w:val="003B70D0"/>
  </w:style>
  <w:style w:type="paragraph" w:customStyle="1" w:styleId="ekil">
    <w:name w:val="Şekil"/>
    <w:basedOn w:val="Normal"/>
    <w:link w:val="ekilChar"/>
    <w:uiPriority w:val="99"/>
    <w:rsid w:val="001634EA"/>
    <w:pPr>
      <w:keepNext/>
      <w:spacing w:before="240"/>
    </w:pPr>
    <w:rPr>
      <w:b/>
    </w:rPr>
  </w:style>
  <w:style w:type="paragraph" w:customStyle="1" w:styleId="ekil3">
    <w:name w:val="Şekil3"/>
    <w:basedOn w:val="Normal"/>
    <w:uiPriority w:val="99"/>
    <w:rsid w:val="0061490B"/>
    <w:pPr>
      <w:spacing w:before="240"/>
      <w:jc w:val="both"/>
    </w:pPr>
    <w:rPr>
      <w:b/>
      <w:bCs/>
    </w:rPr>
  </w:style>
  <w:style w:type="character" w:styleId="AklamaBavurusu">
    <w:name w:val="annotation reference"/>
    <w:basedOn w:val="VarsaylanParagrafYazTipi"/>
    <w:uiPriority w:val="99"/>
    <w:semiHidden/>
    <w:rsid w:val="0061490B"/>
    <w:rPr>
      <w:sz w:val="16"/>
      <w:szCs w:val="16"/>
    </w:rPr>
  </w:style>
  <w:style w:type="paragraph" w:styleId="AklamaMetni">
    <w:name w:val="annotation text"/>
    <w:basedOn w:val="Normal"/>
    <w:link w:val="AklamaMetniChar"/>
    <w:uiPriority w:val="99"/>
    <w:semiHidden/>
    <w:rsid w:val="0061490B"/>
    <w:rPr>
      <w:sz w:val="20"/>
      <w:szCs w:val="20"/>
    </w:rPr>
  </w:style>
  <w:style w:type="character" w:customStyle="1" w:styleId="AklamaMetniChar">
    <w:name w:val="Açıklama Metni Char"/>
    <w:basedOn w:val="VarsaylanParagrafYazTipi"/>
    <w:link w:val="AklamaMetni"/>
    <w:uiPriority w:val="99"/>
    <w:locked/>
    <w:rsid w:val="0061490B"/>
    <w:rPr>
      <w:lang w:val="tr-TR" w:eastAsia="tr-TR"/>
    </w:rPr>
  </w:style>
  <w:style w:type="paragraph" w:customStyle="1" w:styleId="hairline-divider">
    <w:name w:val="hairline-divider"/>
    <w:basedOn w:val="Normal"/>
    <w:uiPriority w:val="99"/>
    <w:rsid w:val="0061490B"/>
    <w:pPr>
      <w:pBdr>
        <w:bottom w:val="single" w:sz="6" w:space="0" w:color="DDDDDD"/>
      </w:pBdr>
      <w:spacing w:after="105"/>
    </w:pPr>
    <w:rPr>
      <w:lang w:val="en-GB" w:eastAsia="en-GB"/>
    </w:rPr>
  </w:style>
  <w:style w:type="character" w:styleId="Gl">
    <w:name w:val="Strong"/>
    <w:basedOn w:val="VarsaylanParagrafYazTipi"/>
    <w:uiPriority w:val="22"/>
    <w:qFormat/>
    <w:rsid w:val="0061490B"/>
    <w:rPr>
      <w:b/>
      <w:bCs/>
    </w:rPr>
  </w:style>
  <w:style w:type="paragraph" w:styleId="AklamaKonusu">
    <w:name w:val="annotation subject"/>
    <w:basedOn w:val="AklamaMetni"/>
    <w:next w:val="AklamaMetni"/>
    <w:link w:val="AklamaKonusuChar"/>
    <w:uiPriority w:val="99"/>
    <w:semiHidden/>
    <w:rsid w:val="0061490B"/>
    <w:rPr>
      <w:b/>
      <w:bCs/>
    </w:rPr>
  </w:style>
  <w:style w:type="character" w:customStyle="1" w:styleId="AklamaKonusuChar">
    <w:name w:val="Açıklama Konusu Char"/>
    <w:basedOn w:val="AklamaMetniChar"/>
    <w:link w:val="AklamaKonusu"/>
    <w:uiPriority w:val="99"/>
    <w:locked/>
    <w:rsid w:val="0061490B"/>
    <w:rPr>
      <w:b/>
      <w:bCs/>
      <w:lang w:val="tr-TR" w:eastAsia="tr-TR"/>
    </w:rPr>
  </w:style>
  <w:style w:type="paragraph" w:customStyle="1" w:styleId="GvdeMetni1">
    <w:name w:val="Gövde Metni1"/>
    <w:basedOn w:val="Default"/>
    <w:next w:val="Default"/>
    <w:uiPriority w:val="99"/>
    <w:rsid w:val="0001485F"/>
    <w:rPr>
      <w:rFonts w:ascii="AEGNJE+TimesNewRoman" w:hAnsi="AEGNJE+TimesNewRoman" w:cs="AEGNJE+TimesNewRoman"/>
      <w:sz w:val="24"/>
      <w:szCs w:val="24"/>
      <w:lang w:val="en-GB" w:eastAsia="en-GB"/>
    </w:rPr>
  </w:style>
  <w:style w:type="character" w:styleId="zlenenKpr">
    <w:name w:val="FollowedHyperlink"/>
    <w:basedOn w:val="VarsaylanParagrafYazTipi"/>
    <w:uiPriority w:val="99"/>
    <w:rsid w:val="00B469F9"/>
    <w:rPr>
      <w:color w:val="800080"/>
      <w:u w:val="single"/>
    </w:rPr>
  </w:style>
  <w:style w:type="character" w:customStyle="1" w:styleId="apple-style-span">
    <w:name w:val="apple-style-span"/>
    <w:basedOn w:val="VarsaylanParagrafYazTipi"/>
    <w:uiPriority w:val="99"/>
    <w:rsid w:val="004C63FE"/>
  </w:style>
  <w:style w:type="character" w:styleId="YerTutucuMetni">
    <w:name w:val="Placeholder Text"/>
    <w:basedOn w:val="VarsaylanParagrafYazTipi"/>
    <w:uiPriority w:val="99"/>
    <w:semiHidden/>
    <w:rsid w:val="00EC68F4"/>
    <w:rPr>
      <w:color w:val="808080"/>
    </w:rPr>
  </w:style>
  <w:style w:type="character" w:styleId="Vurgu">
    <w:name w:val="Emphasis"/>
    <w:basedOn w:val="VarsaylanParagrafYazTipi"/>
    <w:uiPriority w:val="20"/>
    <w:qFormat/>
    <w:rsid w:val="00EC68F4"/>
    <w:rPr>
      <w:i/>
      <w:iCs/>
    </w:rPr>
  </w:style>
  <w:style w:type="paragraph" w:styleId="AltKonuBal">
    <w:name w:val="Subtitle"/>
    <w:basedOn w:val="Normal"/>
    <w:next w:val="Normal"/>
    <w:link w:val="AltKonuBalChar"/>
    <w:uiPriority w:val="99"/>
    <w:qFormat/>
    <w:rsid w:val="00CB0EEC"/>
    <w:pPr>
      <w:spacing w:after="60"/>
      <w:jc w:val="center"/>
      <w:outlineLvl w:val="1"/>
    </w:pPr>
    <w:rPr>
      <w:rFonts w:ascii="Cambria" w:hAnsi="Cambria" w:cs="Cambria"/>
      <w:lang w:eastAsia="en-GB"/>
    </w:rPr>
  </w:style>
  <w:style w:type="character" w:customStyle="1" w:styleId="AltKonuBalChar">
    <w:name w:val="Alt Konu Başlığı Char"/>
    <w:basedOn w:val="VarsaylanParagrafYazTipi"/>
    <w:link w:val="AltKonuBal"/>
    <w:uiPriority w:val="99"/>
    <w:locked/>
    <w:rsid w:val="00CB0EEC"/>
    <w:rPr>
      <w:rFonts w:ascii="Cambria" w:hAnsi="Cambria" w:cs="Cambria"/>
      <w:sz w:val="24"/>
      <w:szCs w:val="24"/>
      <w:lang w:eastAsia="en-GB"/>
    </w:rPr>
  </w:style>
  <w:style w:type="character" w:customStyle="1" w:styleId="apple-converted-space">
    <w:name w:val="apple-converted-space"/>
    <w:basedOn w:val="VarsaylanParagrafYazTipi"/>
    <w:rsid w:val="00E41691"/>
  </w:style>
  <w:style w:type="paragraph" w:styleId="ListeParagraf">
    <w:name w:val="List Paragraph"/>
    <w:basedOn w:val="Normal"/>
    <w:uiPriority w:val="34"/>
    <w:qFormat/>
    <w:rsid w:val="007A5BAE"/>
    <w:pPr>
      <w:ind w:left="720"/>
    </w:pPr>
  </w:style>
  <w:style w:type="character" w:customStyle="1" w:styleId="DipnotMetniChar">
    <w:name w:val="Dipnot Metni Char"/>
    <w:aliases w:val="Footnote Text Char Char1,Footnote Char1,-E Fußnotentext Char1,Fußnotentext Ursprung Char1,footnote text Char"/>
    <w:basedOn w:val="VarsaylanParagrafYazTipi"/>
    <w:link w:val="DipnotMetni"/>
    <w:uiPriority w:val="99"/>
    <w:semiHidden/>
    <w:locked/>
    <w:rsid w:val="0079385F"/>
  </w:style>
  <w:style w:type="character" w:customStyle="1" w:styleId="FontStyle246">
    <w:name w:val="Font Style246"/>
    <w:basedOn w:val="VarsaylanParagrafYazTipi"/>
    <w:uiPriority w:val="99"/>
    <w:rsid w:val="0079385F"/>
    <w:rPr>
      <w:rFonts w:ascii="Times New Roman" w:hAnsi="Times New Roman" w:cs="Times New Roman"/>
      <w:sz w:val="22"/>
      <w:szCs w:val="22"/>
    </w:rPr>
  </w:style>
  <w:style w:type="character" w:customStyle="1" w:styleId="FontStyle266">
    <w:name w:val="Font Style266"/>
    <w:basedOn w:val="VarsaylanParagrafYazTipi"/>
    <w:uiPriority w:val="99"/>
    <w:rsid w:val="0079385F"/>
    <w:rPr>
      <w:rFonts w:ascii="Times New Roman" w:hAnsi="Times New Roman" w:cs="Times New Roman"/>
      <w:i/>
      <w:iCs/>
      <w:sz w:val="22"/>
      <w:szCs w:val="22"/>
    </w:rPr>
  </w:style>
  <w:style w:type="paragraph" w:customStyle="1" w:styleId="Style12">
    <w:name w:val="Style12"/>
    <w:basedOn w:val="Normal"/>
    <w:uiPriority w:val="99"/>
    <w:rsid w:val="0079385F"/>
    <w:pPr>
      <w:widowControl w:val="0"/>
      <w:autoSpaceDE w:val="0"/>
      <w:autoSpaceDN w:val="0"/>
      <w:adjustRightInd w:val="0"/>
      <w:spacing w:line="360" w:lineRule="exact"/>
      <w:ind w:hanging="274"/>
      <w:jc w:val="both"/>
    </w:pPr>
    <w:rPr>
      <w:rFonts w:ascii="Arial" w:hAnsi="Arial" w:cs="Arial"/>
    </w:rPr>
  </w:style>
  <w:style w:type="paragraph" w:customStyle="1" w:styleId="Style20">
    <w:name w:val="Style20"/>
    <w:basedOn w:val="Normal"/>
    <w:uiPriority w:val="99"/>
    <w:rsid w:val="0079385F"/>
    <w:pPr>
      <w:widowControl w:val="0"/>
      <w:autoSpaceDE w:val="0"/>
      <w:autoSpaceDN w:val="0"/>
      <w:adjustRightInd w:val="0"/>
      <w:spacing w:line="360" w:lineRule="exact"/>
      <w:ind w:hanging="293"/>
    </w:pPr>
    <w:rPr>
      <w:rFonts w:ascii="Arial" w:hAnsi="Arial" w:cs="Arial"/>
    </w:rPr>
  </w:style>
  <w:style w:type="paragraph" w:styleId="T7">
    <w:name w:val="toc 7"/>
    <w:basedOn w:val="Normal"/>
    <w:next w:val="Normal"/>
    <w:autoRedefine/>
    <w:uiPriority w:val="99"/>
    <w:semiHidden/>
    <w:rsid w:val="00623ACA"/>
    <w:pPr>
      <w:spacing w:after="100" w:line="276" w:lineRule="auto"/>
      <w:ind w:left="1320"/>
    </w:pPr>
    <w:rPr>
      <w:rFonts w:ascii="Calibri" w:hAnsi="Calibri" w:cs="Calibri"/>
      <w:sz w:val="22"/>
      <w:szCs w:val="22"/>
    </w:rPr>
  </w:style>
  <w:style w:type="paragraph" w:styleId="T8">
    <w:name w:val="toc 8"/>
    <w:basedOn w:val="Normal"/>
    <w:next w:val="Normal"/>
    <w:autoRedefine/>
    <w:uiPriority w:val="99"/>
    <w:semiHidden/>
    <w:rsid w:val="00623ACA"/>
    <w:pPr>
      <w:spacing w:after="100" w:line="276" w:lineRule="auto"/>
      <w:ind w:left="1540"/>
    </w:pPr>
    <w:rPr>
      <w:rFonts w:ascii="Calibri" w:hAnsi="Calibri" w:cs="Calibri"/>
      <w:sz w:val="22"/>
      <w:szCs w:val="22"/>
    </w:rPr>
  </w:style>
  <w:style w:type="paragraph" w:styleId="T9">
    <w:name w:val="toc 9"/>
    <w:basedOn w:val="Normal"/>
    <w:next w:val="Normal"/>
    <w:autoRedefine/>
    <w:uiPriority w:val="99"/>
    <w:semiHidden/>
    <w:rsid w:val="00623ACA"/>
    <w:pPr>
      <w:spacing w:after="100" w:line="276" w:lineRule="auto"/>
      <w:ind w:left="1760"/>
    </w:pPr>
    <w:rPr>
      <w:rFonts w:ascii="Calibri" w:hAnsi="Calibri" w:cs="Calibri"/>
      <w:sz w:val="22"/>
      <w:szCs w:val="22"/>
    </w:rPr>
  </w:style>
  <w:style w:type="paragraph" w:customStyle="1" w:styleId="Style11">
    <w:name w:val="Style11"/>
    <w:basedOn w:val="Normal"/>
    <w:uiPriority w:val="99"/>
    <w:rsid w:val="00BB0F4D"/>
    <w:pPr>
      <w:widowControl w:val="0"/>
      <w:autoSpaceDE w:val="0"/>
      <w:autoSpaceDN w:val="0"/>
      <w:adjustRightInd w:val="0"/>
      <w:spacing w:line="389" w:lineRule="exact"/>
      <w:ind w:firstLine="850"/>
      <w:jc w:val="both"/>
    </w:pPr>
  </w:style>
  <w:style w:type="character" w:customStyle="1" w:styleId="FontStyle134">
    <w:name w:val="Font Style134"/>
    <w:basedOn w:val="VarsaylanParagrafYazTipi"/>
    <w:uiPriority w:val="99"/>
    <w:rsid w:val="00BB0F4D"/>
    <w:rPr>
      <w:rFonts w:ascii="Times New Roman" w:hAnsi="Times New Roman" w:cs="Times New Roman"/>
      <w:sz w:val="22"/>
      <w:szCs w:val="22"/>
    </w:rPr>
  </w:style>
  <w:style w:type="character" w:customStyle="1" w:styleId="A12">
    <w:name w:val="A12"/>
    <w:uiPriority w:val="99"/>
    <w:rsid w:val="00FA1C4D"/>
    <w:rPr>
      <w:color w:val="000000"/>
      <w:sz w:val="21"/>
      <w:szCs w:val="21"/>
    </w:rPr>
  </w:style>
  <w:style w:type="character" w:customStyle="1" w:styleId="shorttext">
    <w:name w:val="short_text"/>
    <w:basedOn w:val="VarsaylanParagrafYazTipi"/>
    <w:rsid w:val="0078447E"/>
  </w:style>
  <w:style w:type="paragraph" w:styleId="SonnotMetni">
    <w:name w:val="endnote text"/>
    <w:basedOn w:val="Normal"/>
    <w:link w:val="SonnotMetniChar"/>
    <w:uiPriority w:val="99"/>
    <w:semiHidden/>
    <w:rsid w:val="0037120F"/>
    <w:rPr>
      <w:sz w:val="20"/>
      <w:szCs w:val="20"/>
    </w:rPr>
  </w:style>
  <w:style w:type="character" w:customStyle="1" w:styleId="SonnotMetniChar">
    <w:name w:val="Sonnot Metni Char"/>
    <w:basedOn w:val="VarsaylanParagrafYazTipi"/>
    <w:link w:val="SonnotMetni"/>
    <w:uiPriority w:val="99"/>
    <w:locked/>
    <w:rsid w:val="0037120F"/>
  </w:style>
  <w:style w:type="character" w:styleId="SonnotBavurusu">
    <w:name w:val="endnote reference"/>
    <w:basedOn w:val="VarsaylanParagrafYazTipi"/>
    <w:uiPriority w:val="99"/>
    <w:semiHidden/>
    <w:rsid w:val="0037120F"/>
    <w:rPr>
      <w:vertAlign w:val="superscript"/>
    </w:rPr>
  </w:style>
  <w:style w:type="paragraph" w:customStyle="1" w:styleId="listparagraph">
    <w:name w:val="listparagraph"/>
    <w:basedOn w:val="Normal"/>
    <w:uiPriority w:val="99"/>
    <w:rsid w:val="0040284C"/>
    <w:pPr>
      <w:spacing w:before="100" w:beforeAutospacing="1" w:after="100" w:afterAutospacing="1"/>
    </w:pPr>
  </w:style>
  <w:style w:type="paragraph" w:customStyle="1" w:styleId="listparagraphcxspilk">
    <w:name w:val="listparagraphcxspilk"/>
    <w:basedOn w:val="Normal"/>
    <w:uiPriority w:val="99"/>
    <w:rsid w:val="0040284C"/>
    <w:pPr>
      <w:spacing w:before="100" w:beforeAutospacing="1" w:after="100" w:afterAutospacing="1"/>
    </w:pPr>
  </w:style>
  <w:style w:type="paragraph" w:customStyle="1" w:styleId="listparagraphcxsporta">
    <w:name w:val="listparagraphcxsporta"/>
    <w:basedOn w:val="Normal"/>
    <w:uiPriority w:val="99"/>
    <w:rsid w:val="0040284C"/>
    <w:pPr>
      <w:spacing w:before="100" w:beforeAutospacing="1" w:after="100" w:afterAutospacing="1"/>
    </w:pPr>
  </w:style>
  <w:style w:type="paragraph" w:customStyle="1" w:styleId="listparagraphcxspson">
    <w:name w:val="listparagraphcxspson"/>
    <w:basedOn w:val="Normal"/>
    <w:uiPriority w:val="99"/>
    <w:rsid w:val="0040284C"/>
    <w:pPr>
      <w:spacing w:before="100" w:beforeAutospacing="1" w:after="100" w:afterAutospacing="1"/>
    </w:pPr>
  </w:style>
  <w:style w:type="paragraph" w:styleId="ResimYazs">
    <w:name w:val="caption"/>
    <w:basedOn w:val="Normal"/>
    <w:next w:val="Normal"/>
    <w:unhideWhenUsed/>
    <w:qFormat/>
    <w:rsid w:val="001F69D9"/>
    <w:pPr>
      <w:spacing w:after="200"/>
    </w:pPr>
    <w:rPr>
      <w:b/>
      <w:bCs/>
      <w:color w:val="4F81BD" w:themeColor="accent1"/>
      <w:sz w:val="18"/>
      <w:szCs w:val="18"/>
    </w:rPr>
  </w:style>
  <w:style w:type="table" w:styleId="RenkliKlavuz-Vurgu3">
    <w:name w:val="Colorful Grid Accent 3"/>
    <w:basedOn w:val="NormalTablo"/>
    <w:uiPriority w:val="73"/>
    <w:rsid w:val="009A26A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wp-caption-text2">
    <w:name w:val="wp-caption-text2"/>
    <w:basedOn w:val="Normal"/>
    <w:rsid w:val="0098279E"/>
    <w:pPr>
      <w:spacing w:before="100" w:beforeAutospacing="1" w:after="360"/>
    </w:pPr>
    <w:rPr>
      <w:rFonts w:ascii="Arial" w:hAnsi="Arial" w:cs="Arial"/>
    </w:rPr>
  </w:style>
  <w:style w:type="character" w:customStyle="1" w:styleId="kuvateksti1">
    <w:name w:val="kuvateksti1"/>
    <w:basedOn w:val="VarsaylanParagrafYazTipi"/>
    <w:rsid w:val="00BC68CE"/>
    <w:rPr>
      <w:sz w:val="16"/>
      <w:szCs w:val="16"/>
    </w:rPr>
  </w:style>
  <w:style w:type="character" w:customStyle="1" w:styleId="Gvdemetni0">
    <w:name w:val="Gövde metni_"/>
    <w:basedOn w:val="VarsaylanParagrafYazTipi"/>
    <w:link w:val="Gvdemetni4"/>
    <w:rsid w:val="00230270"/>
    <w:rPr>
      <w:sz w:val="20"/>
      <w:szCs w:val="20"/>
      <w:shd w:val="clear" w:color="auto" w:fill="FFFFFF"/>
    </w:rPr>
  </w:style>
  <w:style w:type="paragraph" w:customStyle="1" w:styleId="Gvdemetni4">
    <w:name w:val="Gövde metni"/>
    <w:basedOn w:val="Normal"/>
    <w:link w:val="Gvdemetni0"/>
    <w:rsid w:val="00230270"/>
    <w:pPr>
      <w:widowControl w:val="0"/>
      <w:shd w:val="clear" w:color="auto" w:fill="FFFFFF"/>
      <w:spacing w:line="274" w:lineRule="exact"/>
      <w:ind w:hanging="360"/>
      <w:jc w:val="center"/>
    </w:pPr>
    <w:rPr>
      <w:sz w:val="20"/>
      <w:szCs w:val="20"/>
    </w:rPr>
  </w:style>
  <w:style w:type="character" w:customStyle="1" w:styleId="journalname1">
    <w:name w:val="journalname1"/>
    <w:basedOn w:val="VarsaylanParagrafYazTipi"/>
    <w:rsid w:val="00255CCF"/>
    <w:rPr>
      <w:i/>
      <w:iCs/>
    </w:rPr>
  </w:style>
  <w:style w:type="character" w:customStyle="1" w:styleId="b1">
    <w:name w:val="b1"/>
    <w:basedOn w:val="VarsaylanParagrafYazTipi"/>
    <w:rsid w:val="00255CCF"/>
    <w:rPr>
      <w:b/>
      <w:bCs/>
    </w:rPr>
  </w:style>
  <w:style w:type="character" w:customStyle="1" w:styleId="doi6">
    <w:name w:val="doi6"/>
    <w:basedOn w:val="VarsaylanParagrafYazTipi"/>
    <w:rsid w:val="00255CCF"/>
  </w:style>
  <w:style w:type="character" w:customStyle="1" w:styleId="st1">
    <w:name w:val="st1"/>
    <w:basedOn w:val="VarsaylanParagrafYazTipi"/>
    <w:rsid w:val="007B12C8"/>
  </w:style>
  <w:style w:type="paragraph" w:customStyle="1" w:styleId="aperex2">
    <w:name w:val="aperex2"/>
    <w:basedOn w:val="Normal"/>
    <w:rsid w:val="00C87FCF"/>
    <w:pPr>
      <w:spacing w:after="75" w:line="225" w:lineRule="atLeast"/>
      <w:jc w:val="both"/>
    </w:pPr>
    <w:rPr>
      <w:b/>
      <w:bCs/>
      <w:color w:val="000000"/>
    </w:rPr>
  </w:style>
  <w:style w:type="paragraph" w:customStyle="1" w:styleId="bodytext">
    <w:name w:val="bodytext"/>
    <w:basedOn w:val="Normal"/>
    <w:rsid w:val="00D379E0"/>
    <w:pPr>
      <w:spacing w:before="150" w:after="150"/>
    </w:pPr>
  </w:style>
  <w:style w:type="character" w:customStyle="1" w:styleId="Gvdemetni11pt">
    <w:name w:val="Gövde metni + 11 pt"/>
    <w:aliases w:val="İtalik,0 pt boşluk bırakılıyor,Gövde metni + 8.5 pt,Kalın"/>
    <w:basedOn w:val="Gvdemetni0"/>
    <w:rsid w:val="000E47DB"/>
    <w:rPr>
      <w:rFonts w:ascii="Times New Roman" w:eastAsia="Times New Roman" w:hAnsi="Times New Roman" w:cs="Times New Roman"/>
      <w:b w:val="0"/>
      <w:bCs w:val="0"/>
      <w:i/>
      <w:iCs/>
      <w:smallCaps w:val="0"/>
      <w:strike w:val="0"/>
      <w:color w:val="000000"/>
      <w:spacing w:val="-3"/>
      <w:w w:val="100"/>
      <w:position w:val="0"/>
      <w:sz w:val="22"/>
      <w:szCs w:val="22"/>
      <w:u w:val="none"/>
      <w:shd w:val="clear" w:color="auto" w:fill="FFFFFF"/>
      <w:lang w:val="tr-TR"/>
    </w:rPr>
  </w:style>
  <w:style w:type="character" w:customStyle="1" w:styleId="Gvdemetni1010pt">
    <w:name w:val="Gövde metni (10) + 10 pt"/>
    <w:basedOn w:val="VarsaylanParagrafYazTipi"/>
    <w:rsid w:val="003E6A5E"/>
    <w:rPr>
      <w:rFonts w:ascii="Times New Roman" w:eastAsia="Times New Roman" w:hAnsi="Times New Roman" w:cs="Times New Roman"/>
      <w:b/>
      <w:bCs/>
      <w:i w:val="0"/>
      <w:iCs w:val="0"/>
      <w:smallCaps w:val="0"/>
      <w:strike w:val="0"/>
      <w:color w:val="000000"/>
      <w:spacing w:val="3"/>
      <w:w w:val="100"/>
      <w:position w:val="0"/>
      <w:sz w:val="20"/>
      <w:szCs w:val="20"/>
      <w:u w:val="none"/>
      <w:lang w:val="tr-TR"/>
    </w:rPr>
  </w:style>
  <w:style w:type="character" w:customStyle="1" w:styleId="Gvdemetni6">
    <w:name w:val="Gövde metni (6)_"/>
    <w:basedOn w:val="VarsaylanParagrafYazTipi"/>
    <w:link w:val="Gvdemetni60"/>
    <w:rsid w:val="00821A23"/>
    <w:rPr>
      <w:b/>
      <w:bCs/>
      <w:spacing w:val="-2"/>
      <w:sz w:val="17"/>
      <w:szCs w:val="17"/>
    </w:rPr>
  </w:style>
  <w:style w:type="paragraph" w:customStyle="1" w:styleId="Gvdemetni60">
    <w:name w:val="Gövde metni (6)"/>
    <w:basedOn w:val="Normal"/>
    <w:link w:val="Gvdemetni6"/>
    <w:rsid w:val="00821A23"/>
    <w:pPr>
      <w:widowControl w:val="0"/>
      <w:spacing w:before="240" w:after="360" w:line="0" w:lineRule="atLeast"/>
      <w:jc w:val="center"/>
    </w:pPr>
    <w:rPr>
      <w:b/>
      <w:bCs/>
      <w:spacing w:val="-2"/>
      <w:sz w:val="17"/>
      <w:szCs w:val="17"/>
    </w:rPr>
  </w:style>
  <w:style w:type="paragraph" w:styleId="DzMetin">
    <w:name w:val="Plain Text"/>
    <w:basedOn w:val="Normal"/>
    <w:link w:val="DzMetinChar"/>
    <w:uiPriority w:val="99"/>
    <w:unhideWhenUsed/>
    <w:locked/>
    <w:rsid w:val="00202D6C"/>
    <w:rPr>
      <w:rFonts w:ascii="Consolas" w:hAnsi="Consolas" w:cs="Consolas"/>
      <w:sz w:val="21"/>
      <w:szCs w:val="21"/>
    </w:rPr>
  </w:style>
  <w:style w:type="character" w:customStyle="1" w:styleId="DzMetinChar">
    <w:name w:val="Düz Metin Char"/>
    <w:basedOn w:val="VarsaylanParagrafYazTipi"/>
    <w:link w:val="DzMetin"/>
    <w:uiPriority w:val="99"/>
    <w:rsid w:val="00202D6C"/>
    <w:rPr>
      <w:rFonts w:ascii="Consolas" w:hAnsi="Consolas" w:cs="Consolas"/>
      <w:sz w:val="21"/>
      <w:szCs w:val="21"/>
    </w:rPr>
  </w:style>
  <w:style w:type="character" w:customStyle="1" w:styleId="Balk8Char">
    <w:name w:val="Başlık 8 Char"/>
    <w:aliases w:val="A Char"/>
    <w:basedOn w:val="VarsaylanParagrafYazTipi"/>
    <w:link w:val="Balk8"/>
    <w:rsid w:val="00A1381D"/>
    <w:rPr>
      <w:rFonts w:eastAsiaTheme="majorEastAsia" w:cstheme="majorBidi"/>
      <w:b/>
      <w:bCs/>
      <w:sz w:val="24"/>
      <w:szCs w:val="20"/>
    </w:rPr>
  </w:style>
  <w:style w:type="character" w:customStyle="1" w:styleId="Balk50">
    <w:name w:val="Başlık #5_"/>
    <w:basedOn w:val="VarsaylanParagrafYazTipi"/>
    <w:link w:val="Balk51"/>
    <w:rsid w:val="00181B06"/>
    <w:rPr>
      <w:spacing w:val="5"/>
      <w:sz w:val="20"/>
      <w:szCs w:val="20"/>
    </w:rPr>
  </w:style>
  <w:style w:type="paragraph" w:customStyle="1" w:styleId="Balk51">
    <w:name w:val="Başlık #5"/>
    <w:basedOn w:val="Normal"/>
    <w:link w:val="Balk50"/>
    <w:rsid w:val="00181B06"/>
    <w:pPr>
      <w:widowControl w:val="0"/>
      <w:spacing w:after="300" w:line="0" w:lineRule="atLeast"/>
      <w:ind w:hanging="560"/>
      <w:jc w:val="both"/>
      <w:outlineLvl w:val="4"/>
    </w:pPr>
    <w:rPr>
      <w:spacing w:val="5"/>
      <w:sz w:val="20"/>
      <w:szCs w:val="20"/>
    </w:rPr>
  </w:style>
  <w:style w:type="table" w:customStyle="1" w:styleId="izelge">
    <w:name w:val="Çizelge"/>
    <w:basedOn w:val="TabloBasit1"/>
    <w:uiPriority w:val="99"/>
    <w:rsid w:val="00751819"/>
    <w:rPr>
      <w:b/>
      <w:sz w:val="24"/>
      <w:szCs w:val="20"/>
      <w:lang w:eastAsia="tr-T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o">
    <w:name w:val="Tablo"/>
    <w:basedOn w:val="ekil3"/>
    <w:next w:val="ekil3"/>
    <w:autoRedefine/>
    <w:qFormat/>
    <w:rsid w:val="007C2F0D"/>
    <w:pPr>
      <w:jc w:val="left"/>
    </w:pPr>
  </w:style>
  <w:style w:type="table" w:styleId="TabloBasit1">
    <w:name w:val="Table Simple 1"/>
    <w:basedOn w:val="NormalTablo"/>
    <w:uiPriority w:val="99"/>
    <w:semiHidden/>
    <w:unhideWhenUsed/>
    <w:locked/>
    <w:rsid w:val="0075181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til1">
    <w:name w:val="stil1"/>
    <w:basedOn w:val="ekil"/>
    <w:link w:val="stil1Char"/>
    <w:qFormat/>
    <w:rsid w:val="001634EA"/>
  </w:style>
  <w:style w:type="character" w:customStyle="1" w:styleId="ekilChar">
    <w:name w:val="Şekil Char"/>
    <w:basedOn w:val="VarsaylanParagrafYazTipi"/>
    <w:link w:val="ekil"/>
    <w:uiPriority w:val="99"/>
    <w:rsid w:val="001634EA"/>
    <w:rPr>
      <w:b/>
      <w:sz w:val="24"/>
      <w:szCs w:val="24"/>
    </w:rPr>
  </w:style>
  <w:style w:type="character" w:customStyle="1" w:styleId="stil1Char">
    <w:name w:val="stil1 Char"/>
    <w:basedOn w:val="ekilChar"/>
    <w:link w:val="stil1"/>
    <w:rsid w:val="001634EA"/>
    <w:rPr>
      <w:b/>
      <w:sz w:val="24"/>
      <w:szCs w:val="24"/>
    </w:rPr>
  </w:style>
  <w:style w:type="paragraph" w:customStyle="1" w:styleId="it6">
    <w:name w:val="içt6"/>
    <w:basedOn w:val="Normal"/>
    <w:autoRedefine/>
    <w:qFormat/>
    <w:rsid w:val="000D38D2"/>
    <w:pPr>
      <w:spacing w:before="120" w:after="120"/>
    </w:pPr>
    <w:rPr>
      <w:b/>
    </w:rPr>
  </w:style>
  <w:style w:type="table" w:styleId="OrtaListe1">
    <w:name w:val="Medium List 1"/>
    <w:basedOn w:val="NormalTablo"/>
    <w:uiPriority w:val="65"/>
    <w:rsid w:val="00131ABD"/>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AkListe">
    <w:name w:val="Light List"/>
    <w:basedOn w:val="NormalTablo"/>
    <w:uiPriority w:val="61"/>
    <w:rsid w:val="00131AB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Bal">
    <w:name w:val="TOC Heading"/>
    <w:basedOn w:val="Balk1"/>
    <w:next w:val="Normal"/>
    <w:uiPriority w:val="39"/>
    <w:semiHidden/>
    <w:unhideWhenUsed/>
    <w:qFormat/>
    <w:rsid w:val="00996401"/>
    <w:pPr>
      <w:keepLines/>
      <w:spacing w:before="480" w:after="0" w:line="276" w:lineRule="auto"/>
      <w:outlineLvl w:val="9"/>
    </w:pPr>
    <w:rPr>
      <w:rFonts w:asciiTheme="majorHAnsi" w:eastAsiaTheme="majorEastAsia" w:hAnsiTheme="majorHAnsi" w:cstheme="majorBidi"/>
      <w:color w:val="365F91" w:themeColor="accent1" w:themeShade="BF"/>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691"/>
    <w:rPr>
      <w:sz w:val="24"/>
      <w:szCs w:val="24"/>
    </w:rPr>
  </w:style>
  <w:style w:type="paragraph" w:styleId="Balk1">
    <w:name w:val="heading 1"/>
    <w:basedOn w:val="Normal"/>
    <w:next w:val="Normal"/>
    <w:link w:val="Balk1Char"/>
    <w:autoRedefine/>
    <w:uiPriority w:val="99"/>
    <w:qFormat/>
    <w:rsid w:val="00733A2B"/>
    <w:pPr>
      <w:keepNext/>
      <w:spacing w:before="240" w:after="240" w:line="360" w:lineRule="auto"/>
      <w:jc w:val="center"/>
      <w:outlineLvl w:val="0"/>
    </w:pPr>
    <w:rPr>
      <w:b/>
      <w:bCs/>
      <w:sz w:val="28"/>
      <w:szCs w:val="28"/>
    </w:rPr>
  </w:style>
  <w:style w:type="paragraph" w:styleId="Balk2">
    <w:name w:val="heading 2"/>
    <w:basedOn w:val="Normal"/>
    <w:next w:val="Normal"/>
    <w:link w:val="Balk2Char"/>
    <w:autoRedefine/>
    <w:uiPriority w:val="99"/>
    <w:qFormat/>
    <w:rsid w:val="0031716B"/>
    <w:pPr>
      <w:keepNext/>
      <w:numPr>
        <w:ilvl w:val="1"/>
        <w:numId w:val="26"/>
      </w:numPr>
      <w:tabs>
        <w:tab w:val="left" w:pos="426"/>
      </w:tabs>
      <w:spacing w:before="240" w:after="240" w:line="360" w:lineRule="auto"/>
      <w:outlineLvl w:val="1"/>
    </w:pPr>
    <w:rPr>
      <w:b/>
      <w:bCs/>
      <w:caps/>
    </w:rPr>
  </w:style>
  <w:style w:type="paragraph" w:styleId="Balk3">
    <w:name w:val="heading 3"/>
    <w:basedOn w:val="ListeParagraf"/>
    <w:next w:val="Normal"/>
    <w:link w:val="Balk3Char"/>
    <w:autoRedefine/>
    <w:uiPriority w:val="99"/>
    <w:qFormat/>
    <w:rsid w:val="0031716B"/>
    <w:pPr>
      <w:numPr>
        <w:ilvl w:val="2"/>
        <w:numId w:val="29"/>
      </w:numPr>
      <w:tabs>
        <w:tab w:val="left" w:pos="567"/>
      </w:tabs>
      <w:spacing w:after="200" w:line="276" w:lineRule="auto"/>
      <w:jc w:val="both"/>
      <w:outlineLvl w:val="2"/>
    </w:pPr>
    <w:rPr>
      <w:b/>
      <w:bCs/>
    </w:rPr>
  </w:style>
  <w:style w:type="paragraph" w:styleId="Balk4">
    <w:name w:val="heading 4"/>
    <w:basedOn w:val="Normal"/>
    <w:next w:val="Normal"/>
    <w:link w:val="Balk4Char"/>
    <w:autoRedefine/>
    <w:uiPriority w:val="99"/>
    <w:qFormat/>
    <w:rsid w:val="00126FA4"/>
    <w:pPr>
      <w:keepNext/>
      <w:spacing w:before="240" w:after="60"/>
      <w:outlineLvl w:val="3"/>
    </w:pPr>
    <w:rPr>
      <w:rFonts w:eastAsia="Calibri"/>
      <w:b/>
      <w:bCs/>
    </w:rPr>
  </w:style>
  <w:style w:type="paragraph" w:styleId="Balk5">
    <w:name w:val="heading 5"/>
    <w:basedOn w:val="Normal"/>
    <w:next w:val="Normal"/>
    <w:link w:val="Balk5Char"/>
    <w:uiPriority w:val="99"/>
    <w:qFormat/>
    <w:rsid w:val="00110F37"/>
    <w:pPr>
      <w:spacing w:before="240" w:after="60"/>
      <w:outlineLvl w:val="4"/>
    </w:pPr>
    <w:rPr>
      <w:b/>
      <w:bCs/>
    </w:rPr>
  </w:style>
  <w:style w:type="paragraph" w:styleId="Balk6">
    <w:name w:val="heading 6"/>
    <w:basedOn w:val="Normal"/>
    <w:next w:val="Normal"/>
    <w:link w:val="Balk6Char"/>
    <w:uiPriority w:val="99"/>
    <w:qFormat/>
    <w:rsid w:val="00F00843"/>
    <w:pPr>
      <w:spacing w:before="240" w:after="60"/>
      <w:outlineLvl w:val="5"/>
    </w:pPr>
    <w:rPr>
      <w:rFonts w:ascii="Calibri" w:hAnsi="Calibri" w:cs="Calibri"/>
      <w:b/>
      <w:bCs/>
      <w:sz w:val="22"/>
      <w:szCs w:val="22"/>
    </w:rPr>
  </w:style>
  <w:style w:type="paragraph" w:styleId="Balk7">
    <w:name w:val="heading 7"/>
    <w:basedOn w:val="Normal"/>
    <w:next w:val="Normal"/>
    <w:link w:val="Balk7Char"/>
    <w:uiPriority w:val="99"/>
    <w:qFormat/>
    <w:rsid w:val="00F00843"/>
    <w:pPr>
      <w:spacing w:before="240" w:after="60"/>
      <w:outlineLvl w:val="6"/>
    </w:pPr>
    <w:rPr>
      <w:rFonts w:ascii="Calibri" w:hAnsi="Calibri" w:cs="Calibri"/>
    </w:rPr>
  </w:style>
  <w:style w:type="paragraph" w:styleId="Balk8">
    <w:name w:val="heading 8"/>
    <w:aliases w:val="A"/>
    <w:basedOn w:val="ekil"/>
    <w:next w:val="ekil"/>
    <w:link w:val="Balk8Char"/>
    <w:autoRedefine/>
    <w:unhideWhenUsed/>
    <w:qFormat/>
    <w:rsid w:val="00A1381D"/>
    <w:pPr>
      <w:keepLines/>
      <w:spacing w:before="200"/>
      <w:outlineLvl w:val="7"/>
    </w:pPr>
    <w:rPr>
      <w:rFonts w:eastAsiaTheme="majorEastAsia" w:cstheme="majorBidi"/>
      <w:szCs w:val="20"/>
    </w:rPr>
  </w:style>
  <w:style w:type="paragraph" w:styleId="Balk9">
    <w:name w:val="heading 9"/>
    <w:basedOn w:val="Normal"/>
    <w:next w:val="Normal"/>
    <w:link w:val="Balk9Char"/>
    <w:uiPriority w:val="99"/>
    <w:qFormat/>
    <w:rsid w:val="007C2F0D"/>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733A2B"/>
    <w:rPr>
      <w:b/>
      <w:bCs/>
      <w:sz w:val="28"/>
      <w:szCs w:val="28"/>
    </w:rPr>
  </w:style>
  <w:style w:type="character" w:customStyle="1" w:styleId="Balk2Char">
    <w:name w:val="Başlık 2 Char"/>
    <w:basedOn w:val="VarsaylanParagrafYazTipi"/>
    <w:link w:val="Balk2"/>
    <w:uiPriority w:val="99"/>
    <w:locked/>
    <w:rsid w:val="0031716B"/>
    <w:rPr>
      <w:b/>
      <w:bCs/>
      <w:caps/>
      <w:sz w:val="24"/>
      <w:szCs w:val="24"/>
    </w:rPr>
  </w:style>
  <w:style w:type="character" w:customStyle="1" w:styleId="Balk3Char">
    <w:name w:val="Başlık 3 Char"/>
    <w:basedOn w:val="VarsaylanParagrafYazTipi"/>
    <w:link w:val="Balk3"/>
    <w:uiPriority w:val="99"/>
    <w:locked/>
    <w:rsid w:val="0031716B"/>
    <w:rPr>
      <w:b/>
      <w:bCs/>
      <w:sz w:val="24"/>
      <w:szCs w:val="24"/>
    </w:rPr>
  </w:style>
  <w:style w:type="character" w:customStyle="1" w:styleId="Balk4Char">
    <w:name w:val="Başlık 4 Char"/>
    <w:basedOn w:val="VarsaylanParagrafYazTipi"/>
    <w:link w:val="Balk4"/>
    <w:uiPriority w:val="99"/>
    <w:locked/>
    <w:rsid w:val="00126FA4"/>
    <w:rPr>
      <w:rFonts w:eastAsia="Calibri"/>
      <w:b/>
      <w:bCs/>
      <w:sz w:val="24"/>
      <w:szCs w:val="24"/>
    </w:rPr>
  </w:style>
  <w:style w:type="character" w:customStyle="1" w:styleId="Balk5Char">
    <w:name w:val="Başlık 5 Char"/>
    <w:basedOn w:val="VarsaylanParagrafYazTipi"/>
    <w:link w:val="Balk5"/>
    <w:uiPriority w:val="99"/>
    <w:semiHidden/>
    <w:locked/>
    <w:rsid w:val="00296311"/>
    <w:rPr>
      <w:rFonts w:ascii="Calibri" w:hAnsi="Calibri" w:cs="Calibri"/>
      <w:b/>
      <w:bCs/>
      <w:i/>
      <w:iCs/>
      <w:sz w:val="26"/>
      <w:szCs w:val="26"/>
    </w:rPr>
  </w:style>
  <w:style w:type="character" w:customStyle="1" w:styleId="Balk6Char">
    <w:name w:val="Başlık 6 Char"/>
    <w:basedOn w:val="VarsaylanParagrafYazTipi"/>
    <w:link w:val="Balk6"/>
    <w:uiPriority w:val="99"/>
    <w:locked/>
    <w:rsid w:val="00F00843"/>
    <w:rPr>
      <w:rFonts w:ascii="Calibri" w:hAnsi="Calibri" w:cs="Calibri"/>
      <w:b/>
      <w:bCs/>
      <w:sz w:val="22"/>
      <w:szCs w:val="22"/>
      <w:lang w:val="tr-TR" w:eastAsia="tr-TR"/>
    </w:rPr>
  </w:style>
  <w:style w:type="character" w:customStyle="1" w:styleId="Balk7Char">
    <w:name w:val="Başlık 7 Char"/>
    <w:basedOn w:val="VarsaylanParagrafYazTipi"/>
    <w:link w:val="Balk7"/>
    <w:uiPriority w:val="99"/>
    <w:locked/>
    <w:rsid w:val="00F00843"/>
    <w:rPr>
      <w:rFonts w:ascii="Calibri" w:hAnsi="Calibri" w:cs="Calibri"/>
      <w:sz w:val="24"/>
      <w:szCs w:val="24"/>
      <w:lang w:val="tr-TR" w:eastAsia="tr-TR"/>
    </w:rPr>
  </w:style>
  <w:style w:type="character" w:customStyle="1" w:styleId="Balk9Char">
    <w:name w:val="Başlık 9 Char"/>
    <w:basedOn w:val="VarsaylanParagrafYazTipi"/>
    <w:link w:val="Balk9"/>
    <w:uiPriority w:val="99"/>
    <w:locked/>
    <w:rsid w:val="007C2F0D"/>
    <w:rPr>
      <w:rFonts w:ascii="Arial" w:hAnsi="Arial" w:cs="Arial"/>
    </w:rPr>
  </w:style>
  <w:style w:type="paragraph" w:styleId="Altbilgi">
    <w:name w:val="footer"/>
    <w:basedOn w:val="Normal"/>
    <w:link w:val="AltbilgiChar"/>
    <w:uiPriority w:val="99"/>
    <w:rsid w:val="00A227FF"/>
    <w:pPr>
      <w:tabs>
        <w:tab w:val="center" w:pos="4536"/>
        <w:tab w:val="right" w:pos="9072"/>
      </w:tabs>
    </w:pPr>
  </w:style>
  <w:style w:type="character" w:customStyle="1" w:styleId="AltbilgiChar">
    <w:name w:val="Altbilgi Char"/>
    <w:basedOn w:val="VarsaylanParagrafYazTipi"/>
    <w:link w:val="Altbilgi"/>
    <w:uiPriority w:val="99"/>
    <w:locked/>
    <w:rsid w:val="0075283E"/>
    <w:rPr>
      <w:sz w:val="24"/>
      <w:szCs w:val="24"/>
    </w:rPr>
  </w:style>
  <w:style w:type="character" w:styleId="Kpr">
    <w:name w:val="Hyperlink"/>
    <w:basedOn w:val="VarsaylanParagrafYazTipi"/>
    <w:uiPriority w:val="99"/>
    <w:rsid w:val="00A227FF"/>
    <w:rPr>
      <w:color w:val="0000FF"/>
      <w:u w:val="single"/>
    </w:rPr>
  </w:style>
  <w:style w:type="paragraph" w:styleId="T2">
    <w:name w:val="toc 2"/>
    <w:basedOn w:val="Normal"/>
    <w:next w:val="Normal"/>
    <w:autoRedefine/>
    <w:uiPriority w:val="39"/>
    <w:qFormat/>
    <w:rsid w:val="00101F34"/>
    <w:pPr>
      <w:tabs>
        <w:tab w:val="left" w:pos="450"/>
        <w:tab w:val="right" w:leader="dot" w:pos="8460"/>
      </w:tabs>
      <w:spacing w:before="120" w:line="360" w:lineRule="auto"/>
      <w:ind w:left="450" w:hanging="450"/>
      <w:jc w:val="both"/>
    </w:pPr>
    <w:rPr>
      <w:noProof/>
    </w:rPr>
  </w:style>
  <w:style w:type="paragraph" w:styleId="T1">
    <w:name w:val="toc 1"/>
    <w:basedOn w:val="Normal"/>
    <w:next w:val="Normal"/>
    <w:autoRedefine/>
    <w:uiPriority w:val="39"/>
    <w:qFormat/>
    <w:rsid w:val="007E0310"/>
    <w:pPr>
      <w:tabs>
        <w:tab w:val="left" w:pos="284"/>
        <w:tab w:val="right" w:leader="dot" w:pos="8460"/>
      </w:tabs>
      <w:spacing w:line="360" w:lineRule="auto"/>
    </w:pPr>
    <w:rPr>
      <w:noProof/>
    </w:rPr>
  </w:style>
  <w:style w:type="paragraph" w:styleId="T3">
    <w:name w:val="toc 3"/>
    <w:basedOn w:val="Normal"/>
    <w:next w:val="Normal"/>
    <w:autoRedefine/>
    <w:uiPriority w:val="39"/>
    <w:qFormat/>
    <w:rsid w:val="00101F34"/>
    <w:pPr>
      <w:tabs>
        <w:tab w:val="left" w:pos="1080"/>
        <w:tab w:val="right" w:leader="dot" w:pos="8494"/>
      </w:tabs>
      <w:ind w:left="1260" w:hanging="810"/>
    </w:pPr>
  </w:style>
  <w:style w:type="paragraph" w:styleId="T4">
    <w:name w:val="toc 4"/>
    <w:basedOn w:val="Normal"/>
    <w:next w:val="Normal"/>
    <w:autoRedefine/>
    <w:uiPriority w:val="39"/>
    <w:rsid w:val="00101F34"/>
    <w:pPr>
      <w:tabs>
        <w:tab w:val="left" w:pos="1530"/>
        <w:tab w:val="right" w:leader="dot" w:pos="8494"/>
      </w:tabs>
      <w:ind w:left="993" w:hanging="273"/>
    </w:pPr>
    <w:rPr>
      <w:caps/>
      <w:noProof/>
    </w:rPr>
  </w:style>
  <w:style w:type="paragraph" w:styleId="T5">
    <w:name w:val="toc 5"/>
    <w:basedOn w:val="Normal"/>
    <w:next w:val="Normal"/>
    <w:autoRedefine/>
    <w:uiPriority w:val="39"/>
    <w:rsid w:val="003F52A0"/>
    <w:pPr>
      <w:tabs>
        <w:tab w:val="right" w:leader="dot" w:pos="8460"/>
      </w:tabs>
      <w:ind w:left="958"/>
    </w:pPr>
    <w:rPr>
      <w:noProof/>
    </w:rPr>
  </w:style>
  <w:style w:type="paragraph" w:styleId="T6">
    <w:name w:val="toc 6"/>
    <w:basedOn w:val="Normal"/>
    <w:next w:val="Normal"/>
    <w:autoRedefine/>
    <w:uiPriority w:val="99"/>
    <w:semiHidden/>
    <w:rsid w:val="00A227FF"/>
    <w:pPr>
      <w:tabs>
        <w:tab w:val="right" w:leader="dot" w:pos="8210"/>
      </w:tabs>
      <w:ind w:left="2342" w:hanging="1140"/>
    </w:pPr>
    <w:rPr>
      <w:noProof/>
    </w:rPr>
  </w:style>
  <w:style w:type="paragraph" w:styleId="GvdeMetniGirintisi">
    <w:name w:val="Body Text Indent"/>
    <w:basedOn w:val="Normal"/>
    <w:link w:val="GvdeMetniGirintisiChar"/>
    <w:rsid w:val="007F1C84"/>
    <w:pPr>
      <w:spacing w:line="360" w:lineRule="auto"/>
      <w:ind w:firstLine="709"/>
      <w:jc w:val="both"/>
    </w:pPr>
  </w:style>
  <w:style w:type="character" w:customStyle="1" w:styleId="GvdeMetniGirintisiChar">
    <w:name w:val="Gövde Metni Girintisi Char"/>
    <w:basedOn w:val="VarsaylanParagrafYazTipi"/>
    <w:link w:val="GvdeMetniGirintisi"/>
    <w:locked/>
    <w:rsid w:val="002A08C7"/>
    <w:rPr>
      <w:sz w:val="24"/>
      <w:szCs w:val="24"/>
    </w:rPr>
  </w:style>
  <w:style w:type="paragraph" w:styleId="ekillerTablosu">
    <w:name w:val="table of figures"/>
    <w:basedOn w:val="Normal"/>
    <w:next w:val="Normal"/>
    <w:uiPriority w:val="99"/>
    <w:semiHidden/>
    <w:rsid w:val="007F1C84"/>
    <w:pPr>
      <w:ind w:left="482" w:hanging="482"/>
    </w:pPr>
    <w:rPr>
      <w:b/>
      <w:bCs/>
    </w:rPr>
  </w:style>
  <w:style w:type="paragraph" w:customStyle="1" w:styleId="izelgelerTablosu">
    <w:name w:val="Çizelgeler Tablosu"/>
    <w:basedOn w:val="Normal"/>
    <w:uiPriority w:val="99"/>
    <w:rsid w:val="00D81608"/>
    <w:pPr>
      <w:spacing w:before="240" w:after="240"/>
    </w:pPr>
    <w:rPr>
      <w:b/>
      <w:bCs/>
    </w:rPr>
  </w:style>
  <w:style w:type="table" w:styleId="TabloKlavuzu">
    <w:name w:val="Table Grid"/>
    <w:basedOn w:val="NormalTablo"/>
    <w:uiPriority w:val="59"/>
    <w:rsid w:val="00D8160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uiPriority w:val="99"/>
    <w:rsid w:val="006939CD"/>
    <w:pPr>
      <w:spacing w:after="120"/>
    </w:pPr>
  </w:style>
  <w:style w:type="character" w:customStyle="1" w:styleId="GvdeMetniChar">
    <w:name w:val="Gövde Metni Char"/>
    <w:basedOn w:val="VarsaylanParagrafYazTipi"/>
    <w:link w:val="GvdeMetni"/>
    <w:uiPriority w:val="99"/>
    <w:locked/>
    <w:rsid w:val="00AE6CB8"/>
    <w:rPr>
      <w:sz w:val="24"/>
      <w:szCs w:val="24"/>
      <w:lang w:val="tr-TR" w:eastAsia="tr-TR"/>
    </w:rPr>
  </w:style>
  <w:style w:type="paragraph" w:styleId="GvdeMetni2">
    <w:name w:val="Body Text 2"/>
    <w:basedOn w:val="Normal"/>
    <w:link w:val="GvdeMetni2Char"/>
    <w:uiPriority w:val="99"/>
    <w:rsid w:val="006939CD"/>
    <w:pPr>
      <w:spacing w:after="120" w:line="480" w:lineRule="auto"/>
    </w:pPr>
  </w:style>
  <w:style w:type="character" w:customStyle="1" w:styleId="GvdeMetni2Char">
    <w:name w:val="Gövde Metni 2 Char"/>
    <w:basedOn w:val="VarsaylanParagrafYazTipi"/>
    <w:link w:val="GvdeMetni2"/>
    <w:uiPriority w:val="99"/>
    <w:semiHidden/>
    <w:locked/>
    <w:rsid w:val="00296311"/>
    <w:rPr>
      <w:sz w:val="24"/>
      <w:szCs w:val="24"/>
    </w:rPr>
  </w:style>
  <w:style w:type="paragraph" w:customStyle="1" w:styleId="bolukcizgisi">
    <w:name w:val="boşluk cizgisi"/>
    <w:basedOn w:val="Normal"/>
    <w:rsid w:val="00DA18ED"/>
    <w:pPr>
      <w:widowControl w:val="0"/>
      <w:jc w:val="both"/>
    </w:pPr>
  </w:style>
  <w:style w:type="paragraph" w:styleId="NormalWeb">
    <w:name w:val="Normal (Web)"/>
    <w:basedOn w:val="Normal"/>
    <w:rsid w:val="00DA18ED"/>
    <w:pPr>
      <w:shd w:val="clear" w:color="auto" w:fill="FFFFFF"/>
      <w:spacing w:before="100" w:beforeAutospacing="1" w:after="100" w:afterAutospacing="1"/>
      <w:jc w:val="both"/>
    </w:pPr>
    <w:rPr>
      <w:rFonts w:ascii="Trebuchet MS" w:hAnsi="Trebuchet MS" w:cs="Trebuchet MS"/>
      <w:color w:val="000000"/>
      <w:sz w:val="20"/>
      <w:szCs w:val="20"/>
    </w:rPr>
  </w:style>
  <w:style w:type="character" w:styleId="SayfaNumaras">
    <w:name w:val="page number"/>
    <w:basedOn w:val="VarsaylanParagrafYazTipi"/>
    <w:uiPriority w:val="99"/>
    <w:rsid w:val="005E1F91"/>
  </w:style>
  <w:style w:type="paragraph" w:styleId="BalonMetni">
    <w:name w:val="Balloon Text"/>
    <w:basedOn w:val="Normal"/>
    <w:link w:val="BalonMetniChar"/>
    <w:uiPriority w:val="99"/>
    <w:semiHidden/>
    <w:rsid w:val="00785C80"/>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296311"/>
    <w:rPr>
      <w:sz w:val="2"/>
      <w:szCs w:val="2"/>
    </w:rPr>
  </w:style>
  <w:style w:type="paragraph" w:styleId="stbilgi">
    <w:name w:val="header"/>
    <w:basedOn w:val="Normal"/>
    <w:link w:val="stbilgiChar"/>
    <w:uiPriority w:val="99"/>
    <w:rsid w:val="00AF4C06"/>
    <w:pPr>
      <w:tabs>
        <w:tab w:val="center" w:pos="4536"/>
        <w:tab w:val="right" w:pos="9072"/>
      </w:tabs>
    </w:pPr>
  </w:style>
  <w:style w:type="character" w:customStyle="1" w:styleId="stbilgiChar">
    <w:name w:val="Üstbilgi Char"/>
    <w:basedOn w:val="VarsaylanParagrafYazTipi"/>
    <w:link w:val="stbilgi"/>
    <w:uiPriority w:val="99"/>
    <w:locked/>
    <w:rsid w:val="00AF222B"/>
    <w:rPr>
      <w:sz w:val="24"/>
      <w:szCs w:val="24"/>
    </w:rPr>
  </w:style>
  <w:style w:type="paragraph" w:customStyle="1" w:styleId="Stil14nkKalnOrtadan">
    <w:name w:val="Stil 14 nk Kalın Ortadan"/>
    <w:basedOn w:val="KonuBal"/>
    <w:uiPriority w:val="99"/>
    <w:rsid w:val="0067242B"/>
    <w:rPr>
      <w:rFonts w:ascii="Times New Roman" w:hAnsi="Times New Roman" w:cs="Times New Roman"/>
      <w:sz w:val="28"/>
      <w:szCs w:val="28"/>
    </w:rPr>
  </w:style>
  <w:style w:type="paragraph" w:styleId="KonuBal">
    <w:name w:val="Title"/>
    <w:basedOn w:val="Normal"/>
    <w:link w:val="KonuBalChar"/>
    <w:uiPriority w:val="99"/>
    <w:qFormat/>
    <w:rsid w:val="0067242B"/>
    <w:pPr>
      <w:spacing w:before="240" w:after="60"/>
      <w:jc w:val="center"/>
      <w:outlineLvl w:val="0"/>
    </w:pPr>
    <w:rPr>
      <w:rFonts w:ascii="Arial" w:hAnsi="Arial" w:cs="Arial"/>
      <w:b/>
      <w:bCs/>
      <w:kern w:val="28"/>
      <w:sz w:val="32"/>
      <w:szCs w:val="32"/>
    </w:rPr>
  </w:style>
  <w:style w:type="character" w:customStyle="1" w:styleId="KonuBalChar">
    <w:name w:val="Konu Başlığı Char"/>
    <w:basedOn w:val="VarsaylanParagrafYazTipi"/>
    <w:link w:val="KonuBal"/>
    <w:uiPriority w:val="99"/>
    <w:locked/>
    <w:rsid w:val="00EC68F4"/>
    <w:rPr>
      <w:rFonts w:ascii="Arial" w:hAnsi="Arial" w:cs="Arial"/>
      <w:b/>
      <w:bCs/>
      <w:kern w:val="28"/>
      <w:sz w:val="32"/>
      <w:szCs w:val="32"/>
    </w:rPr>
  </w:style>
  <w:style w:type="character" w:styleId="DipnotBavurusu">
    <w:name w:val="footnote reference"/>
    <w:aliases w:val="EN Footnote Reference,-E Fußnotenzeichen"/>
    <w:basedOn w:val="VarsaylanParagrafYazTipi"/>
    <w:uiPriority w:val="99"/>
    <w:semiHidden/>
    <w:rsid w:val="00B259FE"/>
    <w:rPr>
      <w:vertAlign w:val="superscript"/>
    </w:rPr>
  </w:style>
  <w:style w:type="paragraph" w:styleId="DipnotMetni">
    <w:name w:val="footnote text"/>
    <w:aliases w:val="Footnote Text Char,Footnote,-E Fußnotentext,Fußnotentext Ursprung,footnote text"/>
    <w:basedOn w:val="Normal"/>
    <w:link w:val="DipnotMetniChar"/>
    <w:uiPriority w:val="99"/>
    <w:semiHidden/>
    <w:rsid w:val="00B259FE"/>
    <w:rPr>
      <w:sz w:val="20"/>
      <w:szCs w:val="20"/>
    </w:rPr>
  </w:style>
  <w:style w:type="character" w:customStyle="1" w:styleId="FootnoteTextChar1">
    <w:name w:val="Footnote Text Char1"/>
    <w:aliases w:val="Footnote Text Char Char,Footnote Char,-E Fußnotentext Char,Fußnotentext Ursprung Char"/>
    <w:basedOn w:val="VarsaylanParagrafYazTipi"/>
    <w:uiPriority w:val="99"/>
    <w:semiHidden/>
    <w:locked/>
    <w:rsid w:val="00296311"/>
    <w:rPr>
      <w:sz w:val="20"/>
      <w:szCs w:val="20"/>
    </w:rPr>
  </w:style>
  <w:style w:type="paragraph" w:customStyle="1" w:styleId="kutu1">
    <w:name w:val="kutu1"/>
    <w:basedOn w:val="Normal"/>
    <w:uiPriority w:val="99"/>
    <w:rsid w:val="004D65D8"/>
    <w:pPr>
      <w:spacing w:before="284" w:after="100" w:afterAutospacing="1"/>
      <w:ind w:left="1134" w:right="1134" w:firstLine="567"/>
      <w:jc w:val="both"/>
    </w:pPr>
    <w:rPr>
      <w:rFonts w:ascii="Verdana" w:hAnsi="Verdana" w:cs="Verdana"/>
      <w:sz w:val="14"/>
      <w:szCs w:val="14"/>
    </w:rPr>
  </w:style>
  <w:style w:type="paragraph" w:customStyle="1" w:styleId="Default">
    <w:name w:val="Default"/>
    <w:rsid w:val="00F23978"/>
    <w:pPr>
      <w:autoSpaceDE w:val="0"/>
      <w:autoSpaceDN w:val="0"/>
      <w:adjustRightInd w:val="0"/>
    </w:pPr>
    <w:rPr>
      <w:rFonts w:ascii="Garamond-Bold" w:hAnsi="Garamond-Bold" w:cs="Garamond-Bold"/>
      <w:sz w:val="20"/>
      <w:szCs w:val="20"/>
    </w:rPr>
  </w:style>
  <w:style w:type="character" w:customStyle="1" w:styleId="longtext">
    <w:name w:val="long_text"/>
    <w:basedOn w:val="VarsaylanParagrafYazTipi"/>
    <w:uiPriority w:val="99"/>
    <w:rsid w:val="00833F0A"/>
  </w:style>
  <w:style w:type="paragraph" w:styleId="GvdeMetni3">
    <w:name w:val="Body Text 3"/>
    <w:basedOn w:val="Normal"/>
    <w:link w:val="GvdeMetni3Char"/>
    <w:uiPriority w:val="99"/>
    <w:rsid w:val="00724673"/>
    <w:pPr>
      <w:spacing w:after="120"/>
    </w:pPr>
    <w:rPr>
      <w:sz w:val="16"/>
      <w:szCs w:val="16"/>
    </w:rPr>
  </w:style>
  <w:style w:type="character" w:customStyle="1" w:styleId="GvdeMetni3Char">
    <w:name w:val="Gövde Metni 3 Char"/>
    <w:basedOn w:val="VarsaylanParagrafYazTipi"/>
    <w:link w:val="GvdeMetni3"/>
    <w:uiPriority w:val="99"/>
    <w:semiHidden/>
    <w:locked/>
    <w:rsid w:val="00296311"/>
    <w:rPr>
      <w:sz w:val="16"/>
      <w:szCs w:val="16"/>
    </w:rPr>
  </w:style>
  <w:style w:type="paragraph" w:styleId="GvdeMetniGirintisi3">
    <w:name w:val="Body Text Indent 3"/>
    <w:basedOn w:val="Normal"/>
    <w:link w:val="GvdeMetniGirintisi3Char"/>
    <w:uiPriority w:val="99"/>
    <w:rsid w:val="00F533D2"/>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locked/>
    <w:rsid w:val="00296311"/>
    <w:rPr>
      <w:sz w:val="16"/>
      <w:szCs w:val="16"/>
    </w:rPr>
  </w:style>
  <w:style w:type="character" w:customStyle="1" w:styleId="A1">
    <w:name w:val="A1"/>
    <w:uiPriority w:val="99"/>
    <w:rsid w:val="006D4B35"/>
    <w:rPr>
      <w:color w:val="000000"/>
      <w:sz w:val="16"/>
      <w:szCs w:val="16"/>
    </w:rPr>
  </w:style>
  <w:style w:type="character" w:customStyle="1" w:styleId="hps">
    <w:name w:val="hps"/>
    <w:rsid w:val="003B70D0"/>
  </w:style>
  <w:style w:type="paragraph" w:customStyle="1" w:styleId="ekil">
    <w:name w:val="Şekil"/>
    <w:basedOn w:val="Normal"/>
    <w:link w:val="ekilChar"/>
    <w:uiPriority w:val="99"/>
    <w:rsid w:val="001634EA"/>
    <w:pPr>
      <w:keepNext/>
      <w:spacing w:before="240"/>
    </w:pPr>
    <w:rPr>
      <w:b/>
    </w:rPr>
  </w:style>
  <w:style w:type="paragraph" w:customStyle="1" w:styleId="ekil3">
    <w:name w:val="Şekil3"/>
    <w:basedOn w:val="Normal"/>
    <w:uiPriority w:val="99"/>
    <w:rsid w:val="0061490B"/>
    <w:pPr>
      <w:spacing w:before="240"/>
      <w:jc w:val="both"/>
    </w:pPr>
    <w:rPr>
      <w:b/>
      <w:bCs/>
    </w:rPr>
  </w:style>
  <w:style w:type="character" w:styleId="AklamaBavurusu">
    <w:name w:val="annotation reference"/>
    <w:basedOn w:val="VarsaylanParagrafYazTipi"/>
    <w:uiPriority w:val="99"/>
    <w:semiHidden/>
    <w:rsid w:val="0061490B"/>
    <w:rPr>
      <w:sz w:val="16"/>
      <w:szCs w:val="16"/>
    </w:rPr>
  </w:style>
  <w:style w:type="paragraph" w:styleId="AklamaMetni">
    <w:name w:val="annotation text"/>
    <w:basedOn w:val="Normal"/>
    <w:link w:val="AklamaMetniChar"/>
    <w:uiPriority w:val="99"/>
    <w:semiHidden/>
    <w:rsid w:val="0061490B"/>
    <w:rPr>
      <w:sz w:val="20"/>
      <w:szCs w:val="20"/>
    </w:rPr>
  </w:style>
  <w:style w:type="character" w:customStyle="1" w:styleId="AklamaMetniChar">
    <w:name w:val="Açıklama Metni Char"/>
    <w:basedOn w:val="VarsaylanParagrafYazTipi"/>
    <w:link w:val="AklamaMetni"/>
    <w:uiPriority w:val="99"/>
    <w:locked/>
    <w:rsid w:val="0061490B"/>
    <w:rPr>
      <w:lang w:val="tr-TR" w:eastAsia="tr-TR"/>
    </w:rPr>
  </w:style>
  <w:style w:type="paragraph" w:customStyle="1" w:styleId="hairline-divider">
    <w:name w:val="hairline-divider"/>
    <w:basedOn w:val="Normal"/>
    <w:uiPriority w:val="99"/>
    <w:rsid w:val="0061490B"/>
    <w:pPr>
      <w:pBdr>
        <w:bottom w:val="single" w:sz="6" w:space="0" w:color="DDDDDD"/>
      </w:pBdr>
      <w:spacing w:after="105"/>
    </w:pPr>
    <w:rPr>
      <w:lang w:val="en-GB" w:eastAsia="en-GB"/>
    </w:rPr>
  </w:style>
  <w:style w:type="character" w:styleId="Gl">
    <w:name w:val="Strong"/>
    <w:basedOn w:val="VarsaylanParagrafYazTipi"/>
    <w:uiPriority w:val="22"/>
    <w:qFormat/>
    <w:rsid w:val="0061490B"/>
    <w:rPr>
      <w:b/>
      <w:bCs/>
    </w:rPr>
  </w:style>
  <w:style w:type="paragraph" w:styleId="AklamaKonusu">
    <w:name w:val="annotation subject"/>
    <w:basedOn w:val="AklamaMetni"/>
    <w:next w:val="AklamaMetni"/>
    <w:link w:val="AklamaKonusuChar"/>
    <w:uiPriority w:val="99"/>
    <w:semiHidden/>
    <w:rsid w:val="0061490B"/>
    <w:rPr>
      <w:b/>
      <w:bCs/>
    </w:rPr>
  </w:style>
  <w:style w:type="character" w:customStyle="1" w:styleId="AklamaKonusuChar">
    <w:name w:val="Açıklama Konusu Char"/>
    <w:basedOn w:val="AklamaMetniChar"/>
    <w:link w:val="AklamaKonusu"/>
    <w:uiPriority w:val="99"/>
    <w:locked/>
    <w:rsid w:val="0061490B"/>
    <w:rPr>
      <w:b/>
      <w:bCs/>
      <w:lang w:val="tr-TR" w:eastAsia="tr-TR"/>
    </w:rPr>
  </w:style>
  <w:style w:type="paragraph" w:customStyle="1" w:styleId="GvdeMetni1">
    <w:name w:val="Gövde Metni1"/>
    <w:basedOn w:val="Default"/>
    <w:next w:val="Default"/>
    <w:uiPriority w:val="99"/>
    <w:rsid w:val="0001485F"/>
    <w:rPr>
      <w:rFonts w:ascii="AEGNJE+TimesNewRoman" w:hAnsi="AEGNJE+TimesNewRoman" w:cs="AEGNJE+TimesNewRoman"/>
      <w:sz w:val="24"/>
      <w:szCs w:val="24"/>
      <w:lang w:val="en-GB" w:eastAsia="en-GB"/>
    </w:rPr>
  </w:style>
  <w:style w:type="character" w:styleId="zlenenKpr">
    <w:name w:val="FollowedHyperlink"/>
    <w:basedOn w:val="VarsaylanParagrafYazTipi"/>
    <w:uiPriority w:val="99"/>
    <w:rsid w:val="00B469F9"/>
    <w:rPr>
      <w:color w:val="800080"/>
      <w:u w:val="single"/>
    </w:rPr>
  </w:style>
  <w:style w:type="character" w:customStyle="1" w:styleId="apple-style-span">
    <w:name w:val="apple-style-span"/>
    <w:basedOn w:val="VarsaylanParagrafYazTipi"/>
    <w:uiPriority w:val="99"/>
    <w:rsid w:val="004C63FE"/>
  </w:style>
  <w:style w:type="character" w:styleId="YerTutucuMetni">
    <w:name w:val="Placeholder Text"/>
    <w:basedOn w:val="VarsaylanParagrafYazTipi"/>
    <w:uiPriority w:val="99"/>
    <w:semiHidden/>
    <w:rsid w:val="00EC68F4"/>
    <w:rPr>
      <w:color w:val="808080"/>
    </w:rPr>
  </w:style>
  <w:style w:type="character" w:styleId="Vurgu">
    <w:name w:val="Emphasis"/>
    <w:basedOn w:val="VarsaylanParagrafYazTipi"/>
    <w:uiPriority w:val="20"/>
    <w:qFormat/>
    <w:rsid w:val="00EC68F4"/>
    <w:rPr>
      <w:i/>
      <w:iCs/>
    </w:rPr>
  </w:style>
  <w:style w:type="paragraph" w:styleId="AltKonuBal">
    <w:name w:val="Subtitle"/>
    <w:basedOn w:val="Normal"/>
    <w:next w:val="Normal"/>
    <w:link w:val="AltKonuBalChar"/>
    <w:uiPriority w:val="99"/>
    <w:qFormat/>
    <w:rsid w:val="00CB0EEC"/>
    <w:pPr>
      <w:spacing w:after="60"/>
      <w:jc w:val="center"/>
      <w:outlineLvl w:val="1"/>
    </w:pPr>
    <w:rPr>
      <w:rFonts w:ascii="Cambria" w:hAnsi="Cambria" w:cs="Cambria"/>
      <w:lang w:eastAsia="en-GB"/>
    </w:rPr>
  </w:style>
  <w:style w:type="character" w:customStyle="1" w:styleId="AltKonuBalChar">
    <w:name w:val="Alt Konu Başlığı Char"/>
    <w:basedOn w:val="VarsaylanParagrafYazTipi"/>
    <w:link w:val="AltKonuBal"/>
    <w:uiPriority w:val="99"/>
    <w:locked/>
    <w:rsid w:val="00CB0EEC"/>
    <w:rPr>
      <w:rFonts w:ascii="Cambria" w:hAnsi="Cambria" w:cs="Cambria"/>
      <w:sz w:val="24"/>
      <w:szCs w:val="24"/>
      <w:lang w:eastAsia="en-GB"/>
    </w:rPr>
  </w:style>
  <w:style w:type="character" w:customStyle="1" w:styleId="apple-converted-space">
    <w:name w:val="apple-converted-space"/>
    <w:basedOn w:val="VarsaylanParagrafYazTipi"/>
    <w:rsid w:val="00E41691"/>
  </w:style>
  <w:style w:type="paragraph" w:styleId="ListeParagraf">
    <w:name w:val="List Paragraph"/>
    <w:basedOn w:val="Normal"/>
    <w:uiPriority w:val="34"/>
    <w:qFormat/>
    <w:rsid w:val="007A5BAE"/>
    <w:pPr>
      <w:ind w:left="720"/>
    </w:pPr>
  </w:style>
  <w:style w:type="character" w:customStyle="1" w:styleId="DipnotMetniChar">
    <w:name w:val="Dipnot Metni Char"/>
    <w:aliases w:val="Footnote Text Char Char1,Footnote Char1,-E Fußnotentext Char1,Fußnotentext Ursprung Char1,footnote text Char"/>
    <w:basedOn w:val="VarsaylanParagrafYazTipi"/>
    <w:link w:val="DipnotMetni"/>
    <w:uiPriority w:val="99"/>
    <w:semiHidden/>
    <w:locked/>
    <w:rsid w:val="0079385F"/>
  </w:style>
  <w:style w:type="character" w:customStyle="1" w:styleId="FontStyle246">
    <w:name w:val="Font Style246"/>
    <w:basedOn w:val="VarsaylanParagrafYazTipi"/>
    <w:uiPriority w:val="99"/>
    <w:rsid w:val="0079385F"/>
    <w:rPr>
      <w:rFonts w:ascii="Times New Roman" w:hAnsi="Times New Roman" w:cs="Times New Roman"/>
      <w:sz w:val="22"/>
      <w:szCs w:val="22"/>
    </w:rPr>
  </w:style>
  <w:style w:type="character" w:customStyle="1" w:styleId="FontStyle266">
    <w:name w:val="Font Style266"/>
    <w:basedOn w:val="VarsaylanParagrafYazTipi"/>
    <w:uiPriority w:val="99"/>
    <w:rsid w:val="0079385F"/>
    <w:rPr>
      <w:rFonts w:ascii="Times New Roman" w:hAnsi="Times New Roman" w:cs="Times New Roman"/>
      <w:i/>
      <w:iCs/>
      <w:sz w:val="22"/>
      <w:szCs w:val="22"/>
    </w:rPr>
  </w:style>
  <w:style w:type="paragraph" w:customStyle="1" w:styleId="Style12">
    <w:name w:val="Style12"/>
    <w:basedOn w:val="Normal"/>
    <w:uiPriority w:val="99"/>
    <w:rsid w:val="0079385F"/>
    <w:pPr>
      <w:widowControl w:val="0"/>
      <w:autoSpaceDE w:val="0"/>
      <w:autoSpaceDN w:val="0"/>
      <w:adjustRightInd w:val="0"/>
      <w:spacing w:line="360" w:lineRule="exact"/>
      <w:ind w:hanging="274"/>
      <w:jc w:val="both"/>
    </w:pPr>
    <w:rPr>
      <w:rFonts w:ascii="Arial" w:hAnsi="Arial" w:cs="Arial"/>
    </w:rPr>
  </w:style>
  <w:style w:type="paragraph" w:customStyle="1" w:styleId="Style20">
    <w:name w:val="Style20"/>
    <w:basedOn w:val="Normal"/>
    <w:uiPriority w:val="99"/>
    <w:rsid w:val="0079385F"/>
    <w:pPr>
      <w:widowControl w:val="0"/>
      <w:autoSpaceDE w:val="0"/>
      <w:autoSpaceDN w:val="0"/>
      <w:adjustRightInd w:val="0"/>
      <w:spacing w:line="360" w:lineRule="exact"/>
      <w:ind w:hanging="293"/>
    </w:pPr>
    <w:rPr>
      <w:rFonts w:ascii="Arial" w:hAnsi="Arial" w:cs="Arial"/>
    </w:rPr>
  </w:style>
  <w:style w:type="paragraph" w:styleId="T7">
    <w:name w:val="toc 7"/>
    <w:basedOn w:val="Normal"/>
    <w:next w:val="Normal"/>
    <w:autoRedefine/>
    <w:uiPriority w:val="99"/>
    <w:semiHidden/>
    <w:rsid w:val="00623ACA"/>
    <w:pPr>
      <w:spacing w:after="100" w:line="276" w:lineRule="auto"/>
      <w:ind w:left="1320"/>
    </w:pPr>
    <w:rPr>
      <w:rFonts w:ascii="Calibri" w:hAnsi="Calibri" w:cs="Calibri"/>
      <w:sz w:val="22"/>
      <w:szCs w:val="22"/>
    </w:rPr>
  </w:style>
  <w:style w:type="paragraph" w:styleId="T8">
    <w:name w:val="toc 8"/>
    <w:basedOn w:val="Normal"/>
    <w:next w:val="Normal"/>
    <w:autoRedefine/>
    <w:uiPriority w:val="99"/>
    <w:semiHidden/>
    <w:rsid w:val="00623ACA"/>
    <w:pPr>
      <w:spacing w:after="100" w:line="276" w:lineRule="auto"/>
      <w:ind w:left="1540"/>
    </w:pPr>
    <w:rPr>
      <w:rFonts w:ascii="Calibri" w:hAnsi="Calibri" w:cs="Calibri"/>
      <w:sz w:val="22"/>
      <w:szCs w:val="22"/>
    </w:rPr>
  </w:style>
  <w:style w:type="paragraph" w:styleId="T9">
    <w:name w:val="toc 9"/>
    <w:basedOn w:val="Normal"/>
    <w:next w:val="Normal"/>
    <w:autoRedefine/>
    <w:uiPriority w:val="99"/>
    <w:semiHidden/>
    <w:rsid w:val="00623ACA"/>
    <w:pPr>
      <w:spacing w:after="100" w:line="276" w:lineRule="auto"/>
      <w:ind w:left="1760"/>
    </w:pPr>
    <w:rPr>
      <w:rFonts w:ascii="Calibri" w:hAnsi="Calibri" w:cs="Calibri"/>
      <w:sz w:val="22"/>
      <w:szCs w:val="22"/>
    </w:rPr>
  </w:style>
  <w:style w:type="paragraph" w:customStyle="1" w:styleId="Style11">
    <w:name w:val="Style11"/>
    <w:basedOn w:val="Normal"/>
    <w:uiPriority w:val="99"/>
    <w:rsid w:val="00BB0F4D"/>
    <w:pPr>
      <w:widowControl w:val="0"/>
      <w:autoSpaceDE w:val="0"/>
      <w:autoSpaceDN w:val="0"/>
      <w:adjustRightInd w:val="0"/>
      <w:spacing w:line="389" w:lineRule="exact"/>
      <w:ind w:firstLine="850"/>
      <w:jc w:val="both"/>
    </w:pPr>
  </w:style>
  <w:style w:type="character" w:customStyle="1" w:styleId="FontStyle134">
    <w:name w:val="Font Style134"/>
    <w:basedOn w:val="VarsaylanParagrafYazTipi"/>
    <w:uiPriority w:val="99"/>
    <w:rsid w:val="00BB0F4D"/>
    <w:rPr>
      <w:rFonts w:ascii="Times New Roman" w:hAnsi="Times New Roman" w:cs="Times New Roman"/>
      <w:sz w:val="22"/>
      <w:szCs w:val="22"/>
    </w:rPr>
  </w:style>
  <w:style w:type="character" w:customStyle="1" w:styleId="A12">
    <w:name w:val="A12"/>
    <w:uiPriority w:val="99"/>
    <w:rsid w:val="00FA1C4D"/>
    <w:rPr>
      <w:color w:val="000000"/>
      <w:sz w:val="21"/>
      <w:szCs w:val="21"/>
    </w:rPr>
  </w:style>
  <w:style w:type="character" w:customStyle="1" w:styleId="shorttext">
    <w:name w:val="short_text"/>
    <w:basedOn w:val="VarsaylanParagrafYazTipi"/>
    <w:rsid w:val="0078447E"/>
  </w:style>
  <w:style w:type="paragraph" w:styleId="SonnotMetni">
    <w:name w:val="endnote text"/>
    <w:basedOn w:val="Normal"/>
    <w:link w:val="SonnotMetniChar"/>
    <w:uiPriority w:val="99"/>
    <w:semiHidden/>
    <w:rsid w:val="0037120F"/>
    <w:rPr>
      <w:sz w:val="20"/>
      <w:szCs w:val="20"/>
    </w:rPr>
  </w:style>
  <w:style w:type="character" w:customStyle="1" w:styleId="SonnotMetniChar">
    <w:name w:val="Sonnot Metni Char"/>
    <w:basedOn w:val="VarsaylanParagrafYazTipi"/>
    <w:link w:val="SonnotMetni"/>
    <w:uiPriority w:val="99"/>
    <w:locked/>
    <w:rsid w:val="0037120F"/>
  </w:style>
  <w:style w:type="character" w:styleId="SonnotBavurusu">
    <w:name w:val="endnote reference"/>
    <w:basedOn w:val="VarsaylanParagrafYazTipi"/>
    <w:uiPriority w:val="99"/>
    <w:semiHidden/>
    <w:rsid w:val="0037120F"/>
    <w:rPr>
      <w:vertAlign w:val="superscript"/>
    </w:rPr>
  </w:style>
  <w:style w:type="paragraph" w:customStyle="1" w:styleId="listparagraph">
    <w:name w:val="listparagraph"/>
    <w:basedOn w:val="Normal"/>
    <w:uiPriority w:val="99"/>
    <w:rsid w:val="0040284C"/>
    <w:pPr>
      <w:spacing w:before="100" w:beforeAutospacing="1" w:after="100" w:afterAutospacing="1"/>
    </w:pPr>
  </w:style>
  <w:style w:type="paragraph" w:customStyle="1" w:styleId="listparagraphcxspilk">
    <w:name w:val="listparagraphcxspilk"/>
    <w:basedOn w:val="Normal"/>
    <w:uiPriority w:val="99"/>
    <w:rsid w:val="0040284C"/>
    <w:pPr>
      <w:spacing w:before="100" w:beforeAutospacing="1" w:after="100" w:afterAutospacing="1"/>
    </w:pPr>
  </w:style>
  <w:style w:type="paragraph" w:customStyle="1" w:styleId="listparagraphcxsporta">
    <w:name w:val="listparagraphcxsporta"/>
    <w:basedOn w:val="Normal"/>
    <w:uiPriority w:val="99"/>
    <w:rsid w:val="0040284C"/>
    <w:pPr>
      <w:spacing w:before="100" w:beforeAutospacing="1" w:after="100" w:afterAutospacing="1"/>
    </w:pPr>
  </w:style>
  <w:style w:type="paragraph" w:customStyle="1" w:styleId="listparagraphcxspson">
    <w:name w:val="listparagraphcxspson"/>
    <w:basedOn w:val="Normal"/>
    <w:uiPriority w:val="99"/>
    <w:rsid w:val="0040284C"/>
    <w:pPr>
      <w:spacing w:before="100" w:beforeAutospacing="1" w:after="100" w:afterAutospacing="1"/>
    </w:pPr>
  </w:style>
  <w:style w:type="paragraph" w:styleId="ResimYazs">
    <w:name w:val="caption"/>
    <w:basedOn w:val="Normal"/>
    <w:next w:val="Normal"/>
    <w:unhideWhenUsed/>
    <w:qFormat/>
    <w:rsid w:val="001F69D9"/>
    <w:pPr>
      <w:spacing w:after="200"/>
    </w:pPr>
    <w:rPr>
      <w:b/>
      <w:bCs/>
      <w:color w:val="4F81BD" w:themeColor="accent1"/>
      <w:sz w:val="18"/>
      <w:szCs w:val="18"/>
    </w:rPr>
  </w:style>
  <w:style w:type="table" w:styleId="RenkliKlavuz-Vurgu3">
    <w:name w:val="Colorful Grid Accent 3"/>
    <w:basedOn w:val="NormalTablo"/>
    <w:uiPriority w:val="73"/>
    <w:rsid w:val="009A26A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wp-caption-text2">
    <w:name w:val="wp-caption-text2"/>
    <w:basedOn w:val="Normal"/>
    <w:rsid w:val="0098279E"/>
    <w:pPr>
      <w:spacing w:before="100" w:beforeAutospacing="1" w:after="360"/>
    </w:pPr>
    <w:rPr>
      <w:rFonts w:ascii="Arial" w:hAnsi="Arial" w:cs="Arial"/>
    </w:rPr>
  </w:style>
  <w:style w:type="character" w:customStyle="1" w:styleId="kuvateksti1">
    <w:name w:val="kuvateksti1"/>
    <w:basedOn w:val="VarsaylanParagrafYazTipi"/>
    <w:rsid w:val="00BC68CE"/>
    <w:rPr>
      <w:sz w:val="16"/>
      <w:szCs w:val="16"/>
    </w:rPr>
  </w:style>
  <w:style w:type="character" w:customStyle="1" w:styleId="Gvdemetni0">
    <w:name w:val="Gövde metni_"/>
    <w:basedOn w:val="VarsaylanParagrafYazTipi"/>
    <w:link w:val="Gvdemetni4"/>
    <w:rsid w:val="00230270"/>
    <w:rPr>
      <w:sz w:val="20"/>
      <w:szCs w:val="20"/>
      <w:shd w:val="clear" w:color="auto" w:fill="FFFFFF"/>
    </w:rPr>
  </w:style>
  <w:style w:type="paragraph" w:customStyle="1" w:styleId="Gvdemetni4">
    <w:name w:val="Gövde metni"/>
    <w:basedOn w:val="Normal"/>
    <w:link w:val="Gvdemetni0"/>
    <w:rsid w:val="00230270"/>
    <w:pPr>
      <w:widowControl w:val="0"/>
      <w:shd w:val="clear" w:color="auto" w:fill="FFFFFF"/>
      <w:spacing w:line="274" w:lineRule="exact"/>
      <w:ind w:hanging="360"/>
      <w:jc w:val="center"/>
    </w:pPr>
    <w:rPr>
      <w:sz w:val="20"/>
      <w:szCs w:val="20"/>
    </w:rPr>
  </w:style>
  <w:style w:type="character" w:customStyle="1" w:styleId="journalname1">
    <w:name w:val="journalname1"/>
    <w:basedOn w:val="VarsaylanParagrafYazTipi"/>
    <w:rsid w:val="00255CCF"/>
    <w:rPr>
      <w:i/>
      <w:iCs/>
    </w:rPr>
  </w:style>
  <w:style w:type="character" w:customStyle="1" w:styleId="b1">
    <w:name w:val="b1"/>
    <w:basedOn w:val="VarsaylanParagrafYazTipi"/>
    <w:rsid w:val="00255CCF"/>
    <w:rPr>
      <w:b/>
      <w:bCs/>
    </w:rPr>
  </w:style>
  <w:style w:type="character" w:customStyle="1" w:styleId="doi6">
    <w:name w:val="doi6"/>
    <w:basedOn w:val="VarsaylanParagrafYazTipi"/>
    <w:rsid w:val="00255CCF"/>
  </w:style>
  <w:style w:type="character" w:customStyle="1" w:styleId="st1">
    <w:name w:val="st1"/>
    <w:basedOn w:val="VarsaylanParagrafYazTipi"/>
    <w:rsid w:val="007B12C8"/>
  </w:style>
  <w:style w:type="paragraph" w:customStyle="1" w:styleId="aperex2">
    <w:name w:val="aperex2"/>
    <w:basedOn w:val="Normal"/>
    <w:rsid w:val="00C87FCF"/>
    <w:pPr>
      <w:spacing w:after="75" w:line="225" w:lineRule="atLeast"/>
      <w:jc w:val="both"/>
    </w:pPr>
    <w:rPr>
      <w:b/>
      <w:bCs/>
      <w:color w:val="000000"/>
    </w:rPr>
  </w:style>
  <w:style w:type="paragraph" w:customStyle="1" w:styleId="bodytext">
    <w:name w:val="bodytext"/>
    <w:basedOn w:val="Normal"/>
    <w:rsid w:val="00D379E0"/>
    <w:pPr>
      <w:spacing w:before="150" w:after="150"/>
    </w:pPr>
  </w:style>
  <w:style w:type="character" w:customStyle="1" w:styleId="Gvdemetni11pt">
    <w:name w:val="Gövde metni + 11 pt"/>
    <w:aliases w:val="İtalik,0 pt boşluk bırakılıyor,Gövde metni + 8.5 pt,Kalın"/>
    <w:basedOn w:val="Gvdemetni0"/>
    <w:rsid w:val="000E47DB"/>
    <w:rPr>
      <w:rFonts w:ascii="Times New Roman" w:eastAsia="Times New Roman" w:hAnsi="Times New Roman" w:cs="Times New Roman"/>
      <w:b w:val="0"/>
      <w:bCs w:val="0"/>
      <w:i/>
      <w:iCs/>
      <w:smallCaps w:val="0"/>
      <w:strike w:val="0"/>
      <w:color w:val="000000"/>
      <w:spacing w:val="-3"/>
      <w:w w:val="100"/>
      <w:position w:val="0"/>
      <w:sz w:val="22"/>
      <w:szCs w:val="22"/>
      <w:u w:val="none"/>
      <w:shd w:val="clear" w:color="auto" w:fill="FFFFFF"/>
      <w:lang w:val="tr-TR"/>
    </w:rPr>
  </w:style>
  <w:style w:type="character" w:customStyle="1" w:styleId="Gvdemetni1010pt">
    <w:name w:val="Gövde metni (10) + 10 pt"/>
    <w:basedOn w:val="VarsaylanParagrafYazTipi"/>
    <w:rsid w:val="003E6A5E"/>
    <w:rPr>
      <w:rFonts w:ascii="Times New Roman" w:eastAsia="Times New Roman" w:hAnsi="Times New Roman" w:cs="Times New Roman"/>
      <w:b/>
      <w:bCs/>
      <w:i w:val="0"/>
      <w:iCs w:val="0"/>
      <w:smallCaps w:val="0"/>
      <w:strike w:val="0"/>
      <w:color w:val="000000"/>
      <w:spacing w:val="3"/>
      <w:w w:val="100"/>
      <w:position w:val="0"/>
      <w:sz w:val="20"/>
      <w:szCs w:val="20"/>
      <w:u w:val="none"/>
      <w:lang w:val="tr-TR"/>
    </w:rPr>
  </w:style>
  <w:style w:type="character" w:customStyle="1" w:styleId="Gvdemetni6">
    <w:name w:val="Gövde metni (6)_"/>
    <w:basedOn w:val="VarsaylanParagrafYazTipi"/>
    <w:link w:val="Gvdemetni60"/>
    <w:rsid w:val="00821A23"/>
    <w:rPr>
      <w:b/>
      <w:bCs/>
      <w:spacing w:val="-2"/>
      <w:sz w:val="17"/>
      <w:szCs w:val="17"/>
    </w:rPr>
  </w:style>
  <w:style w:type="paragraph" w:customStyle="1" w:styleId="Gvdemetni60">
    <w:name w:val="Gövde metni (6)"/>
    <w:basedOn w:val="Normal"/>
    <w:link w:val="Gvdemetni6"/>
    <w:rsid w:val="00821A23"/>
    <w:pPr>
      <w:widowControl w:val="0"/>
      <w:spacing w:before="240" w:after="360" w:line="0" w:lineRule="atLeast"/>
      <w:jc w:val="center"/>
    </w:pPr>
    <w:rPr>
      <w:b/>
      <w:bCs/>
      <w:spacing w:val="-2"/>
      <w:sz w:val="17"/>
      <w:szCs w:val="17"/>
    </w:rPr>
  </w:style>
  <w:style w:type="paragraph" w:styleId="DzMetin">
    <w:name w:val="Plain Text"/>
    <w:basedOn w:val="Normal"/>
    <w:link w:val="DzMetinChar"/>
    <w:uiPriority w:val="99"/>
    <w:unhideWhenUsed/>
    <w:locked/>
    <w:rsid w:val="00202D6C"/>
    <w:rPr>
      <w:rFonts w:ascii="Consolas" w:hAnsi="Consolas" w:cs="Consolas"/>
      <w:sz w:val="21"/>
      <w:szCs w:val="21"/>
    </w:rPr>
  </w:style>
  <w:style w:type="character" w:customStyle="1" w:styleId="DzMetinChar">
    <w:name w:val="Düz Metin Char"/>
    <w:basedOn w:val="VarsaylanParagrafYazTipi"/>
    <w:link w:val="DzMetin"/>
    <w:uiPriority w:val="99"/>
    <w:rsid w:val="00202D6C"/>
    <w:rPr>
      <w:rFonts w:ascii="Consolas" w:hAnsi="Consolas" w:cs="Consolas"/>
      <w:sz w:val="21"/>
      <w:szCs w:val="21"/>
    </w:rPr>
  </w:style>
  <w:style w:type="character" w:customStyle="1" w:styleId="Balk8Char">
    <w:name w:val="Başlık 8 Char"/>
    <w:aliases w:val="A Char"/>
    <w:basedOn w:val="VarsaylanParagrafYazTipi"/>
    <w:link w:val="Balk8"/>
    <w:rsid w:val="00A1381D"/>
    <w:rPr>
      <w:rFonts w:eastAsiaTheme="majorEastAsia" w:cstheme="majorBidi"/>
      <w:b/>
      <w:bCs/>
      <w:sz w:val="24"/>
      <w:szCs w:val="20"/>
    </w:rPr>
  </w:style>
  <w:style w:type="character" w:customStyle="1" w:styleId="Balk50">
    <w:name w:val="Başlık #5_"/>
    <w:basedOn w:val="VarsaylanParagrafYazTipi"/>
    <w:link w:val="Balk51"/>
    <w:rsid w:val="00181B06"/>
    <w:rPr>
      <w:spacing w:val="5"/>
      <w:sz w:val="20"/>
      <w:szCs w:val="20"/>
    </w:rPr>
  </w:style>
  <w:style w:type="paragraph" w:customStyle="1" w:styleId="Balk51">
    <w:name w:val="Başlık #5"/>
    <w:basedOn w:val="Normal"/>
    <w:link w:val="Balk50"/>
    <w:rsid w:val="00181B06"/>
    <w:pPr>
      <w:widowControl w:val="0"/>
      <w:spacing w:after="300" w:line="0" w:lineRule="atLeast"/>
      <w:ind w:hanging="560"/>
      <w:jc w:val="both"/>
      <w:outlineLvl w:val="4"/>
    </w:pPr>
    <w:rPr>
      <w:spacing w:val="5"/>
      <w:sz w:val="20"/>
      <w:szCs w:val="20"/>
    </w:rPr>
  </w:style>
  <w:style w:type="table" w:customStyle="1" w:styleId="izelge">
    <w:name w:val="Çizelge"/>
    <w:basedOn w:val="TabloBasit1"/>
    <w:uiPriority w:val="99"/>
    <w:rsid w:val="00751819"/>
    <w:rPr>
      <w:b/>
      <w:sz w:val="24"/>
      <w:szCs w:val="20"/>
      <w:lang w:eastAsia="tr-T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o">
    <w:name w:val="Tablo"/>
    <w:basedOn w:val="ekil3"/>
    <w:next w:val="ekil3"/>
    <w:autoRedefine/>
    <w:qFormat/>
    <w:rsid w:val="007C2F0D"/>
    <w:pPr>
      <w:jc w:val="left"/>
    </w:pPr>
  </w:style>
  <w:style w:type="table" w:styleId="TabloBasit1">
    <w:name w:val="Table Simple 1"/>
    <w:basedOn w:val="NormalTablo"/>
    <w:uiPriority w:val="99"/>
    <w:semiHidden/>
    <w:unhideWhenUsed/>
    <w:locked/>
    <w:rsid w:val="0075181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til1">
    <w:name w:val="stil1"/>
    <w:basedOn w:val="ekil"/>
    <w:link w:val="stil1Char"/>
    <w:qFormat/>
    <w:rsid w:val="001634EA"/>
  </w:style>
  <w:style w:type="character" w:customStyle="1" w:styleId="ekilChar">
    <w:name w:val="Şekil Char"/>
    <w:basedOn w:val="VarsaylanParagrafYazTipi"/>
    <w:link w:val="ekil"/>
    <w:uiPriority w:val="99"/>
    <w:rsid w:val="001634EA"/>
    <w:rPr>
      <w:b/>
      <w:sz w:val="24"/>
      <w:szCs w:val="24"/>
    </w:rPr>
  </w:style>
  <w:style w:type="character" w:customStyle="1" w:styleId="stil1Char">
    <w:name w:val="stil1 Char"/>
    <w:basedOn w:val="ekilChar"/>
    <w:link w:val="stil1"/>
    <w:rsid w:val="001634EA"/>
    <w:rPr>
      <w:b/>
      <w:sz w:val="24"/>
      <w:szCs w:val="24"/>
    </w:rPr>
  </w:style>
  <w:style w:type="paragraph" w:customStyle="1" w:styleId="it6">
    <w:name w:val="içt6"/>
    <w:basedOn w:val="Normal"/>
    <w:autoRedefine/>
    <w:qFormat/>
    <w:rsid w:val="000D38D2"/>
    <w:pPr>
      <w:spacing w:before="120" w:after="120"/>
    </w:pPr>
    <w:rPr>
      <w:b/>
    </w:rPr>
  </w:style>
  <w:style w:type="table" w:styleId="OrtaListe1">
    <w:name w:val="Medium List 1"/>
    <w:basedOn w:val="NormalTablo"/>
    <w:uiPriority w:val="65"/>
    <w:rsid w:val="00131ABD"/>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AkListe">
    <w:name w:val="Light List"/>
    <w:basedOn w:val="NormalTablo"/>
    <w:uiPriority w:val="61"/>
    <w:rsid w:val="00131AB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Bal">
    <w:name w:val="TOC Heading"/>
    <w:basedOn w:val="Balk1"/>
    <w:next w:val="Normal"/>
    <w:uiPriority w:val="39"/>
    <w:semiHidden/>
    <w:unhideWhenUsed/>
    <w:qFormat/>
    <w:rsid w:val="00996401"/>
    <w:pPr>
      <w:keepLines/>
      <w:spacing w:before="480" w:after="0" w:line="276" w:lineRule="auto"/>
      <w:outlineLvl w:val="9"/>
    </w:pPr>
    <w:rPr>
      <w:rFonts w:asciiTheme="majorHAnsi" w:eastAsiaTheme="majorEastAsia" w:hAnsiTheme="majorHAnsi" w:cstheme="majorBidi"/>
      <w:color w:val="365F91" w:themeColor="accent1" w:themeShade="BF"/>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56495">
      <w:bodyDiv w:val="1"/>
      <w:marLeft w:val="0"/>
      <w:marRight w:val="0"/>
      <w:marTop w:val="0"/>
      <w:marBottom w:val="0"/>
      <w:divBdr>
        <w:top w:val="none" w:sz="0" w:space="0" w:color="auto"/>
        <w:left w:val="none" w:sz="0" w:space="0" w:color="auto"/>
        <w:bottom w:val="none" w:sz="0" w:space="0" w:color="auto"/>
        <w:right w:val="none" w:sz="0" w:space="0" w:color="auto"/>
      </w:divBdr>
    </w:div>
    <w:div w:id="32272763">
      <w:bodyDiv w:val="1"/>
      <w:marLeft w:val="0"/>
      <w:marRight w:val="0"/>
      <w:marTop w:val="0"/>
      <w:marBottom w:val="0"/>
      <w:divBdr>
        <w:top w:val="none" w:sz="0" w:space="0" w:color="auto"/>
        <w:left w:val="none" w:sz="0" w:space="0" w:color="auto"/>
        <w:bottom w:val="none" w:sz="0" w:space="0" w:color="auto"/>
        <w:right w:val="none" w:sz="0" w:space="0" w:color="auto"/>
      </w:divBdr>
    </w:div>
    <w:div w:id="45299589">
      <w:bodyDiv w:val="1"/>
      <w:marLeft w:val="0"/>
      <w:marRight w:val="0"/>
      <w:marTop w:val="0"/>
      <w:marBottom w:val="0"/>
      <w:divBdr>
        <w:top w:val="none" w:sz="0" w:space="0" w:color="auto"/>
        <w:left w:val="none" w:sz="0" w:space="0" w:color="auto"/>
        <w:bottom w:val="none" w:sz="0" w:space="0" w:color="auto"/>
        <w:right w:val="none" w:sz="0" w:space="0" w:color="auto"/>
      </w:divBdr>
      <w:divsChild>
        <w:div w:id="951088583">
          <w:marLeft w:val="0"/>
          <w:marRight w:val="0"/>
          <w:marTop w:val="0"/>
          <w:marBottom w:val="0"/>
          <w:divBdr>
            <w:top w:val="none" w:sz="0" w:space="0" w:color="auto"/>
            <w:left w:val="none" w:sz="0" w:space="0" w:color="auto"/>
            <w:bottom w:val="none" w:sz="0" w:space="0" w:color="auto"/>
            <w:right w:val="none" w:sz="0" w:space="0" w:color="auto"/>
          </w:divBdr>
          <w:divsChild>
            <w:div w:id="1894580395">
              <w:marLeft w:val="0"/>
              <w:marRight w:val="0"/>
              <w:marTop w:val="0"/>
              <w:marBottom w:val="0"/>
              <w:divBdr>
                <w:top w:val="none" w:sz="0" w:space="0" w:color="auto"/>
                <w:left w:val="none" w:sz="0" w:space="0" w:color="auto"/>
                <w:bottom w:val="none" w:sz="0" w:space="0" w:color="auto"/>
                <w:right w:val="none" w:sz="0" w:space="0" w:color="auto"/>
              </w:divBdr>
              <w:divsChild>
                <w:div w:id="1908300819">
                  <w:marLeft w:val="0"/>
                  <w:marRight w:val="0"/>
                  <w:marTop w:val="0"/>
                  <w:marBottom w:val="0"/>
                  <w:divBdr>
                    <w:top w:val="none" w:sz="0" w:space="0" w:color="auto"/>
                    <w:left w:val="none" w:sz="0" w:space="0" w:color="auto"/>
                    <w:bottom w:val="none" w:sz="0" w:space="0" w:color="auto"/>
                    <w:right w:val="none" w:sz="0" w:space="0" w:color="auto"/>
                  </w:divBdr>
                  <w:divsChild>
                    <w:div w:id="260528524">
                      <w:marLeft w:val="0"/>
                      <w:marRight w:val="0"/>
                      <w:marTop w:val="300"/>
                      <w:marBottom w:val="0"/>
                      <w:divBdr>
                        <w:top w:val="none" w:sz="0" w:space="0" w:color="auto"/>
                        <w:left w:val="none" w:sz="0" w:space="0" w:color="auto"/>
                        <w:bottom w:val="none" w:sz="0" w:space="0" w:color="auto"/>
                        <w:right w:val="none" w:sz="0" w:space="0" w:color="auto"/>
                      </w:divBdr>
                      <w:divsChild>
                        <w:div w:id="2018267953">
                          <w:marLeft w:val="0"/>
                          <w:marRight w:val="0"/>
                          <w:marTop w:val="0"/>
                          <w:marBottom w:val="0"/>
                          <w:divBdr>
                            <w:top w:val="none" w:sz="0" w:space="0" w:color="auto"/>
                            <w:left w:val="none" w:sz="0" w:space="0" w:color="auto"/>
                            <w:bottom w:val="none" w:sz="0" w:space="0" w:color="auto"/>
                            <w:right w:val="none" w:sz="0" w:space="0" w:color="auto"/>
                          </w:divBdr>
                          <w:divsChild>
                            <w:div w:id="2035960146">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31079">
      <w:bodyDiv w:val="1"/>
      <w:marLeft w:val="0"/>
      <w:marRight w:val="0"/>
      <w:marTop w:val="0"/>
      <w:marBottom w:val="0"/>
      <w:divBdr>
        <w:top w:val="none" w:sz="0" w:space="0" w:color="auto"/>
        <w:left w:val="none" w:sz="0" w:space="0" w:color="auto"/>
        <w:bottom w:val="none" w:sz="0" w:space="0" w:color="auto"/>
        <w:right w:val="none" w:sz="0" w:space="0" w:color="auto"/>
      </w:divBdr>
    </w:div>
    <w:div w:id="75134591">
      <w:bodyDiv w:val="1"/>
      <w:marLeft w:val="0"/>
      <w:marRight w:val="0"/>
      <w:marTop w:val="0"/>
      <w:marBottom w:val="0"/>
      <w:divBdr>
        <w:top w:val="none" w:sz="0" w:space="0" w:color="auto"/>
        <w:left w:val="none" w:sz="0" w:space="0" w:color="auto"/>
        <w:bottom w:val="none" w:sz="0" w:space="0" w:color="auto"/>
        <w:right w:val="none" w:sz="0" w:space="0" w:color="auto"/>
      </w:divBdr>
    </w:div>
    <w:div w:id="116141748">
      <w:bodyDiv w:val="1"/>
      <w:marLeft w:val="0"/>
      <w:marRight w:val="0"/>
      <w:marTop w:val="0"/>
      <w:marBottom w:val="0"/>
      <w:divBdr>
        <w:top w:val="none" w:sz="0" w:space="0" w:color="auto"/>
        <w:left w:val="none" w:sz="0" w:space="0" w:color="auto"/>
        <w:bottom w:val="none" w:sz="0" w:space="0" w:color="auto"/>
        <w:right w:val="none" w:sz="0" w:space="0" w:color="auto"/>
      </w:divBdr>
    </w:div>
    <w:div w:id="119543710">
      <w:bodyDiv w:val="1"/>
      <w:marLeft w:val="0"/>
      <w:marRight w:val="0"/>
      <w:marTop w:val="0"/>
      <w:marBottom w:val="0"/>
      <w:divBdr>
        <w:top w:val="none" w:sz="0" w:space="0" w:color="auto"/>
        <w:left w:val="none" w:sz="0" w:space="0" w:color="auto"/>
        <w:bottom w:val="none" w:sz="0" w:space="0" w:color="auto"/>
        <w:right w:val="none" w:sz="0" w:space="0" w:color="auto"/>
      </w:divBdr>
      <w:divsChild>
        <w:div w:id="1436053949">
          <w:marLeft w:val="0"/>
          <w:marRight w:val="0"/>
          <w:marTop w:val="0"/>
          <w:marBottom w:val="0"/>
          <w:divBdr>
            <w:top w:val="none" w:sz="0" w:space="0" w:color="auto"/>
            <w:left w:val="none" w:sz="0" w:space="0" w:color="auto"/>
            <w:bottom w:val="none" w:sz="0" w:space="0" w:color="auto"/>
            <w:right w:val="none" w:sz="0" w:space="0" w:color="auto"/>
          </w:divBdr>
          <w:divsChild>
            <w:div w:id="2081514739">
              <w:marLeft w:val="0"/>
              <w:marRight w:val="0"/>
              <w:marTop w:val="0"/>
              <w:marBottom w:val="0"/>
              <w:divBdr>
                <w:top w:val="none" w:sz="0" w:space="0" w:color="auto"/>
                <w:left w:val="none" w:sz="0" w:space="0" w:color="auto"/>
                <w:bottom w:val="none" w:sz="0" w:space="0" w:color="auto"/>
                <w:right w:val="none" w:sz="0" w:space="0" w:color="auto"/>
              </w:divBdr>
              <w:divsChild>
                <w:div w:id="464742998">
                  <w:marLeft w:val="0"/>
                  <w:marRight w:val="0"/>
                  <w:marTop w:val="0"/>
                  <w:marBottom w:val="0"/>
                  <w:divBdr>
                    <w:top w:val="none" w:sz="0" w:space="0" w:color="auto"/>
                    <w:left w:val="none" w:sz="0" w:space="0" w:color="auto"/>
                    <w:bottom w:val="none" w:sz="0" w:space="0" w:color="auto"/>
                    <w:right w:val="none" w:sz="0" w:space="0" w:color="auto"/>
                  </w:divBdr>
                  <w:divsChild>
                    <w:div w:id="2091928151">
                      <w:marLeft w:val="0"/>
                      <w:marRight w:val="0"/>
                      <w:marTop w:val="0"/>
                      <w:marBottom w:val="0"/>
                      <w:divBdr>
                        <w:top w:val="none" w:sz="0" w:space="0" w:color="auto"/>
                        <w:left w:val="none" w:sz="0" w:space="0" w:color="auto"/>
                        <w:bottom w:val="none" w:sz="0" w:space="0" w:color="auto"/>
                        <w:right w:val="none" w:sz="0" w:space="0" w:color="auto"/>
                      </w:divBdr>
                      <w:divsChild>
                        <w:div w:id="1702632747">
                          <w:marLeft w:val="0"/>
                          <w:marRight w:val="0"/>
                          <w:marTop w:val="0"/>
                          <w:marBottom w:val="0"/>
                          <w:divBdr>
                            <w:top w:val="none" w:sz="0" w:space="0" w:color="auto"/>
                            <w:left w:val="none" w:sz="0" w:space="0" w:color="auto"/>
                            <w:bottom w:val="none" w:sz="0" w:space="0" w:color="auto"/>
                            <w:right w:val="none" w:sz="0" w:space="0" w:color="auto"/>
                          </w:divBdr>
                          <w:divsChild>
                            <w:div w:id="1848446943">
                              <w:marLeft w:val="0"/>
                              <w:marRight w:val="0"/>
                              <w:marTop w:val="0"/>
                              <w:marBottom w:val="0"/>
                              <w:divBdr>
                                <w:top w:val="none" w:sz="0" w:space="0" w:color="auto"/>
                                <w:left w:val="none" w:sz="0" w:space="0" w:color="auto"/>
                                <w:bottom w:val="none" w:sz="0" w:space="0" w:color="auto"/>
                                <w:right w:val="none" w:sz="0" w:space="0" w:color="auto"/>
                              </w:divBdr>
                              <w:divsChild>
                                <w:div w:id="1616985595">
                                  <w:marLeft w:val="0"/>
                                  <w:marRight w:val="0"/>
                                  <w:marTop w:val="0"/>
                                  <w:marBottom w:val="0"/>
                                  <w:divBdr>
                                    <w:top w:val="none" w:sz="0" w:space="0" w:color="auto"/>
                                    <w:left w:val="none" w:sz="0" w:space="0" w:color="auto"/>
                                    <w:bottom w:val="none" w:sz="0" w:space="0" w:color="auto"/>
                                    <w:right w:val="none" w:sz="0" w:space="0" w:color="auto"/>
                                  </w:divBdr>
                                  <w:divsChild>
                                    <w:div w:id="758133586">
                                      <w:marLeft w:val="0"/>
                                      <w:marRight w:val="0"/>
                                      <w:marTop w:val="0"/>
                                      <w:marBottom w:val="0"/>
                                      <w:divBdr>
                                        <w:top w:val="single" w:sz="6" w:space="0" w:color="F5F5F5"/>
                                        <w:left w:val="single" w:sz="6" w:space="0" w:color="F5F5F5"/>
                                        <w:bottom w:val="single" w:sz="6" w:space="0" w:color="F5F5F5"/>
                                        <w:right w:val="single" w:sz="6" w:space="0" w:color="F5F5F5"/>
                                      </w:divBdr>
                                      <w:divsChild>
                                        <w:div w:id="1882201962">
                                          <w:marLeft w:val="0"/>
                                          <w:marRight w:val="0"/>
                                          <w:marTop w:val="0"/>
                                          <w:marBottom w:val="0"/>
                                          <w:divBdr>
                                            <w:top w:val="none" w:sz="0" w:space="0" w:color="auto"/>
                                            <w:left w:val="none" w:sz="0" w:space="0" w:color="auto"/>
                                            <w:bottom w:val="none" w:sz="0" w:space="0" w:color="auto"/>
                                            <w:right w:val="none" w:sz="0" w:space="0" w:color="auto"/>
                                          </w:divBdr>
                                          <w:divsChild>
                                            <w:div w:id="165298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026512">
      <w:bodyDiv w:val="1"/>
      <w:marLeft w:val="0"/>
      <w:marRight w:val="0"/>
      <w:marTop w:val="0"/>
      <w:marBottom w:val="0"/>
      <w:divBdr>
        <w:top w:val="none" w:sz="0" w:space="0" w:color="auto"/>
        <w:left w:val="none" w:sz="0" w:space="0" w:color="auto"/>
        <w:bottom w:val="none" w:sz="0" w:space="0" w:color="auto"/>
        <w:right w:val="none" w:sz="0" w:space="0" w:color="auto"/>
      </w:divBdr>
    </w:div>
    <w:div w:id="134224665">
      <w:bodyDiv w:val="1"/>
      <w:marLeft w:val="0"/>
      <w:marRight w:val="0"/>
      <w:marTop w:val="0"/>
      <w:marBottom w:val="0"/>
      <w:divBdr>
        <w:top w:val="none" w:sz="0" w:space="0" w:color="auto"/>
        <w:left w:val="none" w:sz="0" w:space="0" w:color="auto"/>
        <w:bottom w:val="none" w:sz="0" w:space="0" w:color="auto"/>
        <w:right w:val="none" w:sz="0" w:space="0" w:color="auto"/>
      </w:divBdr>
    </w:div>
    <w:div w:id="153499492">
      <w:bodyDiv w:val="1"/>
      <w:marLeft w:val="0"/>
      <w:marRight w:val="0"/>
      <w:marTop w:val="0"/>
      <w:marBottom w:val="0"/>
      <w:divBdr>
        <w:top w:val="none" w:sz="0" w:space="0" w:color="auto"/>
        <w:left w:val="none" w:sz="0" w:space="0" w:color="auto"/>
        <w:bottom w:val="none" w:sz="0" w:space="0" w:color="auto"/>
        <w:right w:val="none" w:sz="0" w:space="0" w:color="auto"/>
      </w:divBdr>
    </w:div>
    <w:div w:id="191967455">
      <w:bodyDiv w:val="1"/>
      <w:marLeft w:val="0"/>
      <w:marRight w:val="0"/>
      <w:marTop w:val="0"/>
      <w:marBottom w:val="0"/>
      <w:divBdr>
        <w:top w:val="none" w:sz="0" w:space="0" w:color="auto"/>
        <w:left w:val="none" w:sz="0" w:space="0" w:color="auto"/>
        <w:bottom w:val="none" w:sz="0" w:space="0" w:color="auto"/>
        <w:right w:val="none" w:sz="0" w:space="0" w:color="auto"/>
      </w:divBdr>
    </w:div>
    <w:div w:id="199318676">
      <w:bodyDiv w:val="1"/>
      <w:marLeft w:val="0"/>
      <w:marRight w:val="0"/>
      <w:marTop w:val="0"/>
      <w:marBottom w:val="0"/>
      <w:divBdr>
        <w:top w:val="none" w:sz="0" w:space="0" w:color="auto"/>
        <w:left w:val="none" w:sz="0" w:space="0" w:color="auto"/>
        <w:bottom w:val="none" w:sz="0" w:space="0" w:color="auto"/>
        <w:right w:val="none" w:sz="0" w:space="0" w:color="auto"/>
      </w:divBdr>
    </w:div>
    <w:div w:id="203980228">
      <w:bodyDiv w:val="1"/>
      <w:marLeft w:val="0"/>
      <w:marRight w:val="0"/>
      <w:marTop w:val="0"/>
      <w:marBottom w:val="0"/>
      <w:divBdr>
        <w:top w:val="none" w:sz="0" w:space="0" w:color="auto"/>
        <w:left w:val="none" w:sz="0" w:space="0" w:color="auto"/>
        <w:bottom w:val="none" w:sz="0" w:space="0" w:color="auto"/>
        <w:right w:val="none" w:sz="0" w:space="0" w:color="auto"/>
      </w:divBdr>
    </w:div>
    <w:div w:id="215820390">
      <w:bodyDiv w:val="1"/>
      <w:marLeft w:val="240"/>
      <w:marRight w:val="240"/>
      <w:marTop w:val="240"/>
      <w:marBottom w:val="240"/>
      <w:divBdr>
        <w:top w:val="none" w:sz="0" w:space="0" w:color="auto"/>
        <w:left w:val="none" w:sz="0" w:space="0" w:color="auto"/>
        <w:bottom w:val="none" w:sz="0" w:space="0" w:color="auto"/>
        <w:right w:val="none" w:sz="0" w:space="0" w:color="auto"/>
      </w:divBdr>
      <w:divsChild>
        <w:div w:id="210461146">
          <w:marLeft w:val="0"/>
          <w:marRight w:val="0"/>
          <w:marTop w:val="0"/>
          <w:marBottom w:val="0"/>
          <w:divBdr>
            <w:top w:val="none" w:sz="0" w:space="0" w:color="auto"/>
            <w:left w:val="none" w:sz="0" w:space="0" w:color="auto"/>
            <w:bottom w:val="none" w:sz="0" w:space="0" w:color="auto"/>
            <w:right w:val="none" w:sz="0" w:space="0" w:color="auto"/>
          </w:divBdr>
          <w:divsChild>
            <w:div w:id="725646522">
              <w:marLeft w:val="0"/>
              <w:marRight w:val="0"/>
              <w:marTop w:val="0"/>
              <w:marBottom w:val="0"/>
              <w:divBdr>
                <w:top w:val="none" w:sz="0" w:space="0" w:color="auto"/>
                <w:left w:val="none" w:sz="0" w:space="0" w:color="auto"/>
                <w:bottom w:val="none" w:sz="0" w:space="0" w:color="auto"/>
                <w:right w:val="none" w:sz="0" w:space="0" w:color="auto"/>
              </w:divBdr>
              <w:divsChild>
                <w:div w:id="643588177">
                  <w:marLeft w:val="0"/>
                  <w:marRight w:val="0"/>
                  <w:marTop w:val="0"/>
                  <w:marBottom w:val="0"/>
                  <w:divBdr>
                    <w:top w:val="none" w:sz="0" w:space="0" w:color="auto"/>
                    <w:left w:val="none" w:sz="0" w:space="0" w:color="auto"/>
                    <w:bottom w:val="none" w:sz="0" w:space="0" w:color="auto"/>
                    <w:right w:val="none" w:sz="0" w:space="0" w:color="auto"/>
                  </w:divBdr>
                  <w:divsChild>
                    <w:div w:id="2131513777">
                      <w:marLeft w:val="0"/>
                      <w:marRight w:val="0"/>
                      <w:marTop w:val="0"/>
                      <w:marBottom w:val="0"/>
                      <w:divBdr>
                        <w:top w:val="none" w:sz="0" w:space="0" w:color="auto"/>
                        <w:left w:val="none" w:sz="0" w:space="0" w:color="auto"/>
                        <w:bottom w:val="none" w:sz="0" w:space="0" w:color="auto"/>
                        <w:right w:val="none" w:sz="0" w:space="0" w:color="auto"/>
                      </w:divBdr>
                      <w:divsChild>
                        <w:div w:id="1002583938">
                          <w:marLeft w:val="300"/>
                          <w:marRight w:val="300"/>
                          <w:marTop w:val="0"/>
                          <w:marBottom w:val="0"/>
                          <w:divBdr>
                            <w:top w:val="none" w:sz="0" w:space="0" w:color="auto"/>
                            <w:left w:val="none" w:sz="0" w:space="0" w:color="auto"/>
                            <w:bottom w:val="none" w:sz="0" w:space="0" w:color="auto"/>
                            <w:right w:val="none" w:sz="0" w:space="0" w:color="auto"/>
                          </w:divBdr>
                          <w:divsChild>
                            <w:div w:id="409083564">
                              <w:marLeft w:val="240"/>
                              <w:marRight w:val="240"/>
                              <w:marTop w:val="240"/>
                              <w:marBottom w:val="240"/>
                              <w:divBdr>
                                <w:top w:val="none" w:sz="0" w:space="0" w:color="auto"/>
                                <w:left w:val="none" w:sz="0" w:space="0" w:color="auto"/>
                                <w:bottom w:val="none" w:sz="0" w:space="0" w:color="auto"/>
                                <w:right w:val="none" w:sz="0" w:space="0" w:color="auto"/>
                              </w:divBdr>
                              <w:divsChild>
                                <w:div w:id="1978993031">
                                  <w:marLeft w:val="0"/>
                                  <w:marRight w:val="0"/>
                                  <w:marTop w:val="0"/>
                                  <w:marBottom w:val="0"/>
                                  <w:divBdr>
                                    <w:top w:val="none" w:sz="0" w:space="0" w:color="auto"/>
                                    <w:left w:val="none" w:sz="0" w:space="0" w:color="auto"/>
                                    <w:bottom w:val="none" w:sz="0" w:space="0" w:color="auto"/>
                                    <w:right w:val="none" w:sz="0" w:space="0" w:color="auto"/>
                                  </w:divBdr>
                                  <w:divsChild>
                                    <w:div w:id="201065495">
                                      <w:marLeft w:val="0"/>
                                      <w:marRight w:val="0"/>
                                      <w:marTop w:val="0"/>
                                      <w:marBottom w:val="0"/>
                                      <w:divBdr>
                                        <w:top w:val="single" w:sz="48" w:space="0" w:color="E1E1E1"/>
                                        <w:left w:val="none" w:sz="0" w:space="0" w:color="auto"/>
                                        <w:bottom w:val="none" w:sz="0" w:space="0" w:color="auto"/>
                                        <w:right w:val="none" w:sz="0" w:space="0" w:color="auto"/>
                                      </w:divBdr>
                                      <w:divsChild>
                                        <w:div w:id="127210217">
                                          <w:marLeft w:val="0"/>
                                          <w:marRight w:val="0"/>
                                          <w:marTop w:val="0"/>
                                          <w:marBottom w:val="0"/>
                                          <w:divBdr>
                                            <w:top w:val="none" w:sz="0" w:space="0" w:color="auto"/>
                                            <w:left w:val="none" w:sz="0" w:space="0" w:color="auto"/>
                                            <w:bottom w:val="none" w:sz="0" w:space="0" w:color="auto"/>
                                            <w:right w:val="none" w:sz="0" w:space="0" w:color="auto"/>
                                          </w:divBdr>
                                          <w:divsChild>
                                            <w:div w:id="111078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0672486">
      <w:bodyDiv w:val="1"/>
      <w:marLeft w:val="0"/>
      <w:marRight w:val="0"/>
      <w:marTop w:val="0"/>
      <w:marBottom w:val="0"/>
      <w:divBdr>
        <w:top w:val="none" w:sz="0" w:space="0" w:color="auto"/>
        <w:left w:val="none" w:sz="0" w:space="0" w:color="auto"/>
        <w:bottom w:val="none" w:sz="0" w:space="0" w:color="auto"/>
        <w:right w:val="none" w:sz="0" w:space="0" w:color="auto"/>
      </w:divBdr>
      <w:divsChild>
        <w:div w:id="1779906938">
          <w:marLeft w:val="0"/>
          <w:marRight w:val="0"/>
          <w:marTop w:val="144"/>
          <w:marBottom w:val="0"/>
          <w:divBdr>
            <w:top w:val="none" w:sz="0" w:space="0" w:color="auto"/>
            <w:left w:val="none" w:sz="0" w:space="0" w:color="auto"/>
            <w:bottom w:val="none" w:sz="0" w:space="0" w:color="auto"/>
            <w:right w:val="none" w:sz="0" w:space="0" w:color="auto"/>
          </w:divBdr>
          <w:divsChild>
            <w:div w:id="1724866182">
              <w:marLeft w:val="0"/>
              <w:marRight w:val="0"/>
              <w:marTop w:val="0"/>
              <w:marBottom w:val="0"/>
              <w:divBdr>
                <w:top w:val="none" w:sz="0" w:space="0" w:color="auto"/>
                <w:left w:val="none" w:sz="0" w:space="0" w:color="auto"/>
                <w:bottom w:val="none" w:sz="0" w:space="0" w:color="auto"/>
                <w:right w:val="none" w:sz="0" w:space="0" w:color="auto"/>
              </w:divBdr>
              <w:divsChild>
                <w:div w:id="861197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20990052">
      <w:bodyDiv w:val="1"/>
      <w:marLeft w:val="0"/>
      <w:marRight w:val="0"/>
      <w:marTop w:val="0"/>
      <w:marBottom w:val="0"/>
      <w:divBdr>
        <w:top w:val="none" w:sz="0" w:space="0" w:color="auto"/>
        <w:left w:val="none" w:sz="0" w:space="0" w:color="auto"/>
        <w:bottom w:val="none" w:sz="0" w:space="0" w:color="auto"/>
        <w:right w:val="none" w:sz="0" w:space="0" w:color="auto"/>
      </w:divBdr>
      <w:divsChild>
        <w:div w:id="802506724">
          <w:marLeft w:val="0"/>
          <w:marRight w:val="0"/>
          <w:marTop w:val="0"/>
          <w:marBottom w:val="0"/>
          <w:divBdr>
            <w:top w:val="none" w:sz="0" w:space="0" w:color="auto"/>
            <w:left w:val="none" w:sz="0" w:space="0" w:color="auto"/>
            <w:bottom w:val="none" w:sz="0" w:space="0" w:color="auto"/>
            <w:right w:val="none" w:sz="0" w:space="0" w:color="auto"/>
          </w:divBdr>
          <w:divsChild>
            <w:div w:id="2128770414">
              <w:marLeft w:val="1500"/>
              <w:marRight w:val="0"/>
              <w:marTop w:val="0"/>
              <w:marBottom w:val="0"/>
              <w:divBdr>
                <w:top w:val="none" w:sz="0" w:space="0" w:color="auto"/>
                <w:left w:val="none" w:sz="0" w:space="0" w:color="auto"/>
                <w:bottom w:val="none" w:sz="0" w:space="0" w:color="auto"/>
                <w:right w:val="none" w:sz="0" w:space="0" w:color="auto"/>
              </w:divBdr>
              <w:divsChild>
                <w:div w:id="251936389">
                  <w:marLeft w:val="300"/>
                  <w:marRight w:val="300"/>
                  <w:marTop w:val="0"/>
                  <w:marBottom w:val="0"/>
                  <w:divBdr>
                    <w:top w:val="none" w:sz="0" w:space="0" w:color="auto"/>
                    <w:left w:val="none" w:sz="0" w:space="0" w:color="auto"/>
                    <w:bottom w:val="none" w:sz="0" w:space="0" w:color="auto"/>
                    <w:right w:val="none" w:sz="0" w:space="0" w:color="auto"/>
                  </w:divBdr>
                  <w:divsChild>
                    <w:div w:id="159621209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 w:id="240914856">
      <w:bodyDiv w:val="1"/>
      <w:marLeft w:val="0"/>
      <w:marRight w:val="0"/>
      <w:marTop w:val="0"/>
      <w:marBottom w:val="0"/>
      <w:divBdr>
        <w:top w:val="none" w:sz="0" w:space="0" w:color="auto"/>
        <w:left w:val="none" w:sz="0" w:space="0" w:color="auto"/>
        <w:bottom w:val="none" w:sz="0" w:space="0" w:color="auto"/>
        <w:right w:val="none" w:sz="0" w:space="0" w:color="auto"/>
      </w:divBdr>
    </w:div>
    <w:div w:id="259261786">
      <w:bodyDiv w:val="1"/>
      <w:marLeft w:val="0"/>
      <w:marRight w:val="0"/>
      <w:marTop w:val="0"/>
      <w:marBottom w:val="0"/>
      <w:divBdr>
        <w:top w:val="none" w:sz="0" w:space="0" w:color="auto"/>
        <w:left w:val="none" w:sz="0" w:space="0" w:color="auto"/>
        <w:bottom w:val="none" w:sz="0" w:space="0" w:color="auto"/>
        <w:right w:val="none" w:sz="0" w:space="0" w:color="auto"/>
      </w:divBdr>
    </w:div>
    <w:div w:id="263466559">
      <w:bodyDiv w:val="1"/>
      <w:marLeft w:val="0"/>
      <w:marRight w:val="0"/>
      <w:marTop w:val="0"/>
      <w:marBottom w:val="0"/>
      <w:divBdr>
        <w:top w:val="none" w:sz="0" w:space="0" w:color="auto"/>
        <w:left w:val="none" w:sz="0" w:space="0" w:color="auto"/>
        <w:bottom w:val="none" w:sz="0" w:space="0" w:color="auto"/>
        <w:right w:val="none" w:sz="0" w:space="0" w:color="auto"/>
      </w:divBdr>
    </w:div>
    <w:div w:id="272981405">
      <w:bodyDiv w:val="1"/>
      <w:marLeft w:val="0"/>
      <w:marRight w:val="0"/>
      <w:marTop w:val="0"/>
      <w:marBottom w:val="0"/>
      <w:divBdr>
        <w:top w:val="none" w:sz="0" w:space="0" w:color="auto"/>
        <w:left w:val="none" w:sz="0" w:space="0" w:color="auto"/>
        <w:bottom w:val="none" w:sz="0" w:space="0" w:color="auto"/>
        <w:right w:val="none" w:sz="0" w:space="0" w:color="auto"/>
      </w:divBdr>
    </w:div>
    <w:div w:id="345597469">
      <w:bodyDiv w:val="1"/>
      <w:marLeft w:val="0"/>
      <w:marRight w:val="0"/>
      <w:marTop w:val="0"/>
      <w:marBottom w:val="0"/>
      <w:divBdr>
        <w:top w:val="none" w:sz="0" w:space="0" w:color="auto"/>
        <w:left w:val="none" w:sz="0" w:space="0" w:color="auto"/>
        <w:bottom w:val="none" w:sz="0" w:space="0" w:color="auto"/>
        <w:right w:val="none" w:sz="0" w:space="0" w:color="auto"/>
      </w:divBdr>
    </w:div>
    <w:div w:id="353386029">
      <w:bodyDiv w:val="1"/>
      <w:marLeft w:val="0"/>
      <w:marRight w:val="0"/>
      <w:marTop w:val="0"/>
      <w:marBottom w:val="0"/>
      <w:divBdr>
        <w:top w:val="none" w:sz="0" w:space="0" w:color="auto"/>
        <w:left w:val="none" w:sz="0" w:space="0" w:color="auto"/>
        <w:bottom w:val="none" w:sz="0" w:space="0" w:color="auto"/>
        <w:right w:val="none" w:sz="0" w:space="0" w:color="auto"/>
      </w:divBdr>
    </w:div>
    <w:div w:id="366103221">
      <w:bodyDiv w:val="1"/>
      <w:marLeft w:val="0"/>
      <w:marRight w:val="0"/>
      <w:marTop w:val="0"/>
      <w:marBottom w:val="0"/>
      <w:divBdr>
        <w:top w:val="none" w:sz="0" w:space="0" w:color="auto"/>
        <w:left w:val="none" w:sz="0" w:space="0" w:color="auto"/>
        <w:bottom w:val="none" w:sz="0" w:space="0" w:color="auto"/>
        <w:right w:val="none" w:sz="0" w:space="0" w:color="auto"/>
      </w:divBdr>
      <w:divsChild>
        <w:div w:id="88163683">
          <w:marLeft w:val="0"/>
          <w:marRight w:val="0"/>
          <w:marTop w:val="0"/>
          <w:marBottom w:val="0"/>
          <w:divBdr>
            <w:top w:val="none" w:sz="0" w:space="0" w:color="auto"/>
            <w:left w:val="none" w:sz="0" w:space="0" w:color="auto"/>
            <w:bottom w:val="none" w:sz="0" w:space="0" w:color="auto"/>
            <w:right w:val="none" w:sz="0" w:space="0" w:color="auto"/>
          </w:divBdr>
          <w:divsChild>
            <w:div w:id="1606961844">
              <w:marLeft w:val="0"/>
              <w:marRight w:val="0"/>
              <w:marTop w:val="0"/>
              <w:marBottom w:val="0"/>
              <w:divBdr>
                <w:top w:val="none" w:sz="0" w:space="0" w:color="auto"/>
                <w:left w:val="none" w:sz="0" w:space="0" w:color="auto"/>
                <w:bottom w:val="none" w:sz="0" w:space="0" w:color="auto"/>
                <w:right w:val="none" w:sz="0" w:space="0" w:color="auto"/>
              </w:divBdr>
              <w:divsChild>
                <w:div w:id="519123934">
                  <w:marLeft w:val="0"/>
                  <w:marRight w:val="0"/>
                  <w:marTop w:val="0"/>
                  <w:marBottom w:val="0"/>
                  <w:divBdr>
                    <w:top w:val="none" w:sz="0" w:space="0" w:color="auto"/>
                    <w:left w:val="none" w:sz="0" w:space="0" w:color="auto"/>
                    <w:bottom w:val="none" w:sz="0" w:space="0" w:color="auto"/>
                    <w:right w:val="none" w:sz="0" w:space="0" w:color="auto"/>
                  </w:divBdr>
                  <w:divsChild>
                    <w:div w:id="931547816">
                      <w:marLeft w:val="0"/>
                      <w:marRight w:val="0"/>
                      <w:marTop w:val="0"/>
                      <w:marBottom w:val="0"/>
                      <w:divBdr>
                        <w:top w:val="none" w:sz="0" w:space="0" w:color="auto"/>
                        <w:left w:val="none" w:sz="0" w:space="0" w:color="auto"/>
                        <w:bottom w:val="none" w:sz="0" w:space="0" w:color="auto"/>
                        <w:right w:val="none" w:sz="0" w:space="0" w:color="auto"/>
                      </w:divBdr>
                      <w:divsChild>
                        <w:div w:id="1626810040">
                          <w:marLeft w:val="0"/>
                          <w:marRight w:val="0"/>
                          <w:marTop w:val="0"/>
                          <w:marBottom w:val="0"/>
                          <w:divBdr>
                            <w:top w:val="none" w:sz="0" w:space="0" w:color="auto"/>
                            <w:left w:val="none" w:sz="0" w:space="0" w:color="auto"/>
                            <w:bottom w:val="none" w:sz="0" w:space="0" w:color="auto"/>
                            <w:right w:val="none" w:sz="0" w:space="0" w:color="auto"/>
                          </w:divBdr>
                          <w:divsChild>
                            <w:div w:id="1068842845">
                              <w:marLeft w:val="0"/>
                              <w:marRight w:val="0"/>
                              <w:marTop w:val="0"/>
                              <w:marBottom w:val="0"/>
                              <w:divBdr>
                                <w:top w:val="none" w:sz="0" w:space="0" w:color="auto"/>
                                <w:left w:val="none" w:sz="0" w:space="0" w:color="auto"/>
                                <w:bottom w:val="none" w:sz="0" w:space="0" w:color="auto"/>
                                <w:right w:val="none" w:sz="0" w:space="0" w:color="auto"/>
                              </w:divBdr>
                            </w:div>
                          </w:divsChild>
                        </w:div>
                        <w:div w:id="762383819">
                          <w:marLeft w:val="0"/>
                          <w:marRight w:val="0"/>
                          <w:marTop w:val="0"/>
                          <w:marBottom w:val="0"/>
                          <w:divBdr>
                            <w:top w:val="none" w:sz="0" w:space="0" w:color="auto"/>
                            <w:left w:val="none" w:sz="0" w:space="0" w:color="auto"/>
                            <w:bottom w:val="none" w:sz="0" w:space="0" w:color="auto"/>
                            <w:right w:val="none" w:sz="0" w:space="0" w:color="auto"/>
                          </w:divBdr>
                          <w:divsChild>
                            <w:div w:id="535773954">
                              <w:marLeft w:val="0"/>
                              <w:marRight w:val="0"/>
                              <w:marTop w:val="0"/>
                              <w:marBottom w:val="0"/>
                              <w:divBdr>
                                <w:top w:val="none" w:sz="0" w:space="0" w:color="auto"/>
                                <w:left w:val="none" w:sz="0" w:space="0" w:color="auto"/>
                                <w:bottom w:val="none" w:sz="0" w:space="0" w:color="auto"/>
                                <w:right w:val="none" w:sz="0" w:space="0" w:color="auto"/>
                              </w:divBdr>
                              <w:divsChild>
                                <w:div w:id="2059626390">
                                  <w:marLeft w:val="0"/>
                                  <w:marRight w:val="0"/>
                                  <w:marTop w:val="0"/>
                                  <w:marBottom w:val="0"/>
                                  <w:divBdr>
                                    <w:top w:val="none" w:sz="0" w:space="0" w:color="auto"/>
                                    <w:left w:val="none" w:sz="0" w:space="0" w:color="auto"/>
                                    <w:bottom w:val="none" w:sz="0" w:space="0" w:color="auto"/>
                                    <w:right w:val="none" w:sz="0" w:space="0" w:color="auto"/>
                                  </w:divBdr>
                                </w:div>
                                <w:div w:id="2121679229">
                                  <w:marLeft w:val="0"/>
                                  <w:marRight w:val="0"/>
                                  <w:marTop w:val="0"/>
                                  <w:marBottom w:val="0"/>
                                  <w:divBdr>
                                    <w:top w:val="none" w:sz="0" w:space="0" w:color="auto"/>
                                    <w:left w:val="none" w:sz="0" w:space="0" w:color="auto"/>
                                    <w:bottom w:val="none" w:sz="0" w:space="0" w:color="auto"/>
                                    <w:right w:val="none" w:sz="0" w:space="0" w:color="auto"/>
                                  </w:divBdr>
                                </w:div>
                                <w:div w:id="18329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409454">
      <w:bodyDiv w:val="1"/>
      <w:marLeft w:val="0"/>
      <w:marRight w:val="0"/>
      <w:marTop w:val="0"/>
      <w:marBottom w:val="0"/>
      <w:divBdr>
        <w:top w:val="none" w:sz="0" w:space="0" w:color="auto"/>
        <w:left w:val="none" w:sz="0" w:space="0" w:color="auto"/>
        <w:bottom w:val="none" w:sz="0" w:space="0" w:color="auto"/>
        <w:right w:val="none" w:sz="0" w:space="0" w:color="auto"/>
      </w:divBdr>
    </w:div>
    <w:div w:id="368998704">
      <w:bodyDiv w:val="1"/>
      <w:marLeft w:val="0"/>
      <w:marRight w:val="0"/>
      <w:marTop w:val="0"/>
      <w:marBottom w:val="0"/>
      <w:divBdr>
        <w:top w:val="none" w:sz="0" w:space="0" w:color="auto"/>
        <w:left w:val="none" w:sz="0" w:space="0" w:color="auto"/>
        <w:bottom w:val="none" w:sz="0" w:space="0" w:color="auto"/>
        <w:right w:val="none" w:sz="0" w:space="0" w:color="auto"/>
      </w:divBdr>
    </w:div>
    <w:div w:id="400907996">
      <w:bodyDiv w:val="1"/>
      <w:marLeft w:val="0"/>
      <w:marRight w:val="0"/>
      <w:marTop w:val="0"/>
      <w:marBottom w:val="0"/>
      <w:divBdr>
        <w:top w:val="none" w:sz="0" w:space="0" w:color="auto"/>
        <w:left w:val="none" w:sz="0" w:space="0" w:color="auto"/>
        <w:bottom w:val="none" w:sz="0" w:space="0" w:color="auto"/>
        <w:right w:val="none" w:sz="0" w:space="0" w:color="auto"/>
      </w:divBdr>
    </w:div>
    <w:div w:id="407574474">
      <w:bodyDiv w:val="1"/>
      <w:marLeft w:val="0"/>
      <w:marRight w:val="0"/>
      <w:marTop w:val="0"/>
      <w:marBottom w:val="0"/>
      <w:divBdr>
        <w:top w:val="none" w:sz="0" w:space="0" w:color="auto"/>
        <w:left w:val="none" w:sz="0" w:space="0" w:color="auto"/>
        <w:bottom w:val="none" w:sz="0" w:space="0" w:color="auto"/>
        <w:right w:val="none" w:sz="0" w:space="0" w:color="auto"/>
      </w:divBdr>
      <w:divsChild>
        <w:div w:id="2141142378">
          <w:marLeft w:val="0"/>
          <w:marRight w:val="0"/>
          <w:marTop w:val="0"/>
          <w:marBottom w:val="0"/>
          <w:divBdr>
            <w:top w:val="none" w:sz="0" w:space="0" w:color="auto"/>
            <w:left w:val="none" w:sz="0" w:space="0" w:color="auto"/>
            <w:bottom w:val="none" w:sz="0" w:space="0" w:color="auto"/>
            <w:right w:val="none" w:sz="0" w:space="0" w:color="auto"/>
          </w:divBdr>
          <w:divsChild>
            <w:div w:id="617031536">
              <w:marLeft w:val="0"/>
              <w:marRight w:val="0"/>
              <w:marTop w:val="0"/>
              <w:marBottom w:val="0"/>
              <w:divBdr>
                <w:top w:val="none" w:sz="0" w:space="0" w:color="auto"/>
                <w:left w:val="none" w:sz="0" w:space="0" w:color="auto"/>
                <w:bottom w:val="none" w:sz="0" w:space="0" w:color="auto"/>
                <w:right w:val="none" w:sz="0" w:space="0" w:color="auto"/>
              </w:divBdr>
              <w:divsChild>
                <w:div w:id="1125780217">
                  <w:marLeft w:val="0"/>
                  <w:marRight w:val="0"/>
                  <w:marTop w:val="0"/>
                  <w:marBottom w:val="0"/>
                  <w:divBdr>
                    <w:top w:val="none" w:sz="0" w:space="0" w:color="auto"/>
                    <w:left w:val="none" w:sz="0" w:space="0" w:color="auto"/>
                    <w:bottom w:val="none" w:sz="0" w:space="0" w:color="auto"/>
                    <w:right w:val="none" w:sz="0" w:space="0" w:color="auto"/>
                  </w:divBdr>
                  <w:divsChild>
                    <w:div w:id="294605726">
                      <w:marLeft w:val="0"/>
                      <w:marRight w:val="0"/>
                      <w:marTop w:val="0"/>
                      <w:marBottom w:val="0"/>
                      <w:divBdr>
                        <w:top w:val="none" w:sz="0" w:space="0" w:color="auto"/>
                        <w:left w:val="none" w:sz="0" w:space="0" w:color="auto"/>
                        <w:bottom w:val="none" w:sz="0" w:space="0" w:color="auto"/>
                        <w:right w:val="none" w:sz="0" w:space="0" w:color="auto"/>
                      </w:divBdr>
                      <w:divsChild>
                        <w:div w:id="7900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760210">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100755782">
          <w:marLeft w:val="0"/>
          <w:marRight w:val="0"/>
          <w:marTop w:val="0"/>
          <w:marBottom w:val="0"/>
          <w:divBdr>
            <w:top w:val="none" w:sz="0" w:space="0" w:color="auto"/>
            <w:left w:val="none" w:sz="0" w:space="0" w:color="auto"/>
            <w:bottom w:val="none" w:sz="0" w:space="0" w:color="auto"/>
            <w:right w:val="none" w:sz="0" w:space="0" w:color="auto"/>
          </w:divBdr>
          <w:divsChild>
            <w:div w:id="277643128">
              <w:marLeft w:val="0"/>
              <w:marRight w:val="0"/>
              <w:marTop w:val="0"/>
              <w:marBottom w:val="0"/>
              <w:divBdr>
                <w:top w:val="none" w:sz="0" w:space="0" w:color="auto"/>
                <w:left w:val="none" w:sz="0" w:space="0" w:color="auto"/>
                <w:bottom w:val="none" w:sz="0" w:space="0" w:color="auto"/>
                <w:right w:val="none" w:sz="0" w:space="0" w:color="auto"/>
              </w:divBdr>
              <w:divsChild>
                <w:div w:id="1989698801">
                  <w:marLeft w:val="0"/>
                  <w:marRight w:val="0"/>
                  <w:marTop w:val="0"/>
                  <w:marBottom w:val="0"/>
                  <w:divBdr>
                    <w:top w:val="none" w:sz="0" w:space="0" w:color="auto"/>
                    <w:left w:val="none" w:sz="0" w:space="0" w:color="auto"/>
                    <w:bottom w:val="none" w:sz="0" w:space="0" w:color="auto"/>
                    <w:right w:val="none" w:sz="0" w:space="0" w:color="auto"/>
                  </w:divBdr>
                  <w:divsChild>
                    <w:div w:id="1808159753">
                      <w:marLeft w:val="0"/>
                      <w:marRight w:val="0"/>
                      <w:marTop w:val="0"/>
                      <w:marBottom w:val="0"/>
                      <w:divBdr>
                        <w:top w:val="none" w:sz="0" w:space="0" w:color="auto"/>
                        <w:left w:val="none" w:sz="0" w:space="0" w:color="auto"/>
                        <w:bottom w:val="none" w:sz="0" w:space="0" w:color="auto"/>
                        <w:right w:val="none" w:sz="0" w:space="0" w:color="auto"/>
                      </w:divBdr>
                      <w:divsChild>
                        <w:div w:id="1248464920">
                          <w:marLeft w:val="300"/>
                          <w:marRight w:val="300"/>
                          <w:marTop w:val="0"/>
                          <w:marBottom w:val="0"/>
                          <w:divBdr>
                            <w:top w:val="none" w:sz="0" w:space="0" w:color="auto"/>
                            <w:left w:val="none" w:sz="0" w:space="0" w:color="auto"/>
                            <w:bottom w:val="none" w:sz="0" w:space="0" w:color="auto"/>
                            <w:right w:val="none" w:sz="0" w:space="0" w:color="auto"/>
                          </w:divBdr>
                          <w:divsChild>
                            <w:div w:id="1744909751">
                              <w:marLeft w:val="240"/>
                              <w:marRight w:val="240"/>
                              <w:marTop w:val="240"/>
                              <w:marBottom w:val="240"/>
                              <w:divBdr>
                                <w:top w:val="none" w:sz="0" w:space="0" w:color="auto"/>
                                <w:left w:val="none" w:sz="0" w:space="0" w:color="auto"/>
                                <w:bottom w:val="none" w:sz="0" w:space="0" w:color="auto"/>
                                <w:right w:val="none" w:sz="0" w:space="0" w:color="auto"/>
                              </w:divBdr>
                              <w:divsChild>
                                <w:div w:id="885222463">
                                  <w:marLeft w:val="0"/>
                                  <w:marRight w:val="0"/>
                                  <w:marTop w:val="0"/>
                                  <w:marBottom w:val="0"/>
                                  <w:divBdr>
                                    <w:top w:val="none" w:sz="0" w:space="0" w:color="auto"/>
                                    <w:left w:val="none" w:sz="0" w:space="0" w:color="auto"/>
                                    <w:bottom w:val="none" w:sz="0" w:space="0" w:color="auto"/>
                                    <w:right w:val="none" w:sz="0" w:space="0" w:color="auto"/>
                                  </w:divBdr>
                                  <w:divsChild>
                                    <w:div w:id="1038705639">
                                      <w:marLeft w:val="0"/>
                                      <w:marRight w:val="0"/>
                                      <w:marTop w:val="0"/>
                                      <w:marBottom w:val="0"/>
                                      <w:divBdr>
                                        <w:top w:val="single" w:sz="48" w:space="0" w:color="E1E1E1"/>
                                        <w:left w:val="none" w:sz="0" w:space="0" w:color="auto"/>
                                        <w:bottom w:val="none" w:sz="0" w:space="0" w:color="auto"/>
                                        <w:right w:val="none" w:sz="0" w:space="0" w:color="auto"/>
                                      </w:divBdr>
                                      <w:divsChild>
                                        <w:div w:id="1669017845">
                                          <w:marLeft w:val="0"/>
                                          <w:marRight w:val="0"/>
                                          <w:marTop w:val="0"/>
                                          <w:marBottom w:val="0"/>
                                          <w:divBdr>
                                            <w:top w:val="none" w:sz="0" w:space="0" w:color="auto"/>
                                            <w:left w:val="none" w:sz="0" w:space="0" w:color="auto"/>
                                            <w:bottom w:val="none" w:sz="0" w:space="0" w:color="auto"/>
                                            <w:right w:val="none" w:sz="0" w:space="0" w:color="auto"/>
                                          </w:divBdr>
                                          <w:divsChild>
                                            <w:div w:id="696663450">
                                              <w:marLeft w:val="0"/>
                                              <w:marRight w:val="0"/>
                                              <w:marTop w:val="0"/>
                                              <w:marBottom w:val="0"/>
                                              <w:divBdr>
                                                <w:top w:val="none" w:sz="0" w:space="0" w:color="auto"/>
                                                <w:left w:val="none" w:sz="0" w:space="0" w:color="auto"/>
                                                <w:bottom w:val="none" w:sz="0" w:space="0" w:color="auto"/>
                                                <w:right w:val="none" w:sz="0" w:space="0" w:color="auto"/>
                                              </w:divBdr>
                                              <w:divsChild>
                                                <w:div w:id="18180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6974801">
      <w:bodyDiv w:val="1"/>
      <w:marLeft w:val="0"/>
      <w:marRight w:val="0"/>
      <w:marTop w:val="0"/>
      <w:marBottom w:val="0"/>
      <w:divBdr>
        <w:top w:val="none" w:sz="0" w:space="0" w:color="auto"/>
        <w:left w:val="none" w:sz="0" w:space="0" w:color="auto"/>
        <w:bottom w:val="none" w:sz="0" w:space="0" w:color="auto"/>
        <w:right w:val="none" w:sz="0" w:space="0" w:color="auto"/>
      </w:divBdr>
    </w:div>
    <w:div w:id="469639310">
      <w:bodyDiv w:val="1"/>
      <w:marLeft w:val="0"/>
      <w:marRight w:val="0"/>
      <w:marTop w:val="0"/>
      <w:marBottom w:val="0"/>
      <w:divBdr>
        <w:top w:val="none" w:sz="0" w:space="0" w:color="auto"/>
        <w:left w:val="none" w:sz="0" w:space="0" w:color="auto"/>
        <w:bottom w:val="none" w:sz="0" w:space="0" w:color="auto"/>
        <w:right w:val="none" w:sz="0" w:space="0" w:color="auto"/>
      </w:divBdr>
    </w:div>
    <w:div w:id="485560812">
      <w:bodyDiv w:val="1"/>
      <w:marLeft w:val="0"/>
      <w:marRight w:val="0"/>
      <w:marTop w:val="0"/>
      <w:marBottom w:val="0"/>
      <w:divBdr>
        <w:top w:val="none" w:sz="0" w:space="0" w:color="auto"/>
        <w:left w:val="none" w:sz="0" w:space="0" w:color="auto"/>
        <w:bottom w:val="none" w:sz="0" w:space="0" w:color="auto"/>
        <w:right w:val="none" w:sz="0" w:space="0" w:color="auto"/>
      </w:divBdr>
      <w:divsChild>
        <w:div w:id="1748186800">
          <w:marLeft w:val="0"/>
          <w:marRight w:val="0"/>
          <w:marTop w:val="0"/>
          <w:marBottom w:val="0"/>
          <w:divBdr>
            <w:top w:val="none" w:sz="0" w:space="0" w:color="auto"/>
            <w:left w:val="none" w:sz="0" w:space="0" w:color="auto"/>
            <w:bottom w:val="none" w:sz="0" w:space="0" w:color="auto"/>
            <w:right w:val="none" w:sz="0" w:space="0" w:color="auto"/>
          </w:divBdr>
          <w:divsChild>
            <w:div w:id="1191260399">
              <w:marLeft w:val="0"/>
              <w:marRight w:val="0"/>
              <w:marTop w:val="0"/>
              <w:marBottom w:val="0"/>
              <w:divBdr>
                <w:top w:val="none" w:sz="0" w:space="0" w:color="auto"/>
                <w:left w:val="none" w:sz="0" w:space="0" w:color="auto"/>
                <w:bottom w:val="none" w:sz="0" w:space="0" w:color="auto"/>
                <w:right w:val="none" w:sz="0" w:space="0" w:color="auto"/>
              </w:divBdr>
              <w:divsChild>
                <w:div w:id="502284938">
                  <w:marLeft w:val="0"/>
                  <w:marRight w:val="0"/>
                  <w:marTop w:val="0"/>
                  <w:marBottom w:val="0"/>
                  <w:divBdr>
                    <w:top w:val="none" w:sz="0" w:space="0" w:color="auto"/>
                    <w:left w:val="none" w:sz="0" w:space="0" w:color="auto"/>
                    <w:bottom w:val="none" w:sz="0" w:space="0" w:color="auto"/>
                    <w:right w:val="none" w:sz="0" w:space="0" w:color="auto"/>
                  </w:divBdr>
                  <w:divsChild>
                    <w:div w:id="952974478">
                      <w:marLeft w:val="0"/>
                      <w:marRight w:val="0"/>
                      <w:marTop w:val="0"/>
                      <w:marBottom w:val="0"/>
                      <w:divBdr>
                        <w:top w:val="none" w:sz="0" w:space="0" w:color="auto"/>
                        <w:left w:val="none" w:sz="0" w:space="0" w:color="auto"/>
                        <w:bottom w:val="none" w:sz="0" w:space="0" w:color="auto"/>
                        <w:right w:val="none" w:sz="0" w:space="0" w:color="auto"/>
                      </w:divBdr>
                      <w:divsChild>
                        <w:div w:id="1238515684">
                          <w:marLeft w:val="0"/>
                          <w:marRight w:val="0"/>
                          <w:marTop w:val="0"/>
                          <w:marBottom w:val="0"/>
                          <w:divBdr>
                            <w:top w:val="none" w:sz="0" w:space="0" w:color="auto"/>
                            <w:left w:val="none" w:sz="0" w:space="0" w:color="auto"/>
                            <w:bottom w:val="none" w:sz="0" w:space="0" w:color="auto"/>
                            <w:right w:val="none" w:sz="0" w:space="0" w:color="auto"/>
                          </w:divBdr>
                          <w:divsChild>
                            <w:div w:id="981731948">
                              <w:marLeft w:val="0"/>
                              <w:marRight w:val="0"/>
                              <w:marTop w:val="0"/>
                              <w:marBottom w:val="0"/>
                              <w:divBdr>
                                <w:top w:val="none" w:sz="0" w:space="0" w:color="auto"/>
                                <w:left w:val="none" w:sz="0" w:space="0" w:color="auto"/>
                                <w:bottom w:val="none" w:sz="0" w:space="0" w:color="auto"/>
                                <w:right w:val="none" w:sz="0" w:space="0" w:color="auto"/>
                              </w:divBdr>
                              <w:divsChild>
                                <w:div w:id="1657882537">
                                  <w:marLeft w:val="0"/>
                                  <w:marRight w:val="0"/>
                                  <w:marTop w:val="0"/>
                                  <w:marBottom w:val="0"/>
                                  <w:divBdr>
                                    <w:top w:val="none" w:sz="0" w:space="0" w:color="auto"/>
                                    <w:left w:val="none" w:sz="0" w:space="0" w:color="auto"/>
                                    <w:bottom w:val="none" w:sz="0" w:space="0" w:color="auto"/>
                                    <w:right w:val="none" w:sz="0" w:space="0" w:color="auto"/>
                                  </w:divBdr>
                                  <w:divsChild>
                                    <w:div w:id="660156335">
                                      <w:marLeft w:val="0"/>
                                      <w:marRight w:val="0"/>
                                      <w:marTop w:val="0"/>
                                      <w:marBottom w:val="0"/>
                                      <w:divBdr>
                                        <w:top w:val="single" w:sz="6" w:space="0" w:color="F5F5F5"/>
                                        <w:left w:val="single" w:sz="6" w:space="0" w:color="F5F5F5"/>
                                        <w:bottom w:val="single" w:sz="6" w:space="0" w:color="F5F5F5"/>
                                        <w:right w:val="single" w:sz="6" w:space="0" w:color="F5F5F5"/>
                                      </w:divBdr>
                                      <w:divsChild>
                                        <w:div w:id="1488591992">
                                          <w:marLeft w:val="0"/>
                                          <w:marRight w:val="0"/>
                                          <w:marTop w:val="0"/>
                                          <w:marBottom w:val="0"/>
                                          <w:divBdr>
                                            <w:top w:val="none" w:sz="0" w:space="0" w:color="auto"/>
                                            <w:left w:val="none" w:sz="0" w:space="0" w:color="auto"/>
                                            <w:bottom w:val="none" w:sz="0" w:space="0" w:color="auto"/>
                                            <w:right w:val="none" w:sz="0" w:space="0" w:color="auto"/>
                                          </w:divBdr>
                                          <w:divsChild>
                                            <w:div w:id="11523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1332156">
      <w:bodyDiv w:val="1"/>
      <w:marLeft w:val="0"/>
      <w:marRight w:val="0"/>
      <w:marTop w:val="0"/>
      <w:marBottom w:val="0"/>
      <w:divBdr>
        <w:top w:val="none" w:sz="0" w:space="0" w:color="auto"/>
        <w:left w:val="none" w:sz="0" w:space="0" w:color="auto"/>
        <w:bottom w:val="none" w:sz="0" w:space="0" w:color="auto"/>
        <w:right w:val="none" w:sz="0" w:space="0" w:color="auto"/>
      </w:divBdr>
    </w:div>
    <w:div w:id="499778868">
      <w:bodyDiv w:val="1"/>
      <w:marLeft w:val="0"/>
      <w:marRight w:val="0"/>
      <w:marTop w:val="0"/>
      <w:marBottom w:val="0"/>
      <w:divBdr>
        <w:top w:val="none" w:sz="0" w:space="0" w:color="auto"/>
        <w:left w:val="none" w:sz="0" w:space="0" w:color="auto"/>
        <w:bottom w:val="none" w:sz="0" w:space="0" w:color="auto"/>
        <w:right w:val="none" w:sz="0" w:space="0" w:color="auto"/>
      </w:divBdr>
    </w:div>
    <w:div w:id="500778898">
      <w:bodyDiv w:val="1"/>
      <w:marLeft w:val="0"/>
      <w:marRight w:val="0"/>
      <w:marTop w:val="0"/>
      <w:marBottom w:val="0"/>
      <w:divBdr>
        <w:top w:val="none" w:sz="0" w:space="0" w:color="auto"/>
        <w:left w:val="none" w:sz="0" w:space="0" w:color="auto"/>
        <w:bottom w:val="none" w:sz="0" w:space="0" w:color="auto"/>
        <w:right w:val="none" w:sz="0" w:space="0" w:color="auto"/>
      </w:divBdr>
      <w:divsChild>
        <w:div w:id="978458049">
          <w:marLeft w:val="0"/>
          <w:marRight w:val="0"/>
          <w:marTop w:val="0"/>
          <w:marBottom w:val="0"/>
          <w:divBdr>
            <w:top w:val="none" w:sz="0" w:space="0" w:color="auto"/>
            <w:left w:val="none" w:sz="0" w:space="0" w:color="auto"/>
            <w:bottom w:val="none" w:sz="0" w:space="0" w:color="auto"/>
            <w:right w:val="none" w:sz="0" w:space="0" w:color="auto"/>
          </w:divBdr>
          <w:divsChild>
            <w:div w:id="119686574">
              <w:marLeft w:val="0"/>
              <w:marRight w:val="0"/>
              <w:marTop w:val="0"/>
              <w:marBottom w:val="0"/>
              <w:divBdr>
                <w:top w:val="none" w:sz="0" w:space="0" w:color="auto"/>
                <w:left w:val="none" w:sz="0" w:space="0" w:color="auto"/>
                <w:bottom w:val="none" w:sz="0" w:space="0" w:color="auto"/>
                <w:right w:val="none" w:sz="0" w:space="0" w:color="auto"/>
              </w:divBdr>
              <w:divsChild>
                <w:div w:id="963194550">
                  <w:marLeft w:val="0"/>
                  <w:marRight w:val="0"/>
                  <w:marTop w:val="0"/>
                  <w:marBottom w:val="0"/>
                  <w:divBdr>
                    <w:top w:val="none" w:sz="0" w:space="0" w:color="auto"/>
                    <w:left w:val="none" w:sz="0" w:space="0" w:color="auto"/>
                    <w:bottom w:val="none" w:sz="0" w:space="0" w:color="auto"/>
                    <w:right w:val="none" w:sz="0" w:space="0" w:color="auto"/>
                  </w:divBdr>
                  <w:divsChild>
                    <w:div w:id="1398357044">
                      <w:marLeft w:val="0"/>
                      <w:marRight w:val="0"/>
                      <w:marTop w:val="0"/>
                      <w:marBottom w:val="0"/>
                      <w:divBdr>
                        <w:top w:val="none" w:sz="0" w:space="0" w:color="auto"/>
                        <w:left w:val="none" w:sz="0" w:space="0" w:color="auto"/>
                        <w:bottom w:val="none" w:sz="0" w:space="0" w:color="auto"/>
                        <w:right w:val="none" w:sz="0" w:space="0" w:color="auto"/>
                      </w:divBdr>
                      <w:divsChild>
                        <w:div w:id="152335500">
                          <w:marLeft w:val="0"/>
                          <w:marRight w:val="0"/>
                          <w:marTop w:val="0"/>
                          <w:marBottom w:val="0"/>
                          <w:divBdr>
                            <w:top w:val="none" w:sz="0" w:space="0" w:color="auto"/>
                            <w:left w:val="none" w:sz="0" w:space="0" w:color="auto"/>
                            <w:bottom w:val="none" w:sz="0" w:space="0" w:color="auto"/>
                            <w:right w:val="none" w:sz="0" w:space="0" w:color="auto"/>
                          </w:divBdr>
                          <w:divsChild>
                            <w:div w:id="819342199">
                              <w:marLeft w:val="0"/>
                              <w:marRight w:val="0"/>
                              <w:marTop w:val="0"/>
                              <w:marBottom w:val="0"/>
                              <w:divBdr>
                                <w:top w:val="none" w:sz="0" w:space="0" w:color="auto"/>
                                <w:left w:val="none" w:sz="0" w:space="0" w:color="auto"/>
                                <w:bottom w:val="none" w:sz="0" w:space="0" w:color="auto"/>
                                <w:right w:val="none" w:sz="0" w:space="0" w:color="auto"/>
                              </w:divBdr>
                              <w:divsChild>
                                <w:div w:id="469903694">
                                  <w:marLeft w:val="0"/>
                                  <w:marRight w:val="0"/>
                                  <w:marTop w:val="0"/>
                                  <w:marBottom w:val="0"/>
                                  <w:divBdr>
                                    <w:top w:val="none" w:sz="0" w:space="0" w:color="auto"/>
                                    <w:left w:val="none" w:sz="0" w:space="0" w:color="auto"/>
                                    <w:bottom w:val="none" w:sz="0" w:space="0" w:color="auto"/>
                                    <w:right w:val="none" w:sz="0" w:space="0" w:color="auto"/>
                                  </w:divBdr>
                                  <w:divsChild>
                                    <w:div w:id="978801574">
                                      <w:marLeft w:val="0"/>
                                      <w:marRight w:val="0"/>
                                      <w:marTop w:val="0"/>
                                      <w:marBottom w:val="0"/>
                                      <w:divBdr>
                                        <w:top w:val="single" w:sz="6" w:space="0" w:color="F5F5F5"/>
                                        <w:left w:val="single" w:sz="6" w:space="0" w:color="F5F5F5"/>
                                        <w:bottom w:val="single" w:sz="6" w:space="0" w:color="F5F5F5"/>
                                        <w:right w:val="single" w:sz="6" w:space="0" w:color="F5F5F5"/>
                                      </w:divBdr>
                                      <w:divsChild>
                                        <w:div w:id="618798617">
                                          <w:marLeft w:val="0"/>
                                          <w:marRight w:val="0"/>
                                          <w:marTop w:val="0"/>
                                          <w:marBottom w:val="0"/>
                                          <w:divBdr>
                                            <w:top w:val="none" w:sz="0" w:space="0" w:color="auto"/>
                                            <w:left w:val="none" w:sz="0" w:space="0" w:color="auto"/>
                                            <w:bottom w:val="none" w:sz="0" w:space="0" w:color="auto"/>
                                            <w:right w:val="none" w:sz="0" w:space="0" w:color="auto"/>
                                          </w:divBdr>
                                          <w:divsChild>
                                            <w:div w:id="105693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907816">
      <w:bodyDiv w:val="1"/>
      <w:marLeft w:val="0"/>
      <w:marRight w:val="0"/>
      <w:marTop w:val="0"/>
      <w:marBottom w:val="0"/>
      <w:divBdr>
        <w:top w:val="none" w:sz="0" w:space="0" w:color="auto"/>
        <w:left w:val="none" w:sz="0" w:space="0" w:color="auto"/>
        <w:bottom w:val="none" w:sz="0" w:space="0" w:color="auto"/>
        <w:right w:val="none" w:sz="0" w:space="0" w:color="auto"/>
      </w:divBdr>
    </w:div>
    <w:div w:id="509610143">
      <w:bodyDiv w:val="1"/>
      <w:marLeft w:val="0"/>
      <w:marRight w:val="0"/>
      <w:marTop w:val="0"/>
      <w:marBottom w:val="0"/>
      <w:divBdr>
        <w:top w:val="none" w:sz="0" w:space="0" w:color="auto"/>
        <w:left w:val="none" w:sz="0" w:space="0" w:color="auto"/>
        <w:bottom w:val="none" w:sz="0" w:space="0" w:color="auto"/>
        <w:right w:val="none" w:sz="0" w:space="0" w:color="auto"/>
      </w:divBdr>
      <w:divsChild>
        <w:div w:id="1437482446">
          <w:marLeft w:val="0"/>
          <w:marRight w:val="0"/>
          <w:marTop w:val="0"/>
          <w:marBottom w:val="0"/>
          <w:divBdr>
            <w:top w:val="none" w:sz="0" w:space="0" w:color="auto"/>
            <w:left w:val="none" w:sz="0" w:space="0" w:color="auto"/>
            <w:bottom w:val="none" w:sz="0" w:space="0" w:color="auto"/>
            <w:right w:val="none" w:sz="0" w:space="0" w:color="auto"/>
          </w:divBdr>
          <w:divsChild>
            <w:div w:id="543562829">
              <w:marLeft w:val="0"/>
              <w:marRight w:val="0"/>
              <w:marTop w:val="0"/>
              <w:marBottom w:val="0"/>
              <w:divBdr>
                <w:top w:val="none" w:sz="0" w:space="0" w:color="auto"/>
                <w:left w:val="none" w:sz="0" w:space="0" w:color="auto"/>
                <w:bottom w:val="none" w:sz="0" w:space="0" w:color="auto"/>
                <w:right w:val="none" w:sz="0" w:space="0" w:color="auto"/>
              </w:divBdr>
              <w:divsChild>
                <w:div w:id="727460197">
                  <w:marLeft w:val="0"/>
                  <w:marRight w:val="0"/>
                  <w:marTop w:val="0"/>
                  <w:marBottom w:val="0"/>
                  <w:divBdr>
                    <w:top w:val="none" w:sz="0" w:space="0" w:color="auto"/>
                    <w:left w:val="none" w:sz="0" w:space="0" w:color="auto"/>
                    <w:bottom w:val="none" w:sz="0" w:space="0" w:color="auto"/>
                    <w:right w:val="none" w:sz="0" w:space="0" w:color="auto"/>
                  </w:divBdr>
                  <w:divsChild>
                    <w:div w:id="570625029">
                      <w:marLeft w:val="0"/>
                      <w:marRight w:val="0"/>
                      <w:marTop w:val="300"/>
                      <w:marBottom w:val="0"/>
                      <w:divBdr>
                        <w:top w:val="none" w:sz="0" w:space="0" w:color="auto"/>
                        <w:left w:val="none" w:sz="0" w:space="0" w:color="auto"/>
                        <w:bottom w:val="none" w:sz="0" w:space="0" w:color="auto"/>
                        <w:right w:val="none" w:sz="0" w:space="0" w:color="auto"/>
                      </w:divBdr>
                      <w:divsChild>
                        <w:div w:id="1607228320">
                          <w:marLeft w:val="0"/>
                          <w:marRight w:val="0"/>
                          <w:marTop w:val="0"/>
                          <w:marBottom w:val="0"/>
                          <w:divBdr>
                            <w:top w:val="none" w:sz="0" w:space="0" w:color="auto"/>
                            <w:left w:val="none" w:sz="0" w:space="0" w:color="auto"/>
                            <w:bottom w:val="none" w:sz="0" w:space="0" w:color="auto"/>
                            <w:right w:val="none" w:sz="0" w:space="0" w:color="auto"/>
                          </w:divBdr>
                          <w:divsChild>
                            <w:div w:id="1793859545">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226783">
      <w:bodyDiv w:val="1"/>
      <w:marLeft w:val="0"/>
      <w:marRight w:val="0"/>
      <w:marTop w:val="0"/>
      <w:marBottom w:val="0"/>
      <w:divBdr>
        <w:top w:val="none" w:sz="0" w:space="0" w:color="auto"/>
        <w:left w:val="none" w:sz="0" w:space="0" w:color="auto"/>
        <w:bottom w:val="none" w:sz="0" w:space="0" w:color="auto"/>
        <w:right w:val="none" w:sz="0" w:space="0" w:color="auto"/>
      </w:divBdr>
    </w:div>
    <w:div w:id="595596418">
      <w:bodyDiv w:val="1"/>
      <w:marLeft w:val="0"/>
      <w:marRight w:val="0"/>
      <w:marTop w:val="0"/>
      <w:marBottom w:val="0"/>
      <w:divBdr>
        <w:top w:val="none" w:sz="0" w:space="0" w:color="auto"/>
        <w:left w:val="none" w:sz="0" w:space="0" w:color="auto"/>
        <w:bottom w:val="none" w:sz="0" w:space="0" w:color="auto"/>
        <w:right w:val="none" w:sz="0" w:space="0" w:color="auto"/>
      </w:divBdr>
    </w:div>
    <w:div w:id="612438120">
      <w:bodyDiv w:val="1"/>
      <w:marLeft w:val="0"/>
      <w:marRight w:val="0"/>
      <w:marTop w:val="0"/>
      <w:marBottom w:val="0"/>
      <w:divBdr>
        <w:top w:val="none" w:sz="0" w:space="0" w:color="auto"/>
        <w:left w:val="none" w:sz="0" w:space="0" w:color="auto"/>
        <w:bottom w:val="none" w:sz="0" w:space="0" w:color="auto"/>
        <w:right w:val="none" w:sz="0" w:space="0" w:color="auto"/>
      </w:divBdr>
    </w:div>
    <w:div w:id="634481170">
      <w:bodyDiv w:val="1"/>
      <w:marLeft w:val="0"/>
      <w:marRight w:val="0"/>
      <w:marTop w:val="0"/>
      <w:marBottom w:val="0"/>
      <w:divBdr>
        <w:top w:val="none" w:sz="0" w:space="0" w:color="auto"/>
        <w:left w:val="none" w:sz="0" w:space="0" w:color="auto"/>
        <w:bottom w:val="none" w:sz="0" w:space="0" w:color="auto"/>
        <w:right w:val="none" w:sz="0" w:space="0" w:color="auto"/>
      </w:divBdr>
      <w:divsChild>
        <w:div w:id="262106361">
          <w:marLeft w:val="0"/>
          <w:marRight w:val="0"/>
          <w:marTop w:val="0"/>
          <w:marBottom w:val="0"/>
          <w:divBdr>
            <w:top w:val="none" w:sz="0" w:space="0" w:color="auto"/>
            <w:left w:val="none" w:sz="0" w:space="0" w:color="auto"/>
            <w:bottom w:val="none" w:sz="0" w:space="0" w:color="auto"/>
            <w:right w:val="none" w:sz="0" w:space="0" w:color="auto"/>
          </w:divBdr>
        </w:div>
      </w:divsChild>
    </w:div>
    <w:div w:id="641615775">
      <w:bodyDiv w:val="1"/>
      <w:marLeft w:val="0"/>
      <w:marRight w:val="0"/>
      <w:marTop w:val="0"/>
      <w:marBottom w:val="0"/>
      <w:divBdr>
        <w:top w:val="none" w:sz="0" w:space="0" w:color="auto"/>
        <w:left w:val="none" w:sz="0" w:space="0" w:color="auto"/>
        <w:bottom w:val="none" w:sz="0" w:space="0" w:color="auto"/>
        <w:right w:val="none" w:sz="0" w:space="0" w:color="auto"/>
      </w:divBdr>
      <w:divsChild>
        <w:div w:id="770783991">
          <w:marLeft w:val="0"/>
          <w:marRight w:val="0"/>
          <w:marTop w:val="0"/>
          <w:marBottom w:val="0"/>
          <w:divBdr>
            <w:top w:val="none" w:sz="0" w:space="0" w:color="auto"/>
            <w:left w:val="none" w:sz="0" w:space="0" w:color="auto"/>
            <w:bottom w:val="none" w:sz="0" w:space="0" w:color="auto"/>
            <w:right w:val="none" w:sz="0" w:space="0" w:color="auto"/>
          </w:divBdr>
          <w:divsChild>
            <w:div w:id="1283877910">
              <w:marLeft w:val="0"/>
              <w:marRight w:val="0"/>
              <w:marTop w:val="0"/>
              <w:marBottom w:val="0"/>
              <w:divBdr>
                <w:top w:val="none" w:sz="0" w:space="0" w:color="auto"/>
                <w:left w:val="none" w:sz="0" w:space="0" w:color="auto"/>
                <w:bottom w:val="none" w:sz="0" w:space="0" w:color="auto"/>
                <w:right w:val="none" w:sz="0" w:space="0" w:color="auto"/>
              </w:divBdr>
              <w:divsChild>
                <w:div w:id="872498163">
                  <w:marLeft w:val="0"/>
                  <w:marRight w:val="0"/>
                  <w:marTop w:val="0"/>
                  <w:marBottom w:val="0"/>
                  <w:divBdr>
                    <w:top w:val="none" w:sz="0" w:space="0" w:color="auto"/>
                    <w:left w:val="none" w:sz="0" w:space="0" w:color="auto"/>
                    <w:bottom w:val="none" w:sz="0" w:space="0" w:color="auto"/>
                    <w:right w:val="none" w:sz="0" w:space="0" w:color="auto"/>
                  </w:divBdr>
                  <w:divsChild>
                    <w:div w:id="719131721">
                      <w:marLeft w:val="0"/>
                      <w:marRight w:val="0"/>
                      <w:marTop w:val="0"/>
                      <w:marBottom w:val="0"/>
                      <w:divBdr>
                        <w:top w:val="none" w:sz="0" w:space="0" w:color="auto"/>
                        <w:left w:val="none" w:sz="0" w:space="0" w:color="auto"/>
                        <w:bottom w:val="none" w:sz="0" w:space="0" w:color="auto"/>
                        <w:right w:val="none" w:sz="0" w:space="0" w:color="auto"/>
                      </w:divBdr>
                      <w:divsChild>
                        <w:div w:id="818156533">
                          <w:marLeft w:val="0"/>
                          <w:marRight w:val="0"/>
                          <w:marTop w:val="0"/>
                          <w:marBottom w:val="0"/>
                          <w:divBdr>
                            <w:top w:val="none" w:sz="0" w:space="0" w:color="auto"/>
                            <w:left w:val="none" w:sz="0" w:space="0" w:color="auto"/>
                            <w:bottom w:val="none" w:sz="0" w:space="0" w:color="auto"/>
                            <w:right w:val="none" w:sz="0" w:space="0" w:color="auto"/>
                          </w:divBdr>
                          <w:divsChild>
                            <w:div w:id="1873957938">
                              <w:marLeft w:val="0"/>
                              <w:marRight w:val="0"/>
                              <w:marTop w:val="0"/>
                              <w:marBottom w:val="255"/>
                              <w:divBdr>
                                <w:top w:val="none" w:sz="0" w:space="0" w:color="auto"/>
                                <w:left w:val="none" w:sz="0" w:space="0" w:color="auto"/>
                                <w:bottom w:val="none" w:sz="0" w:space="0" w:color="auto"/>
                                <w:right w:val="none" w:sz="0" w:space="0" w:color="auto"/>
                              </w:divBdr>
                              <w:divsChild>
                                <w:div w:id="149025042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321">
      <w:bodyDiv w:val="1"/>
      <w:marLeft w:val="0"/>
      <w:marRight w:val="0"/>
      <w:marTop w:val="0"/>
      <w:marBottom w:val="0"/>
      <w:divBdr>
        <w:top w:val="none" w:sz="0" w:space="0" w:color="auto"/>
        <w:left w:val="none" w:sz="0" w:space="0" w:color="auto"/>
        <w:bottom w:val="none" w:sz="0" w:space="0" w:color="auto"/>
        <w:right w:val="none" w:sz="0" w:space="0" w:color="auto"/>
      </w:divBdr>
    </w:div>
    <w:div w:id="677193184">
      <w:bodyDiv w:val="1"/>
      <w:marLeft w:val="0"/>
      <w:marRight w:val="0"/>
      <w:marTop w:val="0"/>
      <w:marBottom w:val="0"/>
      <w:divBdr>
        <w:top w:val="none" w:sz="0" w:space="0" w:color="auto"/>
        <w:left w:val="none" w:sz="0" w:space="0" w:color="auto"/>
        <w:bottom w:val="none" w:sz="0" w:space="0" w:color="auto"/>
        <w:right w:val="none" w:sz="0" w:space="0" w:color="auto"/>
      </w:divBdr>
    </w:div>
    <w:div w:id="678241041">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459106911">
          <w:marLeft w:val="0"/>
          <w:marRight w:val="0"/>
          <w:marTop w:val="0"/>
          <w:marBottom w:val="0"/>
          <w:divBdr>
            <w:top w:val="none" w:sz="0" w:space="0" w:color="auto"/>
            <w:left w:val="none" w:sz="0" w:space="0" w:color="auto"/>
            <w:bottom w:val="none" w:sz="0" w:space="0" w:color="auto"/>
            <w:right w:val="none" w:sz="0" w:space="0" w:color="auto"/>
          </w:divBdr>
          <w:divsChild>
            <w:div w:id="1348555610">
              <w:marLeft w:val="0"/>
              <w:marRight w:val="0"/>
              <w:marTop w:val="0"/>
              <w:marBottom w:val="0"/>
              <w:divBdr>
                <w:top w:val="none" w:sz="0" w:space="0" w:color="auto"/>
                <w:left w:val="none" w:sz="0" w:space="0" w:color="auto"/>
                <w:bottom w:val="none" w:sz="0" w:space="0" w:color="auto"/>
                <w:right w:val="none" w:sz="0" w:space="0" w:color="auto"/>
              </w:divBdr>
              <w:divsChild>
                <w:div w:id="884753545">
                  <w:marLeft w:val="0"/>
                  <w:marRight w:val="0"/>
                  <w:marTop w:val="0"/>
                  <w:marBottom w:val="0"/>
                  <w:divBdr>
                    <w:top w:val="none" w:sz="0" w:space="0" w:color="auto"/>
                    <w:left w:val="none" w:sz="0" w:space="0" w:color="auto"/>
                    <w:bottom w:val="none" w:sz="0" w:space="0" w:color="auto"/>
                    <w:right w:val="none" w:sz="0" w:space="0" w:color="auto"/>
                  </w:divBdr>
                  <w:divsChild>
                    <w:div w:id="1908031587">
                      <w:marLeft w:val="0"/>
                      <w:marRight w:val="0"/>
                      <w:marTop w:val="0"/>
                      <w:marBottom w:val="0"/>
                      <w:divBdr>
                        <w:top w:val="none" w:sz="0" w:space="0" w:color="auto"/>
                        <w:left w:val="none" w:sz="0" w:space="0" w:color="auto"/>
                        <w:bottom w:val="none" w:sz="0" w:space="0" w:color="auto"/>
                        <w:right w:val="none" w:sz="0" w:space="0" w:color="auto"/>
                      </w:divBdr>
                      <w:divsChild>
                        <w:div w:id="2102145791">
                          <w:marLeft w:val="300"/>
                          <w:marRight w:val="300"/>
                          <w:marTop w:val="0"/>
                          <w:marBottom w:val="0"/>
                          <w:divBdr>
                            <w:top w:val="none" w:sz="0" w:space="0" w:color="auto"/>
                            <w:left w:val="none" w:sz="0" w:space="0" w:color="auto"/>
                            <w:bottom w:val="none" w:sz="0" w:space="0" w:color="auto"/>
                            <w:right w:val="none" w:sz="0" w:space="0" w:color="auto"/>
                          </w:divBdr>
                          <w:divsChild>
                            <w:div w:id="1444807216">
                              <w:marLeft w:val="240"/>
                              <w:marRight w:val="240"/>
                              <w:marTop w:val="240"/>
                              <w:marBottom w:val="240"/>
                              <w:divBdr>
                                <w:top w:val="none" w:sz="0" w:space="0" w:color="auto"/>
                                <w:left w:val="none" w:sz="0" w:space="0" w:color="auto"/>
                                <w:bottom w:val="none" w:sz="0" w:space="0" w:color="auto"/>
                                <w:right w:val="none" w:sz="0" w:space="0" w:color="auto"/>
                              </w:divBdr>
                              <w:divsChild>
                                <w:div w:id="67507247">
                                  <w:marLeft w:val="0"/>
                                  <w:marRight w:val="0"/>
                                  <w:marTop w:val="0"/>
                                  <w:marBottom w:val="0"/>
                                  <w:divBdr>
                                    <w:top w:val="none" w:sz="0" w:space="0" w:color="auto"/>
                                    <w:left w:val="none" w:sz="0" w:space="0" w:color="auto"/>
                                    <w:bottom w:val="none" w:sz="0" w:space="0" w:color="auto"/>
                                    <w:right w:val="none" w:sz="0" w:space="0" w:color="auto"/>
                                  </w:divBdr>
                                  <w:divsChild>
                                    <w:div w:id="201140240">
                                      <w:marLeft w:val="0"/>
                                      <w:marRight w:val="0"/>
                                      <w:marTop w:val="0"/>
                                      <w:marBottom w:val="0"/>
                                      <w:divBdr>
                                        <w:top w:val="single" w:sz="48" w:space="0" w:color="E1E1E1"/>
                                        <w:left w:val="none" w:sz="0" w:space="0" w:color="auto"/>
                                        <w:bottom w:val="none" w:sz="0" w:space="0" w:color="auto"/>
                                        <w:right w:val="none" w:sz="0" w:space="0" w:color="auto"/>
                                      </w:divBdr>
                                      <w:divsChild>
                                        <w:div w:id="12457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9333671">
      <w:bodyDiv w:val="1"/>
      <w:marLeft w:val="0"/>
      <w:marRight w:val="0"/>
      <w:marTop w:val="0"/>
      <w:marBottom w:val="0"/>
      <w:divBdr>
        <w:top w:val="none" w:sz="0" w:space="0" w:color="auto"/>
        <w:left w:val="none" w:sz="0" w:space="0" w:color="auto"/>
        <w:bottom w:val="none" w:sz="0" w:space="0" w:color="auto"/>
        <w:right w:val="none" w:sz="0" w:space="0" w:color="auto"/>
      </w:divBdr>
      <w:divsChild>
        <w:div w:id="399986077">
          <w:marLeft w:val="1"/>
          <w:marRight w:val="0"/>
          <w:marTop w:val="0"/>
          <w:marBottom w:val="0"/>
          <w:divBdr>
            <w:top w:val="single" w:sz="6" w:space="0" w:color="FFFFFF"/>
            <w:left w:val="none" w:sz="0" w:space="0" w:color="auto"/>
            <w:bottom w:val="none" w:sz="0" w:space="0" w:color="auto"/>
            <w:right w:val="none" w:sz="0" w:space="0" w:color="auto"/>
          </w:divBdr>
          <w:divsChild>
            <w:div w:id="21253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63732">
      <w:bodyDiv w:val="1"/>
      <w:marLeft w:val="0"/>
      <w:marRight w:val="0"/>
      <w:marTop w:val="0"/>
      <w:marBottom w:val="0"/>
      <w:divBdr>
        <w:top w:val="none" w:sz="0" w:space="0" w:color="auto"/>
        <w:left w:val="none" w:sz="0" w:space="0" w:color="auto"/>
        <w:bottom w:val="none" w:sz="0" w:space="0" w:color="auto"/>
        <w:right w:val="none" w:sz="0" w:space="0" w:color="auto"/>
      </w:divBdr>
      <w:divsChild>
        <w:div w:id="897328632">
          <w:marLeft w:val="0"/>
          <w:marRight w:val="0"/>
          <w:marTop w:val="0"/>
          <w:marBottom w:val="0"/>
          <w:divBdr>
            <w:top w:val="none" w:sz="0" w:space="0" w:color="auto"/>
            <w:left w:val="none" w:sz="0" w:space="0" w:color="auto"/>
            <w:bottom w:val="none" w:sz="0" w:space="0" w:color="auto"/>
            <w:right w:val="none" w:sz="0" w:space="0" w:color="auto"/>
          </w:divBdr>
          <w:divsChild>
            <w:div w:id="720445083">
              <w:marLeft w:val="0"/>
              <w:marRight w:val="0"/>
              <w:marTop w:val="0"/>
              <w:marBottom w:val="0"/>
              <w:divBdr>
                <w:top w:val="none" w:sz="0" w:space="0" w:color="auto"/>
                <w:left w:val="none" w:sz="0" w:space="0" w:color="auto"/>
                <w:bottom w:val="none" w:sz="0" w:space="0" w:color="auto"/>
                <w:right w:val="none" w:sz="0" w:space="0" w:color="auto"/>
              </w:divBdr>
              <w:divsChild>
                <w:div w:id="802775712">
                  <w:marLeft w:val="150"/>
                  <w:marRight w:val="150"/>
                  <w:marTop w:val="0"/>
                  <w:marBottom w:val="0"/>
                  <w:divBdr>
                    <w:top w:val="none" w:sz="0" w:space="0" w:color="auto"/>
                    <w:left w:val="none" w:sz="0" w:space="0" w:color="auto"/>
                    <w:bottom w:val="none" w:sz="0" w:space="0" w:color="auto"/>
                    <w:right w:val="none" w:sz="0" w:space="0" w:color="auto"/>
                  </w:divBdr>
                  <w:divsChild>
                    <w:div w:id="407271657">
                      <w:marLeft w:val="0"/>
                      <w:marRight w:val="0"/>
                      <w:marTop w:val="0"/>
                      <w:marBottom w:val="0"/>
                      <w:divBdr>
                        <w:top w:val="none" w:sz="0" w:space="0" w:color="auto"/>
                        <w:left w:val="none" w:sz="0" w:space="0" w:color="auto"/>
                        <w:bottom w:val="none" w:sz="0" w:space="0" w:color="auto"/>
                        <w:right w:val="none" w:sz="0" w:space="0" w:color="auto"/>
                      </w:divBdr>
                      <w:divsChild>
                        <w:div w:id="1548684773">
                          <w:marLeft w:val="150"/>
                          <w:marRight w:val="0"/>
                          <w:marTop w:val="150"/>
                          <w:marBottom w:val="150"/>
                          <w:divBdr>
                            <w:top w:val="single" w:sz="6" w:space="0" w:color="CCCCCC"/>
                            <w:left w:val="single" w:sz="6" w:space="0" w:color="CCCCCC"/>
                            <w:bottom w:val="single" w:sz="6" w:space="4" w:color="CCCCCC"/>
                            <w:right w:val="single" w:sz="6" w:space="0" w:color="CCCCCC"/>
                          </w:divBdr>
                        </w:div>
                      </w:divsChild>
                    </w:div>
                  </w:divsChild>
                </w:div>
              </w:divsChild>
            </w:div>
          </w:divsChild>
        </w:div>
      </w:divsChild>
    </w:div>
    <w:div w:id="764767177">
      <w:bodyDiv w:val="1"/>
      <w:marLeft w:val="0"/>
      <w:marRight w:val="0"/>
      <w:marTop w:val="0"/>
      <w:marBottom w:val="0"/>
      <w:divBdr>
        <w:top w:val="none" w:sz="0" w:space="0" w:color="auto"/>
        <w:left w:val="none" w:sz="0" w:space="0" w:color="auto"/>
        <w:bottom w:val="none" w:sz="0" w:space="0" w:color="auto"/>
        <w:right w:val="none" w:sz="0" w:space="0" w:color="auto"/>
      </w:divBdr>
    </w:div>
    <w:div w:id="778716197">
      <w:bodyDiv w:val="1"/>
      <w:marLeft w:val="0"/>
      <w:marRight w:val="0"/>
      <w:marTop w:val="0"/>
      <w:marBottom w:val="0"/>
      <w:divBdr>
        <w:top w:val="none" w:sz="0" w:space="0" w:color="auto"/>
        <w:left w:val="none" w:sz="0" w:space="0" w:color="auto"/>
        <w:bottom w:val="none" w:sz="0" w:space="0" w:color="auto"/>
        <w:right w:val="none" w:sz="0" w:space="0" w:color="auto"/>
      </w:divBdr>
      <w:divsChild>
        <w:div w:id="1369529779">
          <w:marLeft w:val="0"/>
          <w:marRight w:val="0"/>
          <w:marTop w:val="0"/>
          <w:marBottom w:val="0"/>
          <w:divBdr>
            <w:top w:val="none" w:sz="0" w:space="0" w:color="auto"/>
            <w:left w:val="none" w:sz="0" w:space="0" w:color="auto"/>
            <w:bottom w:val="none" w:sz="0" w:space="0" w:color="auto"/>
            <w:right w:val="none" w:sz="0" w:space="0" w:color="auto"/>
          </w:divBdr>
          <w:divsChild>
            <w:div w:id="731587749">
              <w:marLeft w:val="0"/>
              <w:marRight w:val="0"/>
              <w:marTop w:val="0"/>
              <w:marBottom w:val="0"/>
              <w:divBdr>
                <w:top w:val="none" w:sz="0" w:space="0" w:color="auto"/>
                <w:left w:val="none" w:sz="0" w:space="0" w:color="auto"/>
                <w:bottom w:val="none" w:sz="0" w:space="0" w:color="auto"/>
                <w:right w:val="none" w:sz="0" w:space="0" w:color="auto"/>
              </w:divBdr>
              <w:divsChild>
                <w:div w:id="557979090">
                  <w:marLeft w:val="0"/>
                  <w:marRight w:val="0"/>
                  <w:marTop w:val="0"/>
                  <w:marBottom w:val="0"/>
                  <w:divBdr>
                    <w:top w:val="none" w:sz="0" w:space="0" w:color="auto"/>
                    <w:left w:val="none" w:sz="0" w:space="0" w:color="auto"/>
                    <w:bottom w:val="none" w:sz="0" w:space="0" w:color="auto"/>
                    <w:right w:val="none" w:sz="0" w:space="0" w:color="auto"/>
                  </w:divBdr>
                  <w:divsChild>
                    <w:div w:id="1084571016">
                      <w:marLeft w:val="0"/>
                      <w:marRight w:val="0"/>
                      <w:marTop w:val="0"/>
                      <w:marBottom w:val="0"/>
                      <w:divBdr>
                        <w:top w:val="none" w:sz="0" w:space="0" w:color="auto"/>
                        <w:left w:val="none" w:sz="0" w:space="0" w:color="auto"/>
                        <w:bottom w:val="none" w:sz="0" w:space="0" w:color="auto"/>
                        <w:right w:val="none" w:sz="0" w:space="0" w:color="auto"/>
                      </w:divBdr>
                      <w:divsChild>
                        <w:div w:id="1088890027">
                          <w:marLeft w:val="0"/>
                          <w:marRight w:val="0"/>
                          <w:marTop w:val="0"/>
                          <w:marBottom w:val="0"/>
                          <w:divBdr>
                            <w:top w:val="none" w:sz="0" w:space="0" w:color="auto"/>
                            <w:left w:val="none" w:sz="0" w:space="0" w:color="auto"/>
                            <w:bottom w:val="none" w:sz="0" w:space="0" w:color="auto"/>
                            <w:right w:val="none" w:sz="0" w:space="0" w:color="auto"/>
                          </w:divBdr>
                          <w:divsChild>
                            <w:div w:id="382869334">
                              <w:marLeft w:val="0"/>
                              <w:marRight w:val="0"/>
                              <w:marTop w:val="0"/>
                              <w:marBottom w:val="0"/>
                              <w:divBdr>
                                <w:top w:val="none" w:sz="0" w:space="0" w:color="auto"/>
                                <w:left w:val="none" w:sz="0" w:space="0" w:color="auto"/>
                                <w:bottom w:val="none" w:sz="0" w:space="0" w:color="auto"/>
                                <w:right w:val="none" w:sz="0" w:space="0" w:color="auto"/>
                              </w:divBdr>
                              <w:divsChild>
                                <w:div w:id="454300027">
                                  <w:marLeft w:val="0"/>
                                  <w:marRight w:val="0"/>
                                  <w:marTop w:val="0"/>
                                  <w:marBottom w:val="0"/>
                                  <w:divBdr>
                                    <w:top w:val="none" w:sz="0" w:space="0" w:color="auto"/>
                                    <w:left w:val="none" w:sz="0" w:space="0" w:color="auto"/>
                                    <w:bottom w:val="none" w:sz="0" w:space="0" w:color="auto"/>
                                    <w:right w:val="none" w:sz="0" w:space="0" w:color="auto"/>
                                  </w:divBdr>
                                  <w:divsChild>
                                    <w:div w:id="104082803">
                                      <w:marLeft w:val="0"/>
                                      <w:marRight w:val="0"/>
                                      <w:marTop w:val="0"/>
                                      <w:marBottom w:val="0"/>
                                      <w:divBdr>
                                        <w:top w:val="none" w:sz="0" w:space="0" w:color="auto"/>
                                        <w:left w:val="none" w:sz="0" w:space="0" w:color="auto"/>
                                        <w:bottom w:val="none" w:sz="0" w:space="0" w:color="auto"/>
                                        <w:right w:val="none" w:sz="0" w:space="0" w:color="auto"/>
                                      </w:divBdr>
                                      <w:divsChild>
                                        <w:div w:id="1707485163">
                                          <w:marLeft w:val="0"/>
                                          <w:marRight w:val="0"/>
                                          <w:marTop w:val="0"/>
                                          <w:marBottom w:val="0"/>
                                          <w:divBdr>
                                            <w:top w:val="none" w:sz="0" w:space="0" w:color="auto"/>
                                            <w:left w:val="none" w:sz="0" w:space="0" w:color="auto"/>
                                            <w:bottom w:val="none" w:sz="0" w:space="0" w:color="auto"/>
                                            <w:right w:val="none" w:sz="0" w:space="0" w:color="auto"/>
                                          </w:divBdr>
                                          <w:divsChild>
                                            <w:div w:id="569536666">
                                              <w:marLeft w:val="0"/>
                                              <w:marRight w:val="0"/>
                                              <w:marTop w:val="0"/>
                                              <w:marBottom w:val="0"/>
                                              <w:divBdr>
                                                <w:top w:val="none" w:sz="0" w:space="0" w:color="auto"/>
                                                <w:left w:val="none" w:sz="0" w:space="0" w:color="auto"/>
                                                <w:bottom w:val="none" w:sz="0" w:space="0" w:color="auto"/>
                                                <w:right w:val="none" w:sz="0" w:space="0" w:color="auto"/>
                                              </w:divBdr>
                                            </w:div>
                                          </w:divsChild>
                                        </w:div>
                                        <w:div w:id="1615093763">
                                          <w:marLeft w:val="0"/>
                                          <w:marRight w:val="0"/>
                                          <w:marTop w:val="0"/>
                                          <w:marBottom w:val="0"/>
                                          <w:divBdr>
                                            <w:top w:val="none" w:sz="0" w:space="0" w:color="auto"/>
                                            <w:left w:val="none" w:sz="0" w:space="0" w:color="auto"/>
                                            <w:bottom w:val="none" w:sz="0" w:space="0" w:color="auto"/>
                                            <w:right w:val="none" w:sz="0" w:space="0" w:color="auto"/>
                                          </w:divBdr>
                                          <w:divsChild>
                                            <w:div w:id="16888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354648">
      <w:bodyDiv w:val="1"/>
      <w:marLeft w:val="0"/>
      <w:marRight w:val="0"/>
      <w:marTop w:val="0"/>
      <w:marBottom w:val="0"/>
      <w:divBdr>
        <w:top w:val="none" w:sz="0" w:space="0" w:color="auto"/>
        <w:left w:val="none" w:sz="0" w:space="0" w:color="auto"/>
        <w:bottom w:val="none" w:sz="0" w:space="0" w:color="auto"/>
        <w:right w:val="none" w:sz="0" w:space="0" w:color="auto"/>
      </w:divBdr>
    </w:div>
    <w:div w:id="844396356">
      <w:bodyDiv w:val="1"/>
      <w:marLeft w:val="0"/>
      <w:marRight w:val="0"/>
      <w:marTop w:val="0"/>
      <w:marBottom w:val="0"/>
      <w:divBdr>
        <w:top w:val="none" w:sz="0" w:space="0" w:color="auto"/>
        <w:left w:val="none" w:sz="0" w:space="0" w:color="auto"/>
        <w:bottom w:val="none" w:sz="0" w:space="0" w:color="auto"/>
        <w:right w:val="none" w:sz="0" w:space="0" w:color="auto"/>
      </w:divBdr>
    </w:div>
    <w:div w:id="844634193">
      <w:bodyDiv w:val="1"/>
      <w:marLeft w:val="0"/>
      <w:marRight w:val="0"/>
      <w:marTop w:val="0"/>
      <w:marBottom w:val="0"/>
      <w:divBdr>
        <w:top w:val="none" w:sz="0" w:space="0" w:color="auto"/>
        <w:left w:val="none" w:sz="0" w:space="0" w:color="auto"/>
        <w:bottom w:val="none" w:sz="0" w:space="0" w:color="auto"/>
        <w:right w:val="none" w:sz="0" w:space="0" w:color="auto"/>
      </w:divBdr>
      <w:divsChild>
        <w:div w:id="1503351511">
          <w:marLeft w:val="0"/>
          <w:marRight w:val="0"/>
          <w:marTop w:val="0"/>
          <w:marBottom w:val="0"/>
          <w:divBdr>
            <w:top w:val="none" w:sz="0" w:space="0" w:color="auto"/>
            <w:left w:val="none" w:sz="0" w:space="0" w:color="auto"/>
            <w:bottom w:val="none" w:sz="0" w:space="0" w:color="auto"/>
            <w:right w:val="none" w:sz="0" w:space="0" w:color="auto"/>
          </w:divBdr>
          <w:divsChild>
            <w:div w:id="1255897155">
              <w:marLeft w:val="0"/>
              <w:marRight w:val="0"/>
              <w:marTop w:val="0"/>
              <w:marBottom w:val="0"/>
              <w:divBdr>
                <w:top w:val="none" w:sz="0" w:space="0" w:color="auto"/>
                <w:left w:val="none" w:sz="0" w:space="0" w:color="auto"/>
                <w:bottom w:val="none" w:sz="0" w:space="0" w:color="auto"/>
                <w:right w:val="none" w:sz="0" w:space="0" w:color="auto"/>
              </w:divBdr>
              <w:divsChild>
                <w:div w:id="1425803320">
                  <w:marLeft w:val="0"/>
                  <w:marRight w:val="0"/>
                  <w:marTop w:val="0"/>
                  <w:marBottom w:val="0"/>
                  <w:divBdr>
                    <w:top w:val="none" w:sz="0" w:space="0" w:color="auto"/>
                    <w:left w:val="none" w:sz="0" w:space="0" w:color="auto"/>
                    <w:bottom w:val="none" w:sz="0" w:space="0" w:color="auto"/>
                    <w:right w:val="none" w:sz="0" w:space="0" w:color="auto"/>
                  </w:divBdr>
                  <w:divsChild>
                    <w:div w:id="151542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683284">
      <w:bodyDiv w:val="1"/>
      <w:marLeft w:val="0"/>
      <w:marRight w:val="0"/>
      <w:marTop w:val="0"/>
      <w:marBottom w:val="0"/>
      <w:divBdr>
        <w:top w:val="none" w:sz="0" w:space="0" w:color="auto"/>
        <w:left w:val="none" w:sz="0" w:space="0" w:color="auto"/>
        <w:bottom w:val="none" w:sz="0" w:space="0" w:color="auto"/>
        <w:right w:val="none" w:sz="0" w:space="0" w:color="auto"/>
      </w:divBdr>
    </w:div>
    <w:div w:id="852913259">
      <w:bodyDiv w:val="1"/>
      <w:marLeft w:val="0"/>
      <w:marRight w:val="0"/>
      <w:marTop w:val="0"/>
      <w:marBottom w:val="0"/>
      <w:divBdr>
        <w:top w:val="none" w:sz="0" w:space="0" w:color="auto"/>
        <w:left w:val="none" w:sz="0" w:space="0" w:color="auto"/>
        <w:bottom w:val="none" w:sz="0" w:space="0" w:color="auto"/>
        <w:right w:val="none" w:sz="0" w:space="0" w:color="auto"/>
      </w:divBdr>
    </w:div>
    <w:div w:id="860821487">
      <w:bodyDiv w:val="1"/>
      <w:marLeft w:val="0"/>
      <w:marRight w:val="0"/>
      <w:marTop w:val="0"/>
      <w:marBottom w:val="0"/>
      <w:divBdr>
        <w:top w:val="none" w:sz="0" w:space="0" w:color="auto"/>
        <w:left w:val="none" w:sz="0" w:space="0" w:color="auto"/>
        <w:bottom w:val="none" w:sz="0" w:space="0" w:color="auto"/>
        <w:right w:val="none" w:sz="0" w:space="0" w:color="auto"/>
      </w:divBdr>
    </w:div>
    <w:div w:id="861238663">
      <w:bodyDiv w:val="1"/>
      <w:marLeft w:val="0"/>
      <w:marRight w:val="0"/>
      <w:marTop w:val="0"/>
      <w:marBottom w:val="0"/>
      <w:divBdr>
        <w:top w:val="none" w:sz="0" w:space="0" w:color="auto"/>
        <w:left w:val="none" w:sz="0" w:space="0" w:color="auto"/>
        <w:bottom w:val="none" w:sz="0" w:space="0" w:color="auto"/>
        <w:right w:val="none" w:sz="0" w:space="0" w:color="auto"/>
      </w:divBdr>
    </w:div>
    <w:div w:id="870262965">
      <w:bodyDiv w:val="1"/>
      <w:marLeft w:val="0"/>
      <w:marRight w:val="0"/>
      <w:marTop w:val="0"/>
      <w:marBottom w:val="0"/>
      <w:divBdr>
        <w:top w:val="none" w:sz="0" w:space="0" w:color="auto"/>
        <w:left w:val="none" w:sz="0" w:space="0" w:color="auto"/>
        <w:bottom w:val="none" w:sz="0" w:space="0" w:color="auto"/>
        <w:right w:val="none" w:sz="0" w:space="0" w:color="auto"/>
      </w:divBdr>
    </w:div>
    <w:div w:id="878663754">
      <w:bodyDiv w:val="1"/>
      <w:marLeft w:val="0"/>
      <w:marRight w:val="0"/>
      <w:marTop w:val="0"/>
      <w:marBottom w:val="0"/>
      <w:divBdr>
        <w:top w:val="none" w:sz="0" w:space="0" w:color="auto"/>
        <w:left w:val="none" w:sz="0" w:space="0" w:color="auto"/>
        <w:bottom w:val="none" w:sz="0" w:space="0" w:color="auto"/>
        <w:right w:val="none" w:sz="0" w:space="0" w:color="auto"/>
      </w:divBdr>
      <w:divsChild>
        <w:div w:id="477303357">
          <w:marLeft w:val="0"/>
          <w:marRight w:val="0"/>
          <w:marTop w:val="0"/>
          <w:marBottom w:val="0"/>
          <w:divBdr>
            <w:top w:val="none" w:sz="0" w:space="0" w:color="auto"/>
            <w:left w:val="none" w:sz="0" w:space="0" w:color="auto"/>
            <w:bottom w:val="none" w:sz="0" w:space="0" w:color="auto"/>
            <w:right w:val="none" w:sz="0" w:space="0" w:color="auto"/>
          </w:divBdr>
          <w:divsChild>
            <w:div w:id="1391808732">
              <w:marLeft w:val="0"/>
              <w:marRight w:val="0"/>
              <w:marTop w:val="0"/>
              <w:marBottom w:val="0"/>
              <w:divBdr>
                <w:top w:val="none" w:sz="0" w:space="0" w:color="auto"/>
                <w:left w:val="none" w:sz="0" w:space="0" w:color="auto"/>
                <w:bottom w:val="none" w:sz="0" w:space="0" w:color="auto"/>
                <w:right w:val="none" w:sz="0" w:space="0" w:color="auto"/>
              </w:divBdr>
              <w:divsChild>
                <w:div w:id="1012683767">
                  <w:marLeft w:val="0"/>
                  <w:marRight w:val="0"/>
                  <w:marTop w:val="0"/>
                  <w:marBottom w:val="0"/>
                  <w:divBdr>
                    <w:top w:val="none" w:sz="0" w:space="0" w:color="auto"/>
                    <w:left w:val="none" w:sz="0" w:space="0" w:color="auto"/>
                    <w:bottom w:val="none" w:sz="0" w:space="0" w:color="auto"/>
                    <w:right w:val="none" w:sz="0" w:space="0" w:color="auto"/>
                  </w:divBdr>
                  <w:divsChild>
                    <w:div w:id="798568876">
                      <w:marLeft w:val="0"/>
                      <w:marRight w:val="0"/>
                      <w:marTop w:val="0"/>
                      <w:marBottom w:val="0"/>
                      <w:divBdr>
                        <w:top w:val="none" w:sz="0" w:space="0" w:color="auto"/>
                        <w:left w:val="none" w:sz="0" w:space="0" w:color="auto"/>
                        <w:bottom w:val="none" w:sz="0" w:space="0" w:color="auto"/>
                        <w:right w:val="none" w:sz="0" w:space="0" w:color="auto"/>
                      </w:divBdr>
                      <w:divsChild>
                        <w:div w:id="865950377">
                          <w:marLeft w:val="0"/>
                          <w:marRight w:val="0"/>
                          <w:marTop w:val="0"/>
                          <w:marBottom w:val="0"/>
                          <w:divBdr>
                            <w:top w:val="none" w:sz="0" w:space="0" w:color="auto"/>
                            <w:left w:val="none" w:sz="0" w:space="0" w:color="auto"/>
                            <w:bottom w:val="none" w:sz="0" w:space="0" w:color="auto"/>
                            <w:right w:val="none" w:sz="0" w:space="0" w:color="auto"/>
                          </w:divBdr>
                          <w:divsChild>
                            <w:div w:id="125219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318373">
      <w:bodyDiv w:val="1"/>
      <w:marLeft w:val="0"/>
      <w:marRight w:val="0"/>
      <w:marTop w:val="0"/>
      <w:marBottom w:val="0"/>
      <w:divBdr>
        <w:top w:val="none" w:sz="0" w:space="0" w:color="auto"/>
        <w:left w:val="none" w:sz="0" w:space="0" w:color="auto"/>
        <w:bottom w:val="none" w:sz="0" w:space="0" w:color="auto"/>
        <w:right w:val="none" w:sz="0" w:space="0" w:color="auto"/>
      </w:divBdr>
    </w:div>
    <w:div w:id="897665049">
      <w:bodyDiv w:val="1"/>
      <w:marLeft w:val="0"/>
      <w:marRight w:val="0"/>
      <w:marTop w:val="0"/>
      <w:marBottom w:val="0"/>
      <w:divBdr>
        <w:top w:val="none" w:sz="0" w:space="0" w:color="auto"/>
        <w:left w:val="none" w:sz="0" w:space="0" w:color="auto"/>
        <w:bottom w:val="none" w:sz="0" w:space="0" w:color="auto"/>
        <w:right w:val="none" w:sz="0" w:space="0" w:color="auto"/>
      </w:divBdr>
    </w:div>
    <w:div w:id="950816683">
      <w:bodyDiv w:val="1"/>
      <w:marLeft w:val="0"/>
      <w:marRight w:val="0"/>
      <w:marTop w:val="0"/>
      <w:marBottom w:val="0"/>
      <w:divBdr>
        <w:top w:val="none" w:sz="0" w:space="0" w:color="auto"/>
        <w:left w:val="none" w:sz="0" w:space="0" w:color="auto"/>
        <w:bottom w:val="none" w:sz="0" w:space="0" w:color="auto"/>
        <w:right w:val="none" w:sz="0" w:space="0" w:color="auto"/>
      </w:divBdr>
    </w:div>
    <w:div w:id="974484551">
      <w:bodyDiv w:val="1"/>
      <w:marLeft w:val="0"/>
      <w:marRight w:val="0"/>
      <w:marTop w:val="0"/>
      <w:marBottom w:val="0"/>
      <w:divBdr>
        <w:top w:val="none" w:sz="0" w:space="0" w:color="auto"/>
        <w:left w:val="none" w:sz="0" w:space="0" w:color="auto"/>
        <w:bottom w:val="none" w:sz="0" w:space="0" w:color="auto"/>
        <w:right w:val="none" w:sz="0" w:space="0" w:color="auto"/>
      </w:divBdr>
    </w:div>
    <w:div w:id="1016006698">
      <w:bodyDiv w:val="1"/>
      <w:marLeft w:val="0"/>
      <w:marRight w:val="0"/>
      <w:marTop w:val="0"/>
      <w:marBottom w:val="0"/>
      <w:divBdr>
        <w:top w:val="none" w:sz="0" w:space="0" w:color="auto"/>
        <w:left w:val="none" w:sz="0" w:space="0" w:color="auto"/>
        <w:bottom w:val="none" w:sz="0" w:space="0" w:color="auto"/>
        <w:right w:val="none" w:sz="0" w:space="0" w:color="auto"/>
      </w:divBdr>
      <w:divsChild>
        <w:div w:id="546837140">
          <w:marLeft w:val="0"/>
          <w:marRight w:val="0"/>
          <w:marTop w:val="0"/>
          <w:marBottom w:val="0"/>
          <w:divBdr>
            <w:top w:val="none" w:sz="0" w:space="0" w:color="auto"/>
            <w:left w:val="none" w:sz="0" w:space="0" w:color="auto"/>
            <w:bottom w:val="none" w:sz="0" w:space="0" w:color="auto"/>
            <w:right w:val="none" w:sz="0" w:space="0" w:color="auto"/>
          </w:divBdr>
          <w:divsChild>
            <w:div w:id="104423228">
              <w:marLeft w:val="0"/>
              <w:marRight w:val="0"/>
              <w:marTop w:val="0"/>
              <w:marBottom w:val="0"/>
              <w:divBdr>
                <w:top w:val="none" w:sz="0" w:space="0" w:color="auto"/>
                <w:left w:val="none" w:sz="0" w:space="0" w:color="auto"/>
                <w:bottom w:val="none" w:sz="0" w:space="0" w:color="auto"/>
                <w:right w:val="none" w:sz="0" w:space="0" w:color="auto"/>
              </w:divBdr>
              <w:divsChild>
                <w:div w:id="752975838">
                  <w:marLeft w:val="0"/>
                  <w:marRight w:val="0"/>
                  <w:marTop w:val="0"/>
                  <w:marBottom w:val="0"/>
                  <w:divBdr>
                    <w:top w:val="none" w:sz="0" w:space="0" w:color="auto"/>
                    <w:left w:val="none" w:sz="0" w:space="0" w:color="auto"/>
                    <w:bottom w:val="none" w:sz="0" w:space="0" w:color="auto"/>
                    <w:right w:val="none" w:sz="0" w:space="0" w:color="auto"/>
                  </w:divBdr>
                  <w:divsChild>
                    <w:div w:id="401634663">
                      <w:marLeft w:val="0"/>
                      <w:marRight w:val="0"/>
                      <w:marTop w:val="0"/>
                      <w:marBottom w:val="0"/>
                      <w:divBdr>
                        <w:top w:val="none" w:sz="0" w:space="0" w:color="auto"/>
                        <w:left w:val="none" w:sz="0" w:space="0" w:color="auto"/>
                        <w:bottom w:val="none" w:sz="0" w:space="0" w:color="auto"/>
                        <w:right w:val="none" w:sz="0" w:space="0" w:color="auto"/>
                      </w:divBdr>
                      <w:divsChild>
                        <w:div w:id="603347157">
                          <w:marLeft w:val="0"/>
                          <w:marRight w:val="0"/>
                          <w:marTop w:val="0"/>
                          <w:marBottom w:val="0"/>
                          <w:divBdr>
                            <w:top w:val="none" w:sz="0" w:space="0" w:color="auto"/>
                            <w:left w:val="none" w:sz="0" w:space="0" w:color="auto"/>
                            <w:bottom w:val="none" w:sz="0" w:space="0" w:color="auto"/>
                            <w:right w:val="none" w:sz="0" w:space="0" w:color="auto"/>
                          </w:divBdr>
                          <w:divsChild>
                            <w:div w:id="301083578">
                              <w:marLeft w:val="0"/>
                              <w:marRight w:val="0"/>
                              <w:marTop w:val="0"/>
                              <w:marBottom w:val="0"/>
                              <w:divBdr>
                                <w:top w:val="none" w:sz="0" w:space="0" w:color="auto"/>
                                <w:left w:val="none" w:sz="0" w:space="0" w:color="auto"/>
                                <w:bottom w:val="none" w:sz="0" w:space="0" w:color="auto"/>
                                <w:right w:val="none" w:sz="0" w:space="0" w:color="auto"/>
                              </w:divBdr>
                              <w:divsChild>
                                <w:div w:id="1739589396">
                                  <w:marLeft w:val="0"/>
                                  <w:marRight w:val="0"/>
                                  <w:marTop w:val="0"/>
                                  <w:marBottom w:val="0"/>
                                  <w:divBdr>
                                    <w:top w:val="none" w:sz="0" w:space="0" w:color="auto"/>
                                    <w:left w:val="none" w:sz="0" w:space="0" w:color="auto"/>
                                    <w:bottom w:val="none" w:sz="0" w:space="0" w:color="auto"/>
                                    <w:right w:val="none" w:sz="0" w:space="0" w:color="auto"/>
                                  </w:divBdr>
                                  <w:divsChild>
                                    <w:div w:id="2129622120">
                                      <w:marLeft w:val="0"/>
                                      <w:marRight w:val="0"/>
                                      <w:marTop w:val="0"/>
                                      <w:marBottom w:val="0"/>
                                      <w:divBdr>
                                        <w:top w:val="single" w:sz="6" w:space="0" w:color="F5F5F5"/>
                                        <w:left w:val="single" w:sz="6" w:space="0" w:color="F5F5F5"/>
                                        <w:bottom w:val="single" w:sz="6" w:space="0" w:color="F5F5F5"/>
                                        <w:right w:val="single" w:sz="6" w:space="0" w:color="F5F5F5"/>
                                      </w:divBdr>
                                      <w:divsChild>
                                        <w:div w:id="1064134633">
                                          <w:marLeft w:val="0"/>
                                          <w:marRight w:val="0"/>
                                          <w:marTop w:val="0"/>
                                          <w:marBottom w:val="0"/>
                                          <w:divBdr>
                                            <w:top w:val="none" w:sz="0" w:space="0" w:color="auto"/>
                                            <w:left w:val="none" w:sz="0" w:space="0" w:color="auto"/>
                                            <w:bottom w:val="none" w:sz="0" w:space="0" w:color="auto"/>
                                            <w:right w:val="none" w:sz="0" w:space="0" w:color="auto"/>
                                          </w:divBdr>
                                          <w:divsChild>
                                            <w:div w:id="15242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6057054">
      <w:bodyDiv w:val="1"/>
      <w:marLeft w:val="0"/>
      <w:marRight w:val="0"/>
      <w:marTop w:val="0"/>
      <w:marBottom w:val="0"/>
      <w:divBdr>
        <w:top w:val="none" w:sz="0" w:space="0" w:color="auto"/>
        <w:left w:val="none" w:sz="0" w:space="0" w:color="auto"/>
        <w:bottom w:val="none" w:sz="0" w:space="0" w:color="auto"/>
        <w:right w:val="none" w:sz="0" w:space="0" w:color="auto"/>
      </w:divBdr>
    </w:div>
    <w:div w:id="1033190227">
      <w:bodyDiv w:val="1"/>
      <w:marLeft w:val="0"/>
      <w:marRight w:val="0"/>
      <w:marTop w:val="0"/>
      <w:marBottom w:val="0"/>
      <w:divBdr>
        <w:top w:val="none" w:sz="0" w:space="0" w:color="auto"/>
        <w:left w:val="none" w:sz="0" w:space="0" w:color="auto"/>
        <w:bottom w:val="none" w:sz="0" w:space="0" w:color="auto"/>
        <w:right w:val="none" w:sz="0" w:space="0" w:color="auto"/>
      </w:divBdr>
    </w:div>
    <w:div w:id="1039742803">
      <w:bodyDiv w:val="1"/>
      <w:marLeft w:val="0"/>
      <w:marRight w:val="0"/>
      <w:marTop w:val="0"/>
      <w:marBottom w:val="0"/>
      <w:divBdr>
        <w:top w:val="none" w:sz="0" w:space="0" w:color="auto"/>
        <w:left w:val="none" w:sz="0" w:space="0" w:color="auto"/>
        <w:bottom w:val="none" w:sz="0" w:space="0" w:color="auto"/>
        <w:right w:val="none" w:sz="0" w:space="0" w:color="auto"/>
      </w:divBdr>
      <w:divsChild>
        <w:div w:id="892426960">
          <w:marLeft w:val="547"/>
          <w:marRight w:val="0"/>
          <w:marTop w:val="0"/>
          <w:marBottom w:val="0"/>
          <w:divBdr>
            <w:top w:val="none" w:sz="0" w:space="0" w:color="auto"/>
            <w:left w:val="none" w:sz="0" w:space="0" w:color="auto"/>
            <w:bottom w:val="none" w:sz="0" w:space="0" w:color="auto"/>
            <w:right w:val="none" w:sz="0" w:space="0" w:color="auto"/>
          </w:divBdr>
        </w:div>
        <w:div w:id="226300810">
          <w:marLeft w:val="547"/>
          <w:marRight w:val="0"/>
          <w:marTop w:val="0"/>
          <w:marBottom w:val="0"/>
          <w:divBdr>
            <w:top w:val="none" w:sz="0" w:space="0" w:color="auto"/>
            <w:left w:val="none" w:sz="0" w:space="0" w:color="auto"/>
            <w:bottom w:val="none" w:sz="0" w:space="0" w:color="auto"/>
            <w:right w:val="none" w:sz="0" w:space="0" w:color="auto"/>
          </w:divBdr>
        </w:div>
        <w:div w:id="1941600750">
          <w:marLeft w:val="547"/>
          <w:marRight w:val="0"/>
          <w:marTop w:val="0"/>
          <w:marBottom w:val="0"/>
          <w:divBdr>
            <w:top w:val="none" w:sz="0" w:space="0" w:color="auto"/>
            <w:left w:val="none" w:sz="0" w:space="0" w:color="auto"/>
            <w:bottom w:val="none" w:sz="0" w:space="0" w:color="auto"/>
            <w:right w:val="none" w:sz="0" w:space="0" w:color="auto"/>
          </w:divBdr>
        </w:div>
        <w:div w:id="2059894116">
          <w:marLeft w:val="547"/>
          <w:marRight w:val="0"/>
          <w:marTop w:val="0"/>
          <w:marBottom w:val="0"/>
          <w:divBdr>
            <w:top w:val="none" w:sz="0" w:space="0" w:color="auto"/>
            <w:left w:val="none" w:sz="0" w:space="0" w:color="auto"/>
            <w:bottom w:val="none" w:sz="0" w:space="0" w:color="auto"/>
            <w:right w:val="none" w:sz="0" w:space="0" w:color="auto"/>
          </w:divBdr>
        </w:div>
        <w:div w:id="1785147926">
          <w:marLeft w:val="547"/>
          <w:marRight w:val="0"/>
          <w:marTop w:val="0"/>
          <w:marBottom w:val="0"/>
          <w:divBdr>
            <w:top w:val="none" w:sz="0" w:space="0" w:color="auto"/>
            <w:left w:val="none" w:sz="0" w:space="0" w:color="auto"/>
            <w:bottom w:val="none" w:sz="0" w:space="0" w:color="auto"/>
            <w:right w:val="none" w:sz="0" w:space="0" w:color="auto"/>
          </w:divBdr>
        </w:div>
        <w:div w:id="454296911">
          <w:marLeft w:val="547"/>
          <w:marRight w:val="0"/>
          <w:marTop w:val="0"/>
          <w:marBottom w:val="0"/>
          <w:divBdr>
            <w:top w:val="none" w:sz="0" w:space="0" w:color="auto"/>
            <w:left w:val="none" w:sz="0" w:space="0" w:color="auto"/>
            <w:bottom w:val="none" w:sz="0" w:space="0" w:color="auto"/>
            <w:right w:val="none" w:sz="0" w:space="0" w:color="auto"/>
          </w:divBdr>
        </w:div>
        <w:div w:id="1459181419">
          <w:marLeft w:val="547"/>
          <w:marRight w:val="0"/>
          <w:marTop w:val="0"/>
          <w:marBottom w:val="0"/>
          <w:divBdr>
            <w:top w:val="none" w:sz="0" w:space="0" w:color="auto"/>
            <w:left w:val="none" w:sz="0" w:space="0" w:color="auto"/>
            <w:bottom w:val="none" w:sz="0" w:space="0" w:color="auto"/>
            <w:right w:val="none" w:sz="0" w:space="0" w:color="auto"/>
          </w:divBdr>
        </w:div>
      </w:divsChild>
    </w:div>
    <w:div w:id="1059019187">
      <w:bodyDiv w:val="1"/>
      <w:marLeft w:val="0"/>
      <w:marRight w:val="0"/>
      <w:marTop w:val="0"/>
      <w:marBottom w:val="0"/>
      <w:divBdr>
        <w:top w:val="none" w:sz="0" w:space="0" w:color="auto"/>
        <w:left w:val="none" w:sz="0" w:space="0" w:color="auto"/>
        <w:bottom w:val="none" w:sz="0" w:space="0" w:color="auto"/>
        <w:right w:val="none" w:sz="0" w:space="0" w:color="auto"/>
      </w:divBdr>
    </w:div>
    <w:div w:id="1069036376">
      <w:bodyDiv w:val="1"/>
      <w:marLeft w:val="0"/>
      <w:marRight w:val="0"/>
      <w:marTop w:val="0"/>
      <w:marBottom w:val="0"/>
      <w:divBdr>
        <w:top w:val="none" w:sz="0" w:space="0" w:color="auto"/>
        <w:left w:val="none" w:sz="0" w:space="0" w:color="auto"/>
        <w:bottom w:val="none" w:sz="0" w:space="0" w:color="auto"/>
        <w:right w:val="none" w:sz="0" w:space="0" w:color="auto"/>
      </w:divBdr>
    </w:div>
    <w:div w:id="1072656337">
      <w:bodyDiv w:val="1"/>
      <w:marLeft w:val="0"/>
      <w:marRight w:val="0"/>
      <w:marTop w:val="0"/>
      <w:marBottom w:val="0"/>
      <w:divBdr>
        <w:top w:val="none" w:sz="0" w:space="0" w:color="auto"/>
        <w:left w:val="none" w:sz="0" w:space="0" w:color="auto"/>
        <w:bottom w:val="none" w:sz="0" w:space="0" w:color="auto"/>
        <w:right w:val="none" w:sz="0" w:space="0" w:color="auto"/>
      </w:divBdr>
    </w:div>
    <w:div w:id="1141074442">
      <w:bodyDiv w:val="1"/>
      <w:marLeft w:val="0"/>
      <w:marRight w:val="0"/>
      <w:marTop w:val="0"/>
      <w:marBottom w:val="0"/>
      <w:divBdr>
        <w:top w:val="none" w:sz="0" w:space="0" w:color="auto"/>
        <w:left w:val="none" w:sz="0" w:space="0" w:color="auto"/>
        <w:bottom w:val="none" w:sz="0" w:space="0" w:color="auto"/>
        <w:right w:val="none" w:sz="0" w:space="0" w:color="auto"/>
      </w:divBdr>
    </w:div>
    <w:div w:id="1146313862">
      <w:bodyDiv w:val="1"/>
      <w:marLeft w:val="0"/>
      <w:marRight w:val="0"/>
      <w:marTop w:val="0"/>
      <w:marBottom w:val="0"/>
      <w:divBdr>
        <w:top w:val="none" w:sz="0" w:space="0" w:color="auto"/>
        <w:left w:val="none" w:sz="0" w:space="0" w:color="auto"/>
        <w:bottom w:val="none" w:sz="0" w:space="0" w:color="auto"/>
        <w:right w:val="none" w:sz="0" w:space="0" w:color="auto"/>
      </w:divBdr>
    </w:div>
    <w:div w:id="1156187269">
      <w:bodyDiv w:val="1"/>
      <w:marLeft w:val="0"/>
      <w:marRight w:val="0"/>
      <w:marTop w:val="0"/>
      <w:marBottom w:val="0"/>
      <w:divBdr>
        <w:top w:val="none" w:sz="0" w:space="0" w:color="auto"/>
        <w:left w:val="none" w:sz="0" w:space="0" w:color="auto"/>
        <w:bottom w:val="none" w:sz="0" w:space="0" w:color="auto"/>
        <w:right w:val="none" w:sz="0" w:space="0" w:color="auto"/>
      </w:divBdr>
    </w:div>
    <w:div w:id="1165514441">
      <w:bodyDiv w:val="1"/>
      <w:marLeft w:val="0"/>
      <w:marRight w:val="0"/>
      <w:marTop w:val="0"/>
      <w:marBottom w:val="0"/>
      <w:divBdr>
        <w:top w:val="none" w:sz="0" w:space="0" w:color="auto"/>
        <w:left w:val="none" w:sz="0" w:space="0" w:color="auto"/>
        <w:bottom w:val="none" w:sz="0" w:space="0" w:color="auto"/>
        <w:right w:val="none" w:sz="0" w:space="0" w:color="auto"/>
      </w:divBdr>
    </w:div>
    <w:div w:id="1173225646">
      <w:bodyDiv w:val="1"/>
      <w:marLeft w:val="0"/>
      <w:marRight w:val="0"/>
      <w:marTop w:val="0"/>
      <w:marBottom w:val="0"/>
      <w:divBdr>
        <w:top w:val="none" w:sz="0" w:space="0" w:color="auto"/>
        <w:left w:val="none" w:sz="0" w:space="0" w:color="auto"/>
        <w:bottom w:val="none" w:sz="0" w:space="0" w:color="auto"/>
        <w:right w:val="none" w:sz="0" w:space="0" w:color="auto"/>
      </w:divBdr>
    </w:div>
    <w:div w:id="1174296104">
      <w:bodyDiv w:val="1"/>
      <w:marLeft w:val="0"/>
      <w:marRight w:val="0"/>
      <w:marTop w:val="0"/>
      <w:marBottom w:val="0"/>
      <w:divBdr>
        <w:top w:val="none" w:sz="0" w:space="0" w:color="auto"/>
        <w:left w:val="none" w:sz="0" w:space="0" w:color="auto"/>
        <w:bottom w:val="none" w:sz="0" w:space="0" w:color="auto"/>
        <w:right w:val="none" w:sz="0" w:space="0" w:color="auto"/>
      </w:divBdr>
    </w:div>
    <w:div w:id="1203053747">
      <w:bodyDiv w:val="1"/>
      <w:marLeft w:val="0"/>
      <w:marRight w:val="0"/>
      <w:marTop w:val="0"/>
      <w:marBottom w:val="0"/>
      <w:divBdr>
        <w:top w:val="none" w:sz="0" w:space="0" w:color="auto"/>
        <w:left w:val="none" w:sz="0" w:space="0" w:color="auto"/>
        <w:bottom w:val="none" w:sz="0" w:space="0" w:color="auto"/>
        <w:right w:val="none" w:sz="0" w:space="0" w:color="auto"/>
      </w:divBdr>
      <w:divsChild>
        <w:div w:id="870801390">
          <w:marLeft w:val="0"/>
          <w:marRight w:val="0"/>
          <w:marTop w:val="0"/>
          <w:marBottom w:val="0"/>
          <w:divBdr>
            <w:top w:val="none" w:sz="0" w:space="0" w:color="auto"/>
            <w:left w:val="none" w:sz="0" w:space="0" w:color="auto"/>
            <w:bottom w:val="none" w:sz="0" w:space="0" w:color="auto"/>
            <w:right w:val="none" w:sz="0" w:space="0" w:color="auto"/>
          </w:divBdr>
        </w:div>
      </w:divsChild>
    </w:div>
    <w:div w:id="1289120869">
      <w:bodyDiv w:val="1"/>
      <w:marLeft w:val="0"/>
      <w:marRight w:val="0"/>
      <w:marTop w:val="0"/>
      <w:marBottom w:val="0"/>
      <w:divBdr>
        <w:top w:val="none" w:sz="0" w:space="0" w:color="auto"/>
        <w:left w:val="none" w:sz="0" w:space="0" w:color="auto"/>
        <w:bottom w:val="none" w:sz="0" w:space="0" w:color="auto"/>
        <w:right w:val="none" w:sz="0" w:space="0" w:color="auto"/>
      </w:divBdr>
      <w:divsChild>
        <w:div w:id="2066173386">
          <w:marLeft w:val="0"/>
          <w:marRight w:val="0"/>
          <w:marTop w:val="0"/>
          <w:marBottom w:val="0"/>
          <w:divBdr>
            <w:top w:val="none" w:sz="0" w:space="0" w:color="auto"/>
            <w:left w:val="none" w:sz="0" w:space="0" w:color="auto"/>
            <w:bottom w:val="none" w:sz="0" w:space="0" w:color="auto"/>
            <w:right w:val="none" w:sz="0" w:space="0" w:color="auto"/>
          </w:divBdr>
          <w:divsChild>
            <w:div w:id="483545847">
              <w:marLeft w:val="0"/>
              <w:marRight w:val="0"/>
              <w:marTop w:val="0"/>
              <w:marBottom w:val="0"/>
              <w:divBdr>
                <w:top w:val="none" w:sz="0" w:space="0" w:color="auto"/>
                <w:left w:val="none" w:sz="0" w:space="0" w:color="auto"/>
                <w:bottom w:val="none" w:sz="0" w:space="0" w:color="auto"/>
                <w:right w:val="none" w:sz="0" w:space="0" w:color="auto"/>
              </w:divBdr>
              <w:divsChild>
                <w:div w:id="1117481405">
                  <w:marLeft w:val="0"/>
                  <w:marRight w:val="0"/>
                  <w:marTop w:val="0"/>
                  <w:marBottom w:val="0"/>
                  <w:divBdr>
                    <w:top w:val="none" w:sz="0" w:space="0" w:color="auto"/>
                    <w:left w:val="none" w:sz="0" w:space="0" w:color="auto"/>
                    <w:bottom w:val="none" w:sz="0" w:space="0" w:color="auto"/>
                    <w:right w:val="none" w:sz="0" w:space="0" w:color="auto"/>
                  </w:divBdr>
                  <w:divsChild>
                    <w:div w:id="1543008816">
                      <w:marLeft w:val="0"/>
                      <w:marRight w:val="0"/>
                      <w:marTop w:val="300"/>
                      <w:marBottom w:val="0"/>
                      <w:divBdr>
                        <w:top w:val="none" w:sz="0" w:space="0" w:color="auto"/>
                        <w:left w:val="none" w:sz="0" w:space="0" w:color="auto"/>
                        <w:bottom w:val="none" w:sz="0" w:space="0" w:color="auto"/>
                        <w:right w:val="none" w:sz="0" w:space="0" w:color="auto"/>
                      </w:divBdr>
                      <w:divsChild>
                        <w:div w:id="556815999">
                          <w:marLeft w:val="0"/>
                          <w:marRight w:val="0"/>
                          <w:marTop w:val="0"/>
                          <w:marBottom w:val="0"/>
                          <w:divBdr>
                            <w:top w:val="none" w:sz="0" w:space="0" w:color="auto"/>
                            <w:left w:val="none" w:sz="0" w:space="0" w:color="auto"/>
                            <w:bottom w:val="none" w:sz="0" w:space="0" w:color="auto"/>
                            <w:right w:val="none" w:sz="0" w:space="0" w:color="auto"/>
                          </w:divBdr>
                          <w:divsChild>
                            <w:div w:id="5497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355764">
      <w:bodyDiv w:val="1"/>
      <w:marLeft w:val="0"/>
      <w:marRight w:val="0"/>
      <w:marTop w:val="0"/>
      <w:marBottom w:val="0"/>
      <w:divBdr>
        <w:top w:val="none" w:sz="0" w:space="0" w:color="auto"/>
        <w:left w:val="none" w:sz="0" w:space="0" w:color="auto"/>
        <w:bottom w:val="none" w:sz="0" w:space="0" w:color="auto"/>
        <w:right w:val="none" w:sz="0" w:space="0" w:color="auto"/>
      </w:divBdr>
    </w:div>
    <w:div w:id="1324161890">
      <w:bodyDiv w:val="1"/>
      <w:marLeft w:val="0"/>
      <w:marRight w:val="0"/>
      <w:marTop w:val="0"/>
      <w:marBottom w:val="0"/>
      <w:divBdr>
        <w:top w:val="none" w:sz="0" w:space="0" w:color="auto"/>
        <w:left w:val="none" w:sz="0" w:space="0" w:color="auto"/>
        <w:bottom w:val="none" w:sz="0" w:space="0" w:color="auto"/>
        <w:right w:val="none" w:sz="0" w:space="0" w:color="auto"/>
      </w:divBdr>
      <w:divsChild>
        <w:div w:id="1933854593">
          <w:marLeft w:val="5"/>
          <w:marRight w:val="5"/>
          <w:marTop w:val="0"/>
          <w:marBottom w:val="0"/>
          <w:divBdr>
            <w:top w:val="none" w:sz="0" w:space="0" w:color="auto"/>
            <w:left w:val="none" w:sz="0" w:space="0" w:color="auto"/>
            <w:bottom w:val="none" w:sz="0" w:space="0" w:color="auto"/>
            <w:right w:val="none" w:sz="0" w:space="0" w:color="auto"/>
          </w:divBdr>
          <w:divsChild>
            <w:div w:id="198664772">
              <w:marLeft w:val="0"/>
              <w:marRight w:val="0"/>
              <w:marTop w:val="0"/>
              <w:marBottom w:val="0"/>
              <w:divBdr>
                <w:top w:val="none" w:sz="0" w:space="0" w:color="auto"/>
                <w:left w:val="none" w:sz="0" w:space="0" w:color="auto"/>
                <w:bottom w:val="none" w:sz="0" w:space="0" w:color="auto"/>
                <w:right w:val="none" w:sz="0" w:space="0" w:color="auto"/>
              </w:divBdr>
              <w:divsChild>
                <w:div w:id="2034380073">
                  <w:marLeft w:val="0"/>
                  <w:marRight w:val="0"/>
                  <w:marTop w:val="0"/>
                  <w:marBottom w:val="0"/>
                  <w:divBdr>
                    <w:top w:val="none" w:sz="0" w:space="0" w:color="auto"/>
                    <w:left w:val="none" w:sz="0" w:space="0" w:color="auto"/>
                    <w:bottom w:val="none" w:sz="0" w:space="0" w:color="auto"/>
                    <w:right w:val="none" w:sz="0" w:space="0" w:color="auto"/>
                  </w:divBdr>
                  <w:divsChild>
                    <w:div w:id="1510026550">
                      <w:marLeft w:val="0"/>
                      <w:marRight w:val="0"/>
                      <w:marTop w:val="0"/>
                      <w:marBottom w:val="0"/>
                      <w:divBdr>
                        <w:top w:val="none" w:sz="0" w:space="0" w:color="auto"/>
                        <w:left w:val="none" w:sz="0" w:space="0" w:color="auto"/>
                        <w:bottom w:val="none" w:sz="0" w:space="0" w:color="auto"/>
                        <w:right w:val="none" w:sz="0" w:space="0" w:color="auto"/>
                      </w:divBdr>
                      <w:divsChild>
                        <w:div w:id="221792577">
                          <w:marLeft w:val="0"/>
                          <w:marRight w:val="0"/>
                          <w:marTop w:val="0"/>
                          <w:marBottom w:val="0"/>
                          <w:divBdr>
                            <w:top w:val="none" w:sz="0" w:space="0" w:color="auto"/>
                            <w:left w:val="none" w:sz="0" w:space="0" w:color="auto"/>
                            <w:bottom w:val="none" w:sz="0" w:space="0" w:color="auto"/>
                            <w:right w:val="none" w:sz="0" w:space="0" w:color="auto"/>
                          </w:divBdr>
                          <w:divsChild>
                            <w:div w:id="603340685">
                              <w:marLeft w:val="0"/>
                              <w:marRight w:val="0"/>
                              <w:marTop w:val="0"/>
                              <w:marBottom w:val="0"/>
                              <w:divBdr>
                                <w:top w:val="none" w:sz="0" w:space="0" w:color="auto"/>
                                <w:left w:val="none" w:sz="0" w:space="0" w:color="auto"/>
                                <w:bottom w:val="none" w:sz="0" w:space="0" w:color="auto"/>
                                <w:right w:val="none" w:sz="0" w:space="0" w:color="auto"/>
                              </w:divBdr>
                              <w:divsChild>
                                <w:div w:id="30828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972417">
      <w:bodyDiv w:val="1"/>
      <w:marLeft w:val="0"/>
      <w:marRight w:val="0"/>
      <w:marTop w:val="0"/>
      <w:marBottom w:val="0"/>
      <w:divBdr>
        <w:top w:val="none" w:sz="0" w:space="0" w:color="auto"/>
        <w:left w:val="none" w:sz="0" w:space="0" w:color="auto"/>
        <w:bottom w:val="none" w:sz="0" w:space="0" w:color="auto"/>
        <w:right w:val="none" w:sz="0" w:space="0" w:color="auto"/>
      </w:divBdr>
    </w:div>
    <w:div w:id="1379668631">
      <w:bodyDiv w:val="1"/>
      <w:marLeft w:val="0"/>
      <w:marRight w:val="0"/>
      <w:marTop w:val="0"/>
      <w:marBottom w:val="0"/>
      <w:divBdr>
        <w:top w:val="none" w:sz="0" w:space="0" w:color="auto"/>
        <w:left w:val="none" w:sz="0" w:space="0" w:color="auto"/>
        <w:bottom w:val="none" w:sz="0" w:space="0" w:color="auto"/>
        <w:right w:val="none" w:sz="0" w:space="0" w:color="auto"/>
      </w:divBdr>
      <w:divsChild>
        <w:div w:id="1802265686">
          <w:marLeft w:val="0"/>
          <w:marRight w:val="0"/>
          <w:marTop w:val="0"/>
          <w:marBottom w:val="0"/>
          <w:divBdr>
            <w:top w:val="none" w:sz="0" w:space="0" w:color="auto"/>
            <w:left w:val="none" w:sz="0" w:space="0" w:color="auto"/>
            <w:bottom w:val="none" w:sz="0" w:space="0" w:color="auto"/>
            <w:right w:val="none" w:sz="0" w:space="0" w:color="auto"/>
          </w:divBdr>
        </w:div>
      </w:divsChild>
    </w:div>
    <w:div w:id="1396515580">
      <w:bodyDiv w:val="1"/>
      <w:marLeft w:val="0"/>
      <w:marRight w:val="0"/>
      <w:marTop w:val="0"/>
      <w:marBottom w:val="0"/>
      <w:divBdr>
        <w:top w:val="none" w:sz="0" w:space="0" w:color="auto"/>
        <w:left w:val="none" w:sz="0" w:space="0" w:color="auto"/>
        <w:bottom w:val="none" w:sz="0" w:space="0" w:color="auto"/>
        <w:right w:val="none" w:sz="0" w:space="0" w:color="auto"/>
      </w:divBdr>
    </w:div>
    <w:div w:id="1410348909">
      <w:bodyDiv w:val="1"/>
      <w:marLeft w:val="0"/>
      <w:marRight w:val="0"/>
      <w:marTop w:val="0"/>
      <w:marBottom w:val="0"/>
      <w:divBdr>
        <w:top w:val="none" w:sz="0" w:space="0" w:color="auto"/>
        <w:left w:val="none" w:sz="0" w:space="0" w:color="auto"/>
        <w:bottom w:val="none" w:sz="0" w:space="0" w:color="auto"/>
        <w:right w:val="none" w:sz="0" w:space="0" w:color="auto"/>
      </w:divBdr>
    </w:div>
    <w:div w:id="1418402303">
      <w:bodyDiv w:val="1"/>
      <w:marLeft w:val="0"/>
      <w:marRight w:val="0"/>
      <w:marTop w:val="0"/>
      <w:marBottom w:val="0"/>
      <w:divBdr>
        <w:top w:val="none" w:sz="0" w:space="0" w:color="auto"/>
        <w:left w:val="none" w:sz="0" w:space="0" w:color="auto"/>
        <w:bottom w:val="none" w:sz="0" w:space="0" w:color="auto"/>
        <w:right w:val="none" w:sz="0" w:space="0" w:color="auto"/>
      </w:divBdr>
    </w:div>
    <w:div w:id="1430737858">
      <w:bodyDiv w:val="1"/>
      <w:marLeft w:val="0"/>
      <w:marRight w:val="0"/>
      <w:marTop w:val="0"/>
      <w:marBottom w:val="0"/>
      <w:divBdr>
        <w:top w:val="none" w:sz="0" w:space="0" w:color="auto"/>
        <w:left w:val="none" w:sz="0" w:space="0" w:color="auto"/>
        <w:bottom w:val="none" w:sz="0" w:space="0" w:color="auto"/>
        <w:right w:val="none" w:sz="0" w:space="0" w:color="auto"/>
      </w:divBdr>
      <w:divsChild>
        <w:div w:id="813375292">
          <w:marLeft w:val="0"/>
          <w:marRight w:val="0"/>
          <w:marTop w:val="144"/>
          <w:marBottom w:val="0"/>
          <w:divBdr>
            <w:top w:val="none" w:sz="0" w:space="0" w:color="auto"/>
            <w:left w:val="none" w:sz="0" w:space="0" w:color="auto"/>
            <w:bottom w:val="none" w:sz="0" w:space="0" w:color="auto"/>
            <w:right w:val="none" w:sz="0" w:space="0" w:color="auto"/>
          </w:divBdr>
          <w:divsChild>
            <w:div w:id="846407681">
              <w:marLeft w:val="0"/>
              <w:marRight w:val="0"/>
              <w:marTop w:val="0"/>
              <w:marBottom w:val="0"/>
              <w:divBdr>
                <w:top w:val="none" w:sz="0" w:space="0" w:color="auto"/>
                <w:left w:val="none" w:sz="0" w:space="0" w:color="auto"/>
                <w:bottom w:val="none" w:sz="0" w:space="0" w:color="auto"/>
                <w:right w:val="none" w:sz="0" w:space="0" w:color="auto"/>
              </w:divBdr>
              <w:divsChild>
                <w:div w:id="14505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869716">
      <w:bodyDiv w:val="1"/>
      <w:marLeft w:val="0"/>
      <w:marRight w:val="0"/>
      <w:marTop w:val="0"/>
      <w:marBottom w:val="0"/>
      <w:divBdr>
        <w:top w:val="none" w:sz="0" w:space="0" w:color="auto"/>
        <w:left w:val="none" w:sz="0" w:space="0" w:color="auto"/>
        <w:bottom w:val="none" w:sz="0" w:space="0" w:color="auto"/>
        <w:right w:val="none" w:sz="0" w:space="0" w:color="auto"/>
      </w:divBdr>
      <w:divsChild>
        <w:div w:id="1213467858">
          <w:marLeft w:val="5"/>
          <w:marRight w:val="5"/>
          <w:marTop w:val="0"/>
          <w:marBottom w:val="0"/>
          <w:divBdr>
            <w:top w:val="none" w:sz="0" w:space="0" w:color="auto"/>
            <w:left w:val="none" w:sz="0" w:space="0" w:color="auto"/>
            <w:bottom w:val="none" w:sz="0" w:space="0" w:color="auto"/>
            <w:right w:val="none" w:sz="0" w:space="0" w:color="auto"/>
          </w:divBdr>
          <w:divsChild>
            <w:div w:id="2112361205">
              <w:marLeft w:val="0"/>
              <w:marRight w:val="0"/>
              <w:marTop w:val="0"/>
              <w:marBottom w:val="0"/>
              <w:divBdr>
                <w:top w:val="none" w:sz="0" w:space="0" w:color="auto"/>
                <w:left w:val="none" w:sz="0" w:space="0" w:color="auto"/>
                <w:bottom w:val="none" w:sz="0" w:space="0" w:color="auto"/>
                <w:right w:val="none" w:sz="0" w:space="0" w:color="auto"/>
              </w:divBdr>
              <w:divsChild>
                <w:div w:id="34934298">
                  <w:marLeft w:val="0"/>
                  <w:marRight w:val="0"/>
                  <w:marTop w:val="0"/>
                  <w:marBottom w:val="0"/>
                  <w:divBdr>
                    <w:top w:val="none" w:sz="0" w:space="0" w:color="auto"/>
                    <w:left w:val="none" w:sz="0" w:space="0" w:color="auto"/>
                    <w:bottom w:val="none" w:sz="0" w:space="0" w:color="auto"/>
                    <w:right w:val="none" w:sz="0" w:space="0" w:color="auto"/>
                  </w:divBdr>
                  <w:divsChild>
                    <w:div w:id="1999114508">
                      <w:marLeft w:val="0"/>
                      <w:marRight w:val="0"/>
                      <w:marTop w:val="0"/>
                      <w:marBottom w:val="0"/>
                      <w:divBdr>
                        <w:top w:val="none" w:sz="0" w:space="0" w:color="auto"/>
                        <w:left w:val="none" w:sz="0" w:space="0" w:color="auto"/>
                        <w:bottom w:val="none" w:sz="0" w:space="0" w:color="auto"/>
                        <w:right w:val="none" w:sz="0" w:space="0" w:color="auto"/>
                      </w:divBdr>
                      <w:divsChild>
                        <w:div w:id="1323923754">
                          <w:marLeft w:val="0"/>
                          <w:marRight w:val="0"/>
                          <w:marTop w:val="0"/>
                          <w:marBottom w:val="0"/>
                          <w:divBdr>
                            <w:top w:val="none" w:sz="0" w:space="0" w:color="auto"/>
                            <w:left w:val="none" w:sz="0" w:space="0" w:color="auto"/>
                            <w:bottom w:val="none" w:sz="0" w:space="0" w:color="auto"/>
                            <w:right w:val="none" w:sz="0" w:space="0" w:color="auto"/>
                          </w:divBdr>
                          <w:divsChild>
                            <w:div w:id="741296482">
                              <w:marLeft w:val="0"/>
                              <w:marRight w:val="0"/>
                              <w:marTop w:val="0"/>
                              <w:marBottom w:val="0"/>
                              <w:divBdr>
                                <w:top w:val="none" w:sz="0" w:space="0" w:color="auto"/>
                                <w:left w:val="none" w:sz="0" w:space="0" w:color="auto"/>
                                <w:bottom w:val="none" w:sz="0" w:space="0" w:color="auto"/>
                                <w:right w:val="none" w:sz="0" w:space="0" w:color="auto"/>
                              </w:divBdr>
                              <w:divsChild>
                                <w:div w:id="15353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937670">
      <w:bodyDiv w:val="1"/>
      <w:marLeft w:val="0"/>
      <w:marRight w:val="0"/>
      <w:marTop w:val="0"/>
      <w:marBottom w:val="0"/>
      <w:divBdr>
        <w:top w:val="none" w:sz="0" w:space="0" w:color="auto"/>
        <w:left w:val="none" w:sz="0" w:space="0" w:color="auto"/>
        <w:bottom w:val="none" w:sz="0" w:space="0" w:color="auto"/>
        <w:right w:val="none" w:sz="0" w:space="0" w:color="auto"/>
      </w:divBdr>
      <w:divsChild>
        <w:div w:id="594706149">
          <w:marLeft w:val="0"/>
          <w:marRight w:val="0"/>
          <w:marTop w:val="0"/>
          <w:marBottom w:val="0"/>
          <w:divBdr>
            <w:top w:val="none" w:sz="0" w:space="0" w:color="auto"/>
            <w:left w:val="none" w:sz="0" w:space="0" w:color="auto"/>
            <w:bottom w:val="none" w:sz="0" w:space="0" w:color="auto"/>
            <w:right w:val="none" w:sz="0" w:space="0" w:color="auto"/>
          </w:divBdr>
          <w:divsChild>
            <w:div w:id="2080203297">
              <w:marLeft w:val="0"/>
              <w:marRight w:val="0"/>
              <w:marTop w:val="0"/>
              <w:marBottom w:val="0"/>
              <w:divBdr>
                <w:top w:val="none" w:sz="0" w:space="0" w:color="auto"/>
                <w:left w:val="none" w:sz="0" w:space="0" w:color="auto"/>
                <w:bottom w:val="none" w:sz="0" w:space="0" w:color="auto"/>
                <w:right w:val="none" w:sz="0" w:space="0" w:color="auto"/>
              </w:divBdr>
              <w:divsChild>
                <w:div w:id="842360379">
                  <w:marLeft w:val="0"/>
                  <w:marRight w:val="0"/>
                  <w:marTop w:val="0"/>
                  <w:marBottom w:val="0"/>
                  <w:divBdr>
                    <w:top w:val="none" w:sz="0" w:space="0" w:color="auto"/>
                    <w:left w:val="none" w:sz="0" w:space="0" w:color="auto"/>
                    <w:bottom w:val="none" w:sz="0" w:space="0" w:color="auto"/>
                    <w:right w:val="none" w:sz="0" w:space="0" w:color="auto"/>
                  </w:divBdr>
                  <w:divsChild>
                    <w:div w:id="582684271">
                      <w:marLeft w:val="0"/>
                      <w:marRight w:val="0"/>
                      <w:marTop w:val="300"/>
                      <w:marBottom w:val="0"/>
                      <w:divBdr>
                        <w:top w:val="none" w:sz="0" w:space="0" w:color="auto"/>
                        <w:left w:val="none" w:sz="0" w:space="0" w:color="auto"/>
                        <w:bottom w:val="none" w:sz="0" w:space="0" w:color="auto"/>
                        <w:right w:val="none" w:sz="0" w:space="0" w:color="auto"/>
                      </w:divBdr>
                      <w:divsChild>
                        <w:div w:id="281427703">
                          <w:marLeft w:val="0"/>
                          <w:marRight w:val="0"/>
                          <w:marTop w:val="0"/>
                          <w:marBottom w:val="0"/>
                          <w:divBdr>
                            <w:top w:val="none" w:sz="0" w:space="0" w:color="auto"/>
                            <w:left w:val="none" w:sz="0" w:space="0" w:color="auto"/>
                            <w:bottom w:val="none" w:sz="0" w:space="0" w:color="auto"/>
                            <w:right w:val="none" w:sz="0" w:space="0" w:color="auto"/>
                          </w:divBdr>
                          <w:divsChild>
                            <w:div w:id="1279066626">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162082">
      <w:bodyDiv w:val="1"/>
      <w:marLeft w:val="0"/>
      <w:marRight w:val="0"/>
      <w:marTop w:val="0"/>
      <w:marBottom w:val="0"/>
      <w:divBdr>
        <w:top w:val="none" w:sz="0" w:space="0" w:color="auto"/>
        <w:left w:val="none" w:sz="0" w:space="0" w:color="auto"/>
        <w:bottom w:val="none" w:sz="0" w:space="0" w:color="auto"/>
        <w:right w:val="none" w:sz="0" w:space="0" w:color="auto"/>
      </w:divBdr>
      <w:divsChild>
        <w:div w:id="777409300">
          <w:marLeft w:val="0"/>
          <w:marRight w:val="0"/>
          <w:marTop w:val="0"/>
          <w:marBottom w:val="0"/>
          <w:divBdr>
            <w:top w:val="none" w:sz="0" w:space="0" w:color="auto"/>
            <w:left w:val="none" w:sz="0" w:space="0" w:color="auto"/>
            <w:bottom w:val="none" w:sz="0" w:space="0" w:color="auto"/>
            <w:right w:val="none" w:sz="0" w:space="0" w:color="auto"/>
          </w:divBdr>
          <w:divsChild>
            <w:div w:id="453258428">
              <w:marLeft w:val="0"/>
              <w:marRight w:val="0"/>
              <w:marTop w:val="0"/>
              <w:marBottom w:val="0"/>
              <w:divBdr>
                <w:top w:val="none" w:sz="0" w:space="0" w:color="auto"/>
                <w:left w:val="none" w:sz="0" w:space="0" w:color="auto"/>
                <w:bottom w:val="none" w:sz="0" w:space="0" w:color="auto"/>
                <w:right w:val="none" w:sz="0" w:space="0" w:color="auto"/>
              </w:divBdr>
              <w:divsChild>
                <w:div w:id="1049038369">
                  <w:marLeft w:val="150"/>
                  <w:marRight w:val="150"/>
                  <w:marTop w:val="0"/>
                  <w:marBottom w:val="0"/>
                  <w:divBdr>
                    <w:top w:val="none" w:sz="0" w:space="0" w:color="auto"/>
                    <w:left w:val="none" w:sz="0" w:space="0" w:color="auto"/>
                    <w:bottom w:val="none" w:sz="0" w:space="0" w:color="auto"/>
                    <w:right w:val="none" w:sz="0" w:space="0" w:color="auto"/>
                  </w:divBdr>
                  <w:divsChild>
                    <w:div w:id="469329592">
                      <w:marLeft w:val="0"/>
                      <w:marRight w:val="0"/>
                      <w:marTop w:val="0"/>
                      <w:marBottom w:val="0"/>
                      <w:divBdr>
                        <w:top w:val="none" w:sz="0" w:space="0" w:color="auto"/>
                        <w:left w:val="none" w:sz="0" w:space="0" w:color="auto"/>
                        <w:bottom w:val="none" w:sz="0" w:space="0" w:color="auto"/>
                        <w:right w:val="none" w:sz="0" w:space="0" w:color="auto"/>
                      </w:divBdr>
                      <w:divsChild>
                        <w:div w:id="1481115719">
                          <w:marLeft w:val="150"/>
                          <w:marRight w:val="0"/>
                          <w:marTop w:val="150"/>
                          <w:marBottom w:val="150"/>
                          <w:divBdr>
                            <w:top w:val="single" w:sz="6" w:space="0" w:color="CCCCCC"/>
                            <w:left w:val="single" w:sz="6" w:space="0" w:color="CCCCCC"/>
                            <w:bottom w:val="single" w:sz="6" w:space="4" w:color="CCCCCC"/>
                            <w:right w:val="single" w:sz="6" w:space="0" w:color="CCCCCC"/>
                          </w:divBdr>
                        </w:div>
                      </w:divsChild>
                    </w:div>
                  </w:divsChild>
                </w:div>
              </w:divsChild>
            </w:div>
          </w:divsChild>
        </w:div>
      </w:divsChild>
    </w:div>
    <w:div w:id="1504314807">
      <w:bodyDiv w:val="1"/>
      <w:marLeft w:val="0"/>
      <w:marRight w:val="0"/>
      <w:marTop w:val="0"/>
      <w:marBottom w:val="0"/>
      <w:divBdr>
        <w:top w:val="none" w:sz="0" w:space="0" w:color="auto"/>
        <w:left w:val="none" w:sz="0" w:space="0" w:color="auto"/>
        <w:bottom w:val="none" w:sz="0" w:space="0" w:color="auto"/>
        <w:right w:val="none" w:sz="0" w:space="0" w:color="auto"/>
      </w:divBdr>
    </w:div>
    <w:div w:id="1505124215">
      <w:bodyDiv w:val="1"/>
      <w:marLeft w:val="0"/>
      <w:marRight w:val="0"/>
      <w:marTop w:val="0"/>
      <w:marBottom w:val="0"/>
      <w:divBdr>
        <w:top w:val="none" w:sz="0" w:space="0" w:color="auto"/>
        <w:left w:val="none" w:sz="0" w:space="0" w:color="auto"/>
        <w:bottom w:val="none" w:sz="0" w:space="0" w:color="auto"/>
        <w:right w:val="none" w:sz="0" w:space="0" w:color="auto"/>
      </w:divBdr>
    </w:div>
    <w:div w:id="1532841278">
      <w:bodyDiv w:val="1"/>
      <w:marLeft w:val="0"/>
      <w:marRight w:val="0"/>
      <w:marTop w:val="0"/>
      <w:marBottom w:val="0"/>
      <w:divBdr>
        <w:top w:val="none" w:sz="0" w:space="0" w:color="auto"/>
        <w:left w:val="none" w:sz="0" w:space="0" w:color="auto"/>
        <w:bottom w:val="none" w:sz="0" w:space="0" w:color="auto"/>
        <w:right w:val="none" w:sz="0" w:space="0" w:color="auto"/>
      </w:divBdr>
    </w:div>
    <w:div w:id="1582762690">
      <w:bodyDiv w:val="1"/>
      <w:marLeft w:val="0"/>
      <w:marRight w:val="0"/>
      <w:marTop w:val="0"/>
      <w:marBottom w:val="0"/>
      <w:divBdr>
        <w:top w:val="none" w:sz="0" w:space="0" w:color="auto"/>
        <w:left w:val="none" w:sz="0" w:space="0" w:color="auto"/>
        <w:bottom w:val="none" w:sz="0" w:space="0" w:color="auto"/>
        <w:right w:val="none" w:sz="0" w:space="0" w:color="auto"/>
      </w:divBdr>
    </w:div>
    <w:div w:id="1618682152">
      <w:bodyDiv w:val="1"/>
      <w:marLeft w:val="0"/>
      <w:marRight w:val="0"/>
      <w:marTop w:val="0"/>
      <w:marBottom w:val="0"/>
      <w:divBdr>
        <w:top w:val="none" w:sz="0" w:space="0" w:color="auto"/>
        <w:left w:val="none" w:sz="0" w:space="0" w:color="auto"/>
        <w:bottom w:val="none" w:sz="0" w:space="0" w:color="auto"/>
        <w:right w:val="none" w:sz="0" w:space="0" w:color="auto"/>
      </w:divBdr>
    </w:div>
    <w:div w:id="1644851097">
      <w:bodyDiv w:val="1"/>
      <w:marLeft w:val="0"/>
      <w:marRight w:val="0"/>
      <w:marTop w:val="0"/>
      <w:marBottom w:val="0"/>
      <w:divBdr>
        <w:top w:val="none" w:sz="0" w:space="0" w:color="auto"/>
        <w:left w:val="none" w:sz="0" w:space="0" w:color="auto"/>
        <w:bottom w:val="none" w:sz="0" w:space="0" w:color="auto"/>
        <w:right w:val="none" w:sz="0" w:space="0" w:color="auto"/>
      </w:divBdr>
      <w:divsChild>
        <w:div w:id="170223803">
          <w:marLeft w:val="0"/>
          <w:marRight w:val="0"/>
          <w:marTop w:val="0"/>
          <w:marBottom w:val="0"/>
          <w:divBdr>
            <w:top w:val="none" w:sz="0" w:space="0" w:color="auto"/>
            <w:left w:val="none" w:sz="0" w:space="0" w:color="auto"/>
            <w:bottom w:val="none" w:sz="0" w:space="0" w:color="auto"/>
            <w:right w:val="none" w:sz="0" w:space="0" w:color="auto"/>
          </w:divBdr>
          <w:divsChild>
            <w:div w:id="588660293">
              <w:marLeft w:val="0"/>
              <w:marRight w:val="0"/>
              <w:marTop w:val="0"/>
              <w:marBottom w:val="0"/>
              <w:divBdr>
                <w:top w:val="none" w:sz="0" w:space="0" w:color="auto"/>
                <w:left w:val="none" w:sz="0" w:space="0" w:color="auto"/>
                <w:bottom w:val="none" w:sz="0" w:space="0" w:color="auto"/>
                <w:right w:val="none" w:sz="0" w:space="0" w:color="auto"/>
              </w:divBdr>
              <w:divsChild>
                <w:div w:id="11927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12223">
      <w:bodyDiv w:val="1"/>
      <w:marLeft w:val="0"/>
      <w:marRight w:val="0"/>
      <w:marTop w:val="0"/>
      <w:marBottom w:val="0"/>
      <w:divBdr>
        <w:top w:val="none" w:sz="0" w:space="0" w:color="auto"/>
        <w:left w:val="none" w:sz="0" w:space="0" w:color="auto"/>
        <w:bottom w:val="none" w:sz="0" w:space="0" w:color="auto"/>
        <w:right w:val="none" w:sz="0" w:space="0" w:color="auto"/>
      </w:divBdr>
    </w:div>
    <w:div w:id="1667443309">
      <w:bodyDiv w:val="1"/>
      <w:marLeft w:val="0"/>
      <w:marRight w:val="0"/>
      <w:marTop w:val="0"/>
      <w:marBottom w:val="0"/>
      <w:divBdr>
        <w:top w:val="none" w:sz="0" w:space="0" w:color="auto"/>
        <w:left w:val="none" w:sz="0" w:space="0" w:color="auto"/>
        <w:bottom w:val="none" w:sz="0" w:space="0" w:color="auto"/>
        <w:right w:val="none" w:sz="0" w:space="0" w:color="auto"/>
      </w:divBdr>
    </w:div>
    <w:div w:id="1680158244">
      <w:bodyDiv w:val="1"/>
      <w:marLeft w:val="0"/>
      <w:marRight w:val="0"/>
      <w:marTop w:val="0"/>
      <w:marBottom w:val="0"/>
      <w:divBdr>
        <w:top w:val="none" w:sz="0" w:space="0" w:color="auto"/>
        <w:left w:val="none" w:sz="0" w:space="0" w:color="auto"/>
        <w:bottom w:val="none" w:sz="0" w:space="0" w:color="auto"/>
        <w:right w:val="none" w:sz="0" w:space="0" w:color="auto"/>
      </w:divBdr>
      <w:divsChild>
        <w:div w:id="1909995380">
          <w:marLeft w:val="0"/>
          <w:marRight w:val="0"/>
          <w:marTop w:val="0"/>
          <w:marBottom w:val="0"/>
          <w:divBdr>
            <w:top w:val="none" w:sz="0" w:space="0" w:color="auto"/>
            <w:left w:val="none" w:sz="0" w:space="0" w:color="auto"/>
            <w:bottom w:val="none" w:sz="0" w:space="0" w:color="auto"/>
            <w:right w:val="none" w:sz="0" w:space="0" w:color="auto"/>
          </w:divBdr>
          <w:divsChild>
            <w:div w:id="350572332">
              <w:marLeft w:val="0"/>
              <w:marRight w:val="0"/>
              <w:marTop w:val="0"/>
              <w:marBottom w:val="0"/>
              <w:divBdr>
                <w:top w:val="none" w:sz="0" w:space="0" w:color="auto"/>
                <w:left w:val="none" w:sz="0" w:space="0" w:color="auto"/>
                <w:bottom w:val="none" w:sz="0" w:space="0" w:color="auto"/>
                <w:right w:val="none" w:sz="0" w:space="0" w:color="auto"/>
              </w:divBdr>
              <w:divsChild>
                <w:div w:id="326908983">
                  <w:marLeft w:val="150"/>
                  <w:marRight w:val="150"/>
                  <w:marTop w:val="0"/>
                  <w:marBottom w:val="0"/>
                  <w:divBdr>
                    <w:top w:val="none" w:sz="0" w:space="0" w:color="auto"/>
                    <w:left w:val="none" w:sz="0" w:space="0" w:color="auto"/>
                    <w:bottom w:val="none" w:sz="0" w:space="0" w:color="auto"/>
                    <w:right w:val="none" w:sz="0" w:space="0" w:color="auto"/>
                  </w:divBdr>
                  <w:divsChild>
                    <w:div w:id="402412747">
                      <w:marLeft w:val="0"/>
                      <w:marRight w:val="0"/>
                      <w:marTop w:val="0"/>
                      <w:marBottom w:val="0"/>
                      <w:divBdr>
                        <w:top w:val="none" w:sz="0" w:space="0" w:color="auto"/>
                        <w:left w:val="none" w:sz="0" w:space="0" w:color="auto"/>
                        <w:bottom w:val="none" w:sz="0" w:space="0" w:color="auto"/>
                        <w:right w:val="none" w:sz="0" w:space="0" w:color="auto"/>
                      </w:divBdr>
                      <w:divsChild>
                        <w:div w:id="1971663559">
                          <w:marLeft w:val="150"/>
                          <w:marRight w:val="0"/>
                          <w:marTop w:val="150"/>
                          <w:marBottom w:val="150"/>
                          <w:divBdr>
                            <w:top w:val="single" w:sz="6" w:space="0" w:color="CCCCCC"/>
                            <w:left w:val="single" w:sz="6" w:space="0" w:color="CCCCCC"/>
                            <w:bottom w:val="single" w:sz="6" w:space="4" w:color="CCCCCC"/>
                            <w:right w:val="single" w:sz="6" w:space="0" w:color="CCCCCC"/>
                          </w:divBdr>
                        </w:div>
                        <w:div w:id="1528718532">
                          <w:marLeft w:val="150"/>
                          <w:marRight w:val="0"/>
                          <w:marTop w:val="150"/>
                          <w:marBottom w:val="150"/>
                          <w:divBdr>
                            <w:top w:val="single" w:sz="6" w:space="0" w:color="CCCCCC"/>
                            <w:left w:val="single" w:sz="6" w:space="0" w:color="CCCCCC"/>
                            <w:bottom w:val="single" w:sz="6" w:space="4" w:color="CCCCCC"/>
                            <w:right w:val="single" w:sz="6" w:space="0" w:color="CCCCCC"/>
                          </w:divBdr>
                        </w:div>
                      </w:divsChild>
                    </w:div>
                  </w:divsChild>
                </w:div>
              </w:divsChild>
            </w:div>
          </w:divsChild>
        </w:div>
      </w:divsChild>
    </w:div>
    <w:div w:id="1706102332">
      <w:bodyDiv w:val="1"/>
      <w:marLeft w:val="0"/>
      <w:marRight w:val="0"/>
      <w:marTop w:val="0"/>
      <w:marBottom w:val="0"/>
      <w:divBdr>
        <w:top w:val="none" w:sz="0" w:space="0" w:color="auto"/>
        <w:left w:val="none" w:sz="0" w:space="0" w:color="auto"/>
        <w:bottom w:val="none" w:sz="0" w:space="0" w:color="auto"/>
        <w:right w:val="none" w:sz="0" w:space="0" w:color="auto"/>
      </w:divBdr>
    </w:div>
    <w:div w:id="1707484357">
      <w:bodyDiv w:val="1"/>
      <w:marLeft w:val="0"/>
      <w:marRight w:val="0"/>
      <w:marTop w:val="0"/>
      <w:marBottom w:val="0"/>
      <w:divBdr>
        <w:top w:val="none" w:sz="0" w:space="0" w:color="auto"/>
        <w:left w:val="none" w:sz="0" w:space="0" w:color="auto"/>
        <w:bottom w:val="none" w:sz="0" w:space="0" w:color="auto"/>
        <w:right w:val="none" w:sz="0" w:space="0" w:color="auto"/>
      </w:divBdr>
    </w:div>
    <w:div w:id="1756853518">
      <w:bodyDiv w:val="1"/>
      <w:marLeft w:val="0"/>
      <w:marRight w:val="0"/>
      <w:marTop w:val="0"/>
      <w:marBottom w:val="0"/>
      <w:divBdr>
        <w:top w:val="none" w:sz="0" w:space="0" w:color="auto"/>
        <w:left w:val="none" w:sz="0" w:space="0" w:color="auto"/>
        <w:bottom w:val="none" w:sz="0" w:space="0" w:color="auto"/>
        <w:right w:val="none" w:sz="0" w:space="0" w:color="auto"/>
      </w:divBdr>
      <w:divsChild>
        <w:div w:id="1510486305">
          <w:marLeft w:val="113"/>
          <w:marRight w:val="0"/>
          <w:marTop w:val="0"/>
          <w:marBottom w:val="0"/>
          <w:divBdr>
            <w:top w:val="none" w:sz="0" w:space="0" w:color="auto"/>
            <w:left w:val="none" w:sz="0" w:space="0" w:color="auto"/>
            <w:bottom w:val="none" w:sz="0" w:space="0" w:color="auto"/>
            <w:right w:val="none" w:sz="0" w:space="0" w:color="auto"/>
          </w:divBdr>
        </w:div>
        <w:div w:id="1402486999">
          <w:marLeft w:val="113"/>
          <w:marRight w:val="510"/>
          <w:marTop w:val="0"/>
          <w:marBottom w:val="0"/>
          <w:divBdr>
            <w:top w:val="none" w:sz="0" w:space="0" w:color="auto"/>
            <w:left w:val="none" w:sz="0" w:space="0" w:color="auto"/>
            <w:bottom w:val="none" w:sz="0" w:space="0" w:color="auto"/>
            <w:right w:val="none" w:sz="0" w:space="0" w:color="auto"/>
          </w:divBdr>
        </w:div>
      </w:divsChild>
    </w:div>
    <w:div w:id="1777863265">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186866895">
          <w:marLeft w:val="0"/>
          <w:marRight w:val="0"/>
          <w:marTop w:val="0"/>
          <w:marBottom w:val="0"/>
          <w:divBdr>
            <w:top w:val="none" w:sz="0" w:space="0" w:color="auto"/>
            <w:left w:val="none" w:sz="0" w:space="0" w:color="auto"/>
            <w:bottom w:val="none" w:sz="0" w:space="0" w:color="auto"/>
            <w:right w:val="none" w:sz="0" w:space="0" w:color="auto"/>
          </w:divBdr>
          <w:divsChild>
            <w:div w:id="506986851">
              <w:marLeft w:val="0"/>
              <w:marRight w:val="0"/>
              <w:marTop w:val="0"/>
              <w:marBottom w:val="0"/>
              <w:divBdr>
                <w:top w:val="none" w:sz="0" w:space="0" w:color="auto"/>
                <w:left w:val="none" w:sz="0" w:space="0" w:color="auto"/>
                <w:bottom w:val="none" w:sz="0" w:space="0" w:color="auto"/>
                <w:right w:val="none" w:sz="0" w:space="0" w:color="auto"/>
              </w:divBdr>
              <w:divsChild>
                <w:div w:id="1657954255">
                  <w:marLeft w:val="0"/>
                  <w:marRight w:val="0"/>
                  <w:marTop w:val="0"/>
                  <w:marBottom w:val="0"/>
                  <w:divBdr>
                    <w:top w:val="none" w:sz="0" w:space="0" w:color="auto"/>
                    <w:left w:val="none" w:sz="0" w:space="0" w:color="auto"/>
                    <w:bottom w:val="none" w:sz="0" w:space="0" w:color="auto"/>
                    <w:right w:val="none" w:sz="0" w:space="0" w:color="auto"/>
                  </w:divBdr>
                  <w:divsChild>
                    <w:div w:id="1574584434">
                      <w:marLeft w:val="0"/>
                      <w:marRight w:val="0"/>
                      <w:marTop w:val="0"/>
                      <w:marBottom w:val="0"/>
                      <w:divBdr>
                        <w:top w:val="none" w:sz="0" w:space="0" w:color="auto"/>
                        <w:left w:val="none" w:sz="0" w:space="0" w:color="auto"/>
                        <w:bottom w:val="none" w:sz="0" w:space="0" w:color="auto"/>
                        <w:right w:val="none" w:sz="0" w:space="0" w:color="auto"/>
                      </w:divBdr>
                      <w:divsChild>
                        <w:div w:id="184097930">
                          <w:marLeft w:val="300"/>
                          <w:marRight w:val="300"/>
                          <w:marTop w:val="0"/>
                          <w:marBottom w:val="0"/>
                          <w:divBdr>
                            <w:top w:val="none" w:sz="0" w:space="0" w:color="auto"/>
                            <w:left w:val="none" w:sz="0" w:space="0" w:color="auto"/>
                            <w:bottom w:val="none" w:sz="0" w:space="0" w:color="auto"/>
                            <w:right w:val="none" w:sz="0" w:space="0" w:color="auto"/>
                          </w:divBdr>
                          <w:divsChild>
                            <w:div w:id="1411660024">
                              <w:marLeft w:val="240"/>
                              <w:marRight w:val="240"/>
                              <w:marTop w:val="240"/>
                              <w:marBottom w:val="240"/>
                              <w:divBdr>
                                <w:top w:val="none" w:sz="0" w:space="0" w:color="auto"/>
                                <w:left w:val="none" w:sz="0" w:space="0" w:color="auto"/>
                                <w:bottom w:val="none" w:sz="0" w:space="0" w:color="auto"/>
                                <w:right w:val="none" w:sz="0" w:space="0" w:color="auto"/>
                              </w:divBdr>
                              <w:divsChild>
                                <w:div w:id="1105542334">
                                  <w:marLeft w:val="0"/>
                                  <w:marRight w:val="0"/>
                                  <w:marTop w:val="0"/>
                                  <w:marBottom w:val="0"/>
                                  <w:divBdr>
                                    <w:top w:val="none" w:sz="0" w:space="0" w:color="auto"/>
                                    <w:left w:val="none" w:sz="0" w:space="0" w:color="auto"/>
                                    <w:bottom w:val="none" w:sz="0" w:space="0" w:color="auto"/>
                                    <w:right w:val="none" w:sz="0" w:space="0" w:color="auto"/>
                                  </w:divBdr>
                                  <w:divsChild>
                                    <w:div w:id="1264608792">
                                      <w:marLeft w:val="0"/>
                                      <w:marRight w:val="0"/>
                                      <w:marTop w:val="0"/>
                                      <w:marBottom w:val="0"/>
                                      <w:divBdr>
                                        <w:top w:val="single" w:sz="48" w:space="0" w:color="E1E1E1"/>
                                        <w:left w:val="none" w:sz="0" w:space="0" w:color="auto"/>
                                        <w:bottom w:val="none" w:sz="0" w:space="0" w:color="auto"/>
                                        <w:right w:val="none" w:sz="0" w:space="0" w:color="auto"/>
                                      </w:divBdr>
                                      <w:divsChild>
                                        <w:div w:id="140765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2336173">
      <w:bodyDiv w:val="1"/>
      <w:marLeft w:val="0"/>
      <w:marRight w:val="0"/>
      <w:marTop w:val="0"/>
      <w:marBottom w:val="0"/>
      <w:divBdr>
        <w:top w:val="none" w:sz="0" w:space="0" w:color="auto"/>
        <w:left w:val="none" w:sz="0" w:space="0" w:color="auto"/>
        <w:bottom w:val="none" w:sz="0" w:space="0" w:color="auto"/>
        <w:right w:val="none" w:sz="0" w:space="0" w:color="auto"/>
      </w:divBdr>
      <w:divsChild>
        <w:div w:id="822241163">
          <w:marLeft w:val="0"/>
          <w:marRight w:val="0"/>
          <w:marTop w:val="300"/>
          <w:marBottom w:val="0"/>
          <w:divBdr>
            <w:top w:val="none" w:sz="0" w:space="0" w:color="auto"/>
            <w:left w:val="none" w:sz="0" w:space="0" w:color="auto"/>
            <w:bottom w:val="none" w:sz="0" w:space="0" w:color="auto"/>
            <w:right w:val="none" w:sz="0" w:space="0" w:color="auto"/>
          </w:divBdr>
          <w:divsChild>
            <w:div w:id="414009537">
              <w:marLeft w:val="0"/>
              <w:marRight w:val="0"/>
              <w:marTop w:val="0"/>
              <w:marBottom w:val="0"/>
              <w:divBdr>
                <w:top w:val="none" w:sz="0" w:space="0" w:color="auto"/>
                <w:left w:val="none" w:sz="0" w:space="0" w:color="auto"/>
                <w:bottom w:val="none" w:sz="0" w:space="0" w:color="auto"/>
                <w:right w:val="none" w:sz="0" w:space="0" w:color="auto"/>
              </w:divBdr>
              <w:divsChild>
                <w:div w:id="1023943419">
                  <w:marLeft w:val="0"/>
                  <w:marRight w:val="-3600"/>
                  <w:marTop w:val="0"/>
                  <w:marBottom w:val="0"/>
                  <w:divBdr>
                    <w:top w:val="none" w:sz="0" w:space="0" w:color="auto"/>
                    <w:left w:val="none" w:sz="0" w:space="0" w:color="auto"/>
                    <w:bottom w:val="none" w:sz="0" w:space="0" w:color="auto"/>
                    <w:right w:val="none" w:sz="0" w:space="0" w:color="auto"/>
                  </w:divBdr>
                  <w:divsChild>
                    <w:div w:id="35395794">
                      <w:marLeft w:val="300"/>
                      <w:marRight w:val="4200"/>
                      <w:marTop w:val="0"/>
                      <w:marBottom w:val="540"/>
                      <w:divBdr>
                        <w:top w:val="none" w:sz="0" w:space="0" w:color="auto"/>
                        <w:left w:val="none" w:sz="0" w:space="0" w:color="auto"/>
                        <w:bottom w:val="none" w:sz="0" w:space="0" w:color="auto"/>
                        <w:right w:val="none" w:sz="0" w:space="0" w:color="auto"/>
                      </w:divBdr>
                      <w:divsChild>
                        <w:div w:id="59135542">
                          <w:marLeft w:val="0"/>
                          <w:marRight w:val="0"/>
                          <w:marTop w:val="0"/>
                          <w:marBottom w:val="0"/>
                          <w:divBdr>
                            <w:top w:val="none" w:sz="0" w:space="0" w:color="auto"/>
                            <w:left w:val="none" w:sz="0" w:space="0" w:color="auto"/>
                            <w:bottom w:val="none" w:sz="0" w:space="0" w:color="auto"/>
                            <w:right w:val="none" w:sz="0" w:space="0" w:color="auto"/>
                          </w:divBdr>
                          <w:divsChild>
                            <w:div w:id="1211108119">
                              <w:marLeft w:val="0"/>
                              <w:marRight w:val="0"/>
                              <w:marTop w:val="0"/>
                              <w:marBottom w:val="0"/>
                              <w:divBdr>
                                <w:top w:val="none" w:sz="0" w:space="0" w:color="auto"/>
                                <w:left w:val="none" w:sz="0" w:space="0" w:color="auto"/>
                                <w:bottom w:val="none" w:sz="0" w:space="0" w:color="auto"/>
                                <w:right w:val="none" w:sz="0" w:space="0" w:color="auto"/>
                              </w:divBdr>
                              <w:divsChild>
                                <w:div w:id="13490664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689407">
      <w:bodyDiv w:val="1"/>
      <w:marLeft w:val="0"/>
      <w:marRight w:val="0"/>
      <w:marTop w:val="0"/>
      <w:marBottom w:val="0"/>
      <w:divBdr>
        <w:top w:val="none" w:sz="0" w:space="0" w:color="auto"/>
        <w:left w:val="none" w:sz="0" w:space="0" w:color="auto"/>
        <w:bottom w:val="none" w:sz="0" w:space="0" w:color="auto"/>
        <w:right w:val="none" w:sz="0" w:space="0" w:color="auto"/>
      </w:divBdr>
    </w:div>
    <w:div w:id="1795753679">
      <w:bodyDiv w:val="1"/>
      <w:marLeft w:val="0"/>
      <w:marRight w:val="0"/>
      <w:marTop w:val="0"/>
      <w:marBottom w:val="0"/>
      <w:divBdr>
        <w:top w:val="none" w:sz="0" w:space="0" w:color="auto"/>
        <w:left w:val="none" w:sz="0" w:space="0" w:color="auto"/>
        <w:bottom w:val="none" w:sz="0" w:space="0" w:color="auto"/>
        <w:right w:val="none" w:sz="0" w:space="0" w:color="auto"/>
      </w:divBdr>
      <w:divsChild>
        <w:div w:id="1335111212">
          <w:marLeft w:val="0"/>
          <w:marRight w:val="0"/>
          <w:marTop w:val="0"/>
          <w:marBottom w:val="0"/>
          <w:divBdr>
            <w:top w:val="none" w:sz="0" w:space="0" w:color="auto"/>
            <w:left w:val="none" w:sz="0" w:space="0" w:color="auto"/>
            <w:bottom w:val="none" w:sz="0" w:space="0" w:color="auto"/>
            <w:right w:val="none" w:sz="0" w:space="0" w:color="auto"/>
          </w:divBdr>
          <w:divsChild>
            <w:div w:id="1721903352">
              <w:marLeft w:val="0"/>
              <w:marRight w:val="0"/>
              <w:marTop w:val="0"/>
              <w:marBottom w:val="0"/>
              <w:divBdr>
                <w:top w:val="none" w:sz="0" w:space="0" w:color="auto"/>
                <w:left w:val="none" w:sz="0" w:space="0" w:color="auto"/>
                <w:bottom w:val="none" w:sz="0" w:space="0" w:color="auto"/>
                <w:right w:val="none" w:sz="0" w:space="0" w:color="auto"/>
              </w:divBdr>
              <w:divsChild>
                <w:div w:id="2077311770">
                  <w:marLeft w:val="0"/>
                  <w:marRight w:val="0"/>
                  <w:marTop w:val="0"/>
                  <w:marBottom w:val="0"/>
                  <w:divBdr>
                    <w:top w:val="none" w:sz="0" w:space="0" w:color="auto"/>
                    <w:left w:val="none" w:sz="0" w:space="0" w:color="auto"/>
                    <w:bottom w:val="none" w:sz="0" w:space="0" w:color="auto"/>
                    <w:right w:val="none" w:sz="0" w:space="0" w:color="auto"/>
                  </w:divBdr>
                  <w:divsChild>
                    <w:div w:id="929777986">
                      <w:marLeft w:val="0"/>
                      <w:marRight w:val="0"/>
                      <w:marTop w:val="0"/>
                      <w:marBottom w:val="0"/>
                      <w:divBdr>
                        <w:top w:val="none" w:sz="0" w:space="0" w:color="auto"/>
                        <w:left w:val="none" w:sz="0" w:space="0" w:color="auto"/>
                        <w:bottom w:val="none" w:sz="0" w:space="0" w:color="auto"/>
                        <w:right w:val="none" w:sz="0" w:space="0" w:color="auto"/>
                      </w:divBdr>
                      <w:divsChild>
                        <w:div w:id="791944676">
                          <w:marLeft w:val="0"/>
                          <w:marRight w:val="0"/>
                          <w:marTop w:val="0"/>
                          <w:marBottom w:val="0"/>
                          <w:divBdr>
                            <w:top w:val="none" w:sz="0" w:space="0" w:color="auto"/>
                            <w:left w:val="none" w:sz="0" w:space="0" w:color="auto"/>
                            <w:bottom w:val="none" w:sz="0" w:space="0" w:color="auto"/>
                            <w:right w:val="none" w:sz="0" w:space="0" w:color="auto"/>
                          </w:divBdr>
                          <w:divsChild>
                            <w:div w:id="1491286468">
                              <w:marLeft w:val="0"/>
                              <w:marRight w:val="0"/>
                              <w:marTop w:val="0"/>
                              <w:marBottom w:val="0"/>
                              <w:divBdr>
                                <w:top w:val="none" w:sz="0" w:space="0" w:color="auto"/>
                                <w:left w:val="none" w:sz="0" w:space="0" w:color="auto"/>
                                <w:bottom w:val="none" w:sz="0" w:space="0" w:color="auto"/>
                                <w:right w:val="none" w:sz="0" w:space="0" w:color="auto"/>
                              </w:divBdr>
                              <w:divsChild>
                                <w:div w:id="1864588594">
                                  <w:marLeft w:val="0"/>
                                  <w:marRight w:val="0"/>
                                  <w:marTop w:val="0"/>
                                  <w:marBottom w:val="0"/>
                                  <w:divBdr>
                                    <w:top w:val="none" w:sz="0" w:space="0" w:color="auto"/>
                                    <w:left w:val="none" w:sz="0" w:space="0" w:color="auto"/>
                                    <w:bottom w:val="none" w:sz="0" w:space="0" w:color="auto"/>
                                    <w:right w:val="none" w:sz="0" w:space="0" w:color="auto"/>
                                  </w:divBdr>
                                  <w:divsChild>
                                    <w:div w:id="786391680">
                                      <w:marLeft w:val="0"/>
                                      <w:marRight w:val="0"/>
                                      <w:marTop w:val="0"/>
                                      <w:marBottom w:val="0"/>
                                      <w:divBdr>
                                        <w:top w:val="single" w:sz="6" w:space="0" w:color="F5F5F5"/>
                                        <w:left w:val="single" w:sz="6" w:space="0" w:color="F5F5F5"/>
                                        <w:bottom w:val="single" w:sz="6" w:space="0" w:color="F5F5F5"/>
                                        <w:right w:val="single" w:sz="6" w:space="0" w:color="F5F5F5"/>
                                      </w:divBdr>
                                      <w:divsChild>
                                        <w:div w:id="1100874173">
                                          <w:marLeft w:val="0"/>
                                          <w:marRight w:val="0"/>
                                          <w:marTop w:val="0"/>
                                          <w:marBottom w:val="0"/>
                                          <w:divBdr>
                                            <w:top w:val="none" w:sz="0" w:space="0" w:color="auto"/>
                                            <w:left w:val="none" w:sz="0" w:space="0" w:color="auto"/>
                                            <w:bottom w:val="none" w:sz="0" w:space="0" w:color="auto"/>
                                            <w:right w:val="none" w:sz="0" w:space="0" w:color="auto"/>
                                          </w:divBdr>
                                          <w:divsChild>
                                            <w:div w:id="15814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754495">
      <w:bodyDiv w:val="1"/>
      <w:marLeft w:val="0"/>
      <w:marRight w:val="0"/>
      <w:marTop w:val="0"/>
      <w:marBottom w:val="0"/>
      <w:divBdr>
        <w:top w:val="none" w:sz="0" w:space="0" w:color="auto"/>
        <w:left w:val="none" w:sz="0" w:space="0" w:color="auto"/>
        <w:bottom w:val="none" w:sz="0" w:space="0" w:color="auto"/>
        <w:right w:val="none" w:sz="0" w:space="0" w:color="auto"/>
      </w:divBdr>
    </w:div>
    <w:div w:id="1845127773">
      <w:marLeft w:val="0"/>
      <w:marRight w:val="0"/>
      <w:marTop w:val="0"/>
      <w:marBottom w:val="0"/>
      <w:divBdr>
        <w:top w:val="none" w:sz="0" w:space="0" w:color="auto"/>
        <w:left w:val="none" w:sz="0" w:space="0" w:color="auto"/>
        <w:bottom w:val="none" w:sz="0" w:space="0" w:color="auto"/>
        <w:right w:val="none" w:sz="0" w:space="0" w:color="auto"/>
      </w:divBdr>
    </w:div>
    <w:div w:id="1845127775">
      <w:marLeft w:val="120"/>
      <w:marRight w:val="120"/>
      <w:marTop w:val="0"/>
      <w:marBottom w:val="0"/>
      <w:divBdr>
        <w:top w:val="none" w:sz="0" w:space="0" w:color="auto"/>
        <w:left w:val="none" w:sz="0" w:space="0" w:color="auto"/>
        <w:bottom w:val="none" w:sz="0" w:space="0" w:color="auto"/>
        <w:right w:val="none" w:sz="0" w:space="0" w:color="auto"/>
      </w:divBdr>
      <w:divsChild>
        <w:div w:id="1845127774">
          <w:marLeft w:val="0"/>
          <w:marRight w:val="0"/>
          <w:marTop w:val="0"/>
          <w:marBottom w:val="0"/>
          <w:divBdr>
            <w:top w:val="none" w:sz="0" w:space="0" w:color="auto"/>
            <w:left w:val="none" w:sz="0" w:space="0" w:color="auto"/>
            <w:bottom w:val="none" w:sz="0" w:space="0" w:color="auto"/>
            <w:right w:val="none" w:sz="0" w:space="0" w:color="auto"/>
          </w:divBdr>
          <w:divsChild>
            <w:div w:id="1845127814">
              <w:marLeft w:val="0"/>
              <w:marRight w:val="0"/>
              <w:marTop w:val="0"/>
              <w:marBottom w:val="0"/>
              <w:divBdr>
                <w:top w:val="none" w:sz="0" w:space="0" w:color="auto"/>
                <w:left w:val="none" w:sz="0" w:space="0" w:color="auto"/>
                <w:bottom w:val="none" w:sz="0" w:space="0" w:color="auto"/>
                <w:right w:val="none" w:sz="0" w:space="0" w:color="auto"/>
              </w:divBdr>
              <w:divsChild>
                <w:div w:id="18451278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45127776">
      <w:marLeft w:val="0"/>
      <w:marRight w:val="0"/>
      <w:marTop w:val="0"/>
      <w:marBottom w:val="0"/>
      <w:divBdr>
        <w:top w:val="none" w:sz="0" w:space="0" w:color="auto"/>
        <w:left w:val="none" w:sz="0" w:space="0" w:color="auto"/>
        <w:bottom w:val="none" w:sz="0" w:space="0" w:color="auto"/>
        <w:right w:val="none" w:sz="0" w:space="0" w:color="auto"/>
      </w:divBdr>
    </w:div>
    <w:div w:id="1845127777">
      <w:marLeft w:val="0"/>
      <w:marRight w:val="0"/>
      <w:marTop w:val="0"/>
      <w:marBottom w:val="0"/>
      <w:divBdr>
        <w:top w:val="none" w:sz="0" w:space="0" w:color="auto"/>
        <w:left w:val="none" w:sz="0" w:space="0" w:color="auto"/>
        <w:bottom w:val="none" w:sz="0" w:space="0" w:color="auto"/>
        <w:right w:val="none" w:sz="0" w:space="0" w:color="auto"/>
      </w:divBdr>
    </w:div>
    <w:div w:id="1845127778">
      <w:marLeft w:val="0"/>
      <w:marRight w:val="0"/>
      <w:marTop w:val="0"/>
      <w:marBottom w:val="0"/>
      <w:divBdr>
        <w:top w:val="none" w:sz="0" w:space="0" w:color="auto"/>
        <w:left w:val="none" w:sz="0" w:space="0" w:color="auto"/>
        <w:bottom w:val="none" w:sz="0" w:space="0" w:color="auto"/>
        <w:right w:val="none" w:sz="0" w:space="0" w:color="auto"/>
      </w:divBdr>
    </w:div>
    <w:div w:id="1845127779">
      <w:marLeft w:val="0"/>
      <w:marRight w:val="0"/>
      <w:marTop w:val="0"/>
      <w:marBottom w:val="0"/>
      <w:divBdr>
        <w:top w:val="none" w:sz="0" w:space="0" w:color="auto"/>
        <w:left w:val="none" w:sz="0" w:space="0" w:color="auto"/>
        <w:bottom w:val="none" w:sz="0" w:space="0" w:color="auto"/>
        <w:right w:val="none" w:sz="0" w:space="0" w:color="auto"/>
      </w:divBdr>
    </w:div>
    <w:div w:id="1845127780">
      <w:marLeft w:val="0"/>
      <w:marRight w:val="0"/>
      <w:marTop w:val="0"/>
      <w:marBottom w:val="0"/>
      <w:divBdr>
        <w:top w:val="none" w:sz="0" w:space="0" w:color="auto"/>
        <w:left w:val="none" w:sz="0" w:space="0" w:color="auto"/>
        <w:bottom w:val="none" w:sz="0" w:space="0" w:color="auto"/>
        <w:right w:val="none" w:sz="0" w:space="0" w:color="auto"/>
      </w:divBdr>
    </w:div>
    <w:div w:id="1845127781">
      <w:marLeft w:val="0"/>
      <w:marRight w:val="0"/>
      <w:marTop w:val="0"/>
      <w:marBottom w:val="0"/>
      <w:divBdr>
        <w:top w:val="none" w:sz="0" w:space="0" w:color="auto"/>
        <w:left w:val="none" w:sz="0" w:space="0" w:color="auto"/>
        <w:bottom w:val="none" w:sz="0" w:space="0" w:color="auto"/>
        <w:right w:val="none" w:sz="0" w:space="0" w:color="auto"/>
      </w:divBdr>
    </w:div>
    <w:div w:id="1845127782">
      <w:marLeft w:val="0"/>
      <w:marRight w:val="0"/>
      <w:marTop w:val="0"/>
      <w:marBottom w:val="0"/>
      <w:divBdr>
        <w:top w:val="none" w:sz="0" w:space="0" w:color="auto"/>
        <w:left w:val="none" w:sz="0" w:space="0" w:color="auto"/>
        <w:bottom w:val="none" w:sz="0" w:space="0" w:color="auto"/>
        <w:right w:val="none" w:sz="0" w:space="0" w:color="auto"/>
      </w:divBdr>
    </w:div>
    <w:div w:id="1845127783">
      <w:marLeft w:val="0"/>
      <w:marRight w:val="0"/>
      <w:marTop w:val="0"/>
      <w:marBottom w:val="0"/>
      <w:divBdr>
        <w:top w:val="none" w:sz="0" w:space="0" w:color="auto"/>
        <w:left w:val="none" w:sz="0" w:space="0" w:color="auto"/>
        <w:bottom w:val="none" w:sz="0" w:space="0" w:color="auto"/>
        <w:right w:val="none" w:sz="0" w:space="0" w:color="auto"/>
      </w:divBdr>
    </w:div>
    <w:div w:id="1845127784">
      <w:marLeft w:val="0"/>
      <w:marRight w:val="0"/>
      <w:marTop w:val="0"/>
      <w:marBottom w:val="0"/>
      <w:divBdr>
        <w:top w:val="none" w:sz="0" w:space="0" w:color="auto"/>
        <w:left w:val="none" w:sz="0" w:space="0" w:color="auto"/>
        <w:bottom w:val="none" w:sz="0" w:space="0" w:color="auto"/>
        <w:right w:val="none" w:sz="0" w:space="0" w:color="auto"/>
      </w:divBdr>
    </w:div>
    <w:div w:id="1845127785">
      <w:marLeft w:val="0"/>
      <w:marRight w:val="0"/>
      <w:marTop w:val="0"/>
      <w:marBottom w:val="0"/>
      <w:divBdr>
        <w:top w:val="none" w:sz="0" w:space="0" w:color="auto"/>
        <w:left w:val="none" w:sz="0" w:space="0" w:color="auto"/>
        <w:bottom w:val="none" w:sz="0" w:space="0" w:color="auto"/>
        <w:right w:val="none" w:sz="0" w:space="0" w:color="auto"/>
      </w:divBdr>
    </w:div>
    <w:div w:id="1845127786">
      <w:marLeft w:val="0"/>
      <w:marRight w:val="0"/>
      <w:marTop w:val="0"/>
      <w:marBottom w:val="0"/>
      <w:divBdr>
        <w:top w:val="none" w:sz="0" w:space="0" w:color="auto"/>
        <w:left w:val="none" w:sz="0" w:space="0" w:color="auto"/>
        <w:bottom w:val="none" w:sz="0" w:space="0" w:color="auto"/>
        <w:right w:val="none" w:sz="0" w:space="0" w:color="auto"/>
      </w:divBdr>
    </w:div>
    <w:div w:id="1845127788">
      <w:marLeft w:val="0"/>
      <w:marRight w:val="0"/>
      <w:marTop w:val="0"/>
      <w:marBottom w:val="0"/>
      <w:divBdr>
        <w:top w:val="none" w:sz="0" w:space="0" w:color="auto"/>
        <w:left w:val="none" w:sz="0" w:space="0" w:color="auto"/>
        <w:bottom w:val="none" w:sz="0" w:space="0" w:color="auto"/>
        <w:right w:val="none" w:sz="0" w:space="0" w:color="auto"/>
      </w:divBdr>
    </w:div>
    <w:div w:id="1845127789">
      <w:marLeft w:val="0"/>
      <w:marRight w:val="0"/>
      <w:marTop w:val="0"/>
      <w:marBottom w:val="0"/>
      <w:divBdr>
        <w:top w:val="none" w:sz="0" w:space="0" w:color="auto"/>
        <w:left w:val="none" w:sz="0" w:space="0" w:color="auto"/>
        <w:bottom w:val="none" w:sz="0" w:space="0" w:color="auto"/>
        <w:right w:val="none" w:sz="0" w:space="0" w:color="auto"/>
      </w:divBdr>
    </w:div>
    <w:div w:id="1845127790">
      <w:marLeft w:val="0"/>
      <w:marRight w:val="0"/>
      <w:marTop w:val="0"/>
      <w:marBottom w:val="0"/>
      <w:divBdr>
        <w:top w:val="none" w:sz="0" w:space="0" w:color="auto"/>
        <w:left w:val="none" w:sz="0" w:space="0" w:color="auto"/>
        <w:bottom w:val="none" w:sz="0" w:space="0" w:color="auto"/>
        <w:right w:val="none" w:sz="0" w:space="0" w:color="auto"/>
      </w:divBdr>
    </w:div>
    <w:div w:id="1845127791">
      <w:marLeft w:val="0"/>
      <w:marRight w:val="0"/>
      <w:marTop w:val="0"/>
      <w:marBottom w:val="0"/>
      <w:divBdr>
        <w:top w:val="none" w:sz="0" w:space="0" w:color="auto"/>
        <w:left w:val="none" w:sz="0" w:space="0" w:color="auto"/>
        <w:bottom w:val="none" w:sz="0" w:space="0" w:color="auto"/>
        <w:right w:val="none" w:sz="0" w:space="0" w:color="auto"/>
      </w:divBdr>
    </w:div>
    <w:div w:id="1845127792">
      <w:marLeft w:val="0"/>
      <w:marRight w:val="0"/>
      <w:marTop w:val="0"/>
      <w:marBottom w:val="0"/>
      <w:divBdr>
        <w:top w:val="none" w:sz="0" w:space="0" w:color="auto"/>
        <w:left w:val="none" w:sz="0" w:space="0" w:color="auto"/>
        <w:bottom w:val="none" w:sz="0" w:space="0" w:color="auto"/>
        <w:right w:val="none" w:sz="0" w:space="0" w:color="auto"/>
      </w:divBdr>
    </w:div>
    <w:div w:id="1845127793">
      <w:marLeft w:val="0"/>
      <w:marRight w:val="0"/>
      <w:marTop w:val="0"/>
      <w:marBottom w:val="0"/>
      <w:divBdr>
        <w:top w:val="none" w:sz="0" w:space="0" w:color="auto"/>
        <w:left w:val="none" w:sz="0" w:space="0" w:color="auto"/>
        <w:bottom w:val="none" w:sz="0" w:space="0" w:color="auto"/>
        <w:right w:val="none" w:sz="0" w:space="0" w:color="auto"/>
      </w:divBdr>
    </w:div>
    <w:div w:id="1845127794">
      <w:marLeft w:val="0"/>
      <w:marRight w:val="0"/>
      <w:marTop w:val="0"/>
      <w:marBottom w:val="0"/>
      <w:divBdr>
        <w:top w:val="none" w:sz="0" w:space="0" w:color="auto"/>
        <w:left w:val="none" w:sz="0" w:space="0" w:color="auto"/>
        <w:bottom w:val="none" w:sz="0" w:space="0" w:color="auto"/>
        <w:right w:val="none" w:sz="0" w:space="0" w:color="auto"/>
      </w:divBdr>
    </w:div>
    <w:div w:id="1845127795">
      <w:marLeft w:val="0"/>
      <w:marRight w:val="0"/>
      <w:marTop w:val="0"/>
      <w:marBottom w:val="0"/>
      <w:divBdr>
        <w:top w:val="none" w:sz="0" w:space="0" w:color="auto"/>
        <w:left w:val="none" w:sz="0" w:space="0" w:color="auto"/>
        <w:bottom w:val="none" w:sz="0" w:space="0" w:color="auto"/>
        <w:right w:val="none" w:sz="0" w:space="0" w:color="auto"/>
      </w:divBdr>
    </w:div>
    <w:div w:id="1845127796">
      <w:marLeft w:val="0"/>
      <w:marRight w:val="0"/>
      <w:marTop w:val="0"/>
      <w:marBottom w:val="0"/>
      <w:divBdr>
        <w:top w:val="none" w:sz="0" w:space="0" w:color="auto"/>
        <w:left w:val="none" w:sz="0" w:space="0" w:color="auto"/>
        <w:bottom w:val="none" w:sz="0" w:space="0" w:color="auto"/>
        <w:right w:val="none" w:sz="0" w:space="0" w:color="auto"/>
      </w:divBdr>
    </w:div>
    <w:div w:id="1845127797">
      <w:marLeft w:val="0"/>
      <w:marRight w:val="0"/>
      <w:marTop w:val="0"/>
      <w:marBottom w:val="0"/>
      <w:divBdr>
        <w:top w:val="none" w:sz="0" w:space="0" w:color="auto"/>
        <w:left w:val="none" w:sz="0" w:space="0" w:color="auto"/>
        <w:bottom w:val="none" w:sz="0" w:space="0" w:color="auto"/>
        <w:right w:val="none" w:sz="0" w:space="0" w:color="auto"/>
      </w:divBdr>
      <w:divsChild>
        <w:div w:id="1845127810">
          <w:marLeft w:val="0"/>
          <w:marRight w:val="0"/>
          <w:marTop w:val="0"/>
          <w:marBottom w:val="0"/>
          <w:divBdr>
            <w:top w:val="none" w:sz="0" w:space="0" w:color="auto"/>
            <w:left w:val="none" w:sz="0" w:space="0" w:color="auto"/>
            <w:bottom w:val="none" w:sz="0" w:space="0" w:color="auto"/>
            <w:right w:val="none" w:sz="0" w:space="0" w:color="auto"/>
          </w:divBdr>
          <w:divsChild>
            <w:div w:id="1845127800">
              <w:marLeft w:val="0"/>
              <w:marRight w:val="0"/>
              <w:marTop w:val="0"/>
              <w:marBottom w:val="0"/>
              <w:divBdr>
                <w:top w:val="none" w:sz="0" w:space="0" w:color="auto"/>
                <w:left w:val="none" w:sz="0" w:space="0" w:color="auto"/>
                <w:bottom w:val="none" w:sz="0" w:space="0" w:color="auto"/>
                <w:right w:val="none" w:sz="0" w:space="0" w:color="auto"/>
              </w:divBdr>
              <w:divsChild>
                <w:div w:id="184512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27798">
      <w:marLeft w:val="0"/>
      <w:marRight w:val="0"/>
      <w:marTop w:val="0"/>
      <w:marBottom w:val="0"/>
      <w:divBdr>
        <w:top w:val="none" w:sz="0" w:space="0" w:color="auto"/>
        <w:left w:val="none" w:sz="0" w:space="0" w:color="auto"/>
        <w:bottom w:val="none" w:sz="0" w:space="0" w:color="auto"/>
        <w:right w:val="none" w:sz="0" w:space="0" w:color="auto"/>
      </w:divBdr>
    </w:div>
    <w:div w:id="1845127801">
      <w:marLeft w:val="0"/>
      <w:marRight w:val="0"/>
      <w:marTop w:val="0"/>
      <w:marBottom w:val="0"/>
      <w:divBdr>
        <w:top w:val="none" w:sz="0" w:space="0" w:color="auto"/>
        <w:left w:val="none" w:sz="0" w:space="0" w:color="auto"/>
        <w:bottom w:val="none" w:sz="0" w:space="0" w:color="auto"/>
        <w:right w:val="none" w:sz="0" w:space="0" w:color="auto"/>
      </w:divBdr>
    </w:div>
    <w:div w:id="1845127802">
      <w:marLeft w:val="0"/>
      <w:marRight w:val="0"/>
      <w:marTop w:val="0"/>
      <w:marBottom w:val="0"/>
      <w:divBdr>
        <w:top w:val="none" w:sz="0" w:space="0" w:color="auto"/>
        <w:left w:val="none" w:sz="0" w:space="0" w:color="auto"/>
        <w:bottom w:val="none" w:sz="0" w:space="0" w:color="auto"/>
        <w:right w:val="none" w:sz="0" w:space="0" w:color="auto"/>
      </w:divBdr>
    </w:div>
    <w:div w:id="1845127803">
      <w:marLeft w:val="0"/>
      <w:marRight w:val="0"/>
      <w:marTop w:val="0"/>
      <w:marBottom w:val="0"/>
      <w:divBdr>
        <w:top w:val="none" w:sz="0" w:space="0" w:color="auto"/>
        <w:left w:val="none" w:sz="0" w:space="0" w:color="auto"/>
        <w:bottom w:val="none" w:sz="0" w:space="0" w:color="auto"/>
        <w:right w:val="none" w:sz="0" w:space="0" w:color="auto"/>
      </w:divBdr>
    </w:div>
    <w:div w:id="1845127804">
      <w:marLeft w:val="0"/>
      <w:marRight w:val="0"/>
      <w:marTop w:val="0"/>
      <w:marBottom w:val="0"/>
      <w:divBdr>
        <w:top w:val="none" w:sz="0" w:space="0" w:color="auto"/>
        <w:left w:val="none" w:sz="0" w:space="0" w:color="auto"/>
        <w:bottom w:val="none" w:sz="0" w:space="0" w:color="auto"/>
        <w:right w:val="none" w:sz="0" w:space="0" w:color="auto"/>
      </w:divBdr>
    </w:div>
    <w:div w:id="1845127805">
      <w:marLeft w:val="0"/>
      <w:marRight w:val="0"/>
      <w:marTop w:val="0"/>
      <w:marBottom w:val="0"/>
      <w:divBdr>
        <w:top w:val="none" w:sz="0" w:space="0" w:color="auto"/>
        <w:left w:val="none" w:sz="0" w:space="0" w:color="auto"/>
        <w:bottom w:val="none" w:sz="0" w:space="0" w:color="auto"/>
        <w:right w:val="none" w:sz="0" w:space="0" w:color="auto"/>
      </w:divBdr>
    </w:div>
    <w:div w:id="1845127806">
      <w:marLeft w:val="0"/>
      <w:marRight w:val="0"/>
      <w:marTop w:val="0"/>
      <w:marBottom w:val="0"/>
      <w:divBdr>
        <w:top w:val="none" w:sz="0" w:space="0" w:color="auto"/>
        <w:left w:val="none" w:sz="0" w:space="0" w:color="auto"/>
        <w:bottom w:val="none" w:sz="0" w:space="0" w:color="auto"/>
        <w:right w:val="none" w:sz="0" w:space="0" w:color="auto"/>
      </w:divBdr>
    </w:div>
    <w:div w:id="1845127807">
      <w:marLeft w:val="0"/>
      <w:marRight w:val="0"/>
      <w:marTop w:val="0"/>
      <w:marBottom w:val="0"/>
      <w:divBdr>
        <w:top w:val="none" w:sz="0" w:space="0" w:color="auto"/>
        <w:left w:val="none" w:sz="0" w:space="0" w:color="auto"/>
        <w:bottom w:val="none" w:sz="0" w:space="0" w:color="auto"/>
        <w:right w:val="none" w:sz="0" w:space="0" w:color="auto"/>
      </w:divBdr>
    </w:div>
    <w:div w:id="1845127808">
      <w:marLeft w:val="0"/>
      <w:marRight w:val="0"/>
      <w:marTop w:val="0"/>
      <w:marBottom w:val="0"/>
      <w:divBdr>
        <w:top w:val="none" w:sz="0" w:space="0" w:color="auto"/>
        <w:left w:val="none" w:sz="0" w:space="0" w:color="auto"/>
        <w:bottom w:val="none" w:sz="0" w:space="0" w:color="auto"/>
        <w:right w:val="none" w:sz="0" w:space="0" w:color="auto"/>
      </w:divBdr>
    </w:div>
    <w:div w:id="1845127809">
      <w:marLeft w:val="0"/>
      <w:marRight w:val="0"/>
      <w:marTop w:val="0"/>
      <w:marBottom w:val="0"/>
      <w:divBdr>
        <w:top w:val="none" w:sz="0" w:space="0" w:color="auto"/>
        <w:left w:val="none" w:sz="0" w:space="0" w:color="auto"/>
        <w:bottom w:val="none" w:sz="0" w:space="0" w:color="auto"/>
        <w:right w:val="none" w:sz="0" w:space="0" w:color="auto"/>
      </w:divBdr>
      <w:divsChild>
        <w:div w:id="1845127787">
          <w:marLeft w:val="0"/>
          <w:marRight w:val="0"/>
          <w:marTop w:val="300"/>
          <w:marBottom w:val="0"/>
          <w:divBdr>
            <w:top w:val="none" w:sz="0" w:space="0" w:color="auto"/>
            <w:left w:val="none" w:sz="0" w:space="0" w:color="auto"/>
            <w:bottom w:val="none" w:sz="0" w:space="0" w:color="auto"/>
            <w:right w:val="none" w:sz="0" w:space="0" w:color="auto"/>
          </w:divBdr>
        </w:div>
      </w:divsChild>
    </w:div>
    <w:div w:id="1845127812">
      <w:marLeft w:val="0"/>
      <w:marRight w:val="0"/>
      <w:marTop w:val="0"/>
      <w:marBottom w:val="0"/>
      <w:divBdr>
        <w:top w:val="none" w:sz="0" w:space="0" w:color="auto"/>
        <w:left w:val="none" w:sz="0" w:space="0" w:color="auto"/>
        <w:bottom w:val="none" w:sz="0" w:space="0" w:color="auto"/>
        <w:right w:val="none" w:sz="0" w:space="0" w:color="auto"/>
      </w:divBdr>
    </w:div>
    <w:div w:id="1845127813">
      <w:marLeft w:val="0"/>
      <w:marRight w:val="0"/>
      <w:marTop w:val="0"/>
      <w:marBottom w:val="0"/>
      <w:divBdr>
        <w:top w:val="none" w:sz="0" w:space="0" w:color="auto"/>
        <w:left w:val="none" w:sz="0" w:space="0" w:color="auto"/>
        <w:bottom w:val="none" w:sz="0" w:space="0" w:color="auto"/>
        <w:right w:val="none" w:sz="0" w:space="0" w:color="auto"/>
      </w:divBdr>
    </w:div>
    <w:div w:id="1845127815">
      <w:marLeft w:val="0"/>
      <w:marRight w:val="0"/>
      <w:marTop w:val="0"/>
      <w:marBottom w:val="0"/>
      <w:divBdr>
        <w:top w:val="none" w:sz="0" w:space="0" w:color="auto"/>
        <w:left w:val="none" w:sz="0" w:space="0" w:color="auto"/>
        <w:bottom w:val="none" w:sz="0" w:space="0" w:color="auto"/>
        <w:right w:val="none" w:sz="0" w:space="0" w:color="auto"/>
      </w:divBdr>
    </w:div>
    <w:div w:id="1845127816">
      <w:marLeft w:val="0"/>
      <w:marRight w:val="0"/>
      <w:marTop w:val="0"/>
      <w:marBottom w:val="0"/>
      <w:divBdr>
        <w:top w:val="none" w:sz="0" w:space="0" w:color="auto"/>
        <w:left w:val="none" w:sz="0" w:space="0" w:color="auto"/>
        <w:bottom w:val="none" w:sz="0" w:space="0" w:color="auto"/>
        <w:right w:val="none" w:sz="0" w:space="0" w:color="auto"/>
      </w:divBdr>
    </w:div>
    <w:div w:id="1845127817">
      <w:marLeft w:val="0"/>
      <w:marRight w:val="0"/>
      <w:marTop w:val="0"/>
      <w:marBottom w:val="0"/>
      <w:divBdr>
        <w:top w:val="none" w:sz="0" w:space="0" w:color="auto"/>
        <w:left w:val="none" w:sz="0" w:space="0" w:color="auto"/>
        <w:bottom w:val="none" w:sz="0" w:space="0" w:color="auto"/>
        <w:right w:val="none" w:sz="0" w:space="0" w:color="auto"/>
      </w:divBdr>
    </w:div>
    <w:div w:id="1845127823">
      <w:marLeft w:val="120"/>
      <w:marRight w:val="120"/>
      <w:marTop w:val="0"/>
      <w:marBottom w:val="0"/>
      <w:divBdr>
        <w:top w:val="none" w:sz="0" w:space="0" w:color="auto"/>
        <w:left w:val="none" w:sz="0" w:space="0" w:color="auto"/>
        <w:bottom w:val="none" w:sz="0" w:space="0" w:color="auto"/>
        <w:right w:val="none" w:sz="0" w:space="0" w:color="auto"/>
      </w:divBdr>
      <w:divsChild>
        <w:div w:id="1845127820">
          <w:marLeft w:val="0"/>
          <w:marRight w:val="0"/>
          <w:marTop w:val="0"/>
          <w:marBottom w:val="0"/>
          <w:divBdr>
            <w:top w:val="none" w:sz="0" w:space="0" w:color="auto"/>
            <w:left w:val="none" w:sz="0" w:space="0" w:color="auto"/>
            <w:bottom w:val="none" w:sz="0" w:space="0" w:color="auto"/>
            <w:right w:val="none" w:sz="0" w:space="0" w:color="auto"/>
          </w:divBdr>
          <w:divsChild>
            <w:div w:id="1845127825">
              <w:marLeft w:val="0"/>
              <w:marRight w:val="0"/>
              <w:marTop w:val="0"/>
              <w:marBottom w:val="0"/>
              <w:divBdr>
                <w:top w:val="none" w:sz="0" w:space="0" w:color="auto"/>
                <w:left w:val="none" w:sz="0" w:space="0" w:color="auto"/>
                <w:bottom w:val="none" w:sz="0" w:space="0" w:color="auto"/>
                <w:right w:val="none" w:sz="0" w:space="0" w:color="auto"/>
              </w:divBdr>
              <w:divsChild>
                <w:div w:id="18451278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45127826">
      <w:marLeft w:val="0"/>
      <w:marRight w:val="0"/>
      <w:marTop w:val="0"/>
      <w:marBottom w:val="0"/>
      <w:divBdr>
        <w:top w:val="none" w:sz="0" w:space="0" w:color="auto"/>
        <w:left w:val="none" w:sz="0" w:space="0" w:color="auto"/>
        <w:bottom w:val="none" w:sz="0" w:space="0" w:color="auto"/>
        <w:right w:val="none" w:sz="0" w:space="0" w:color="auto"/>
      </w:divBdr>
      <w:divsChild>
        <w:div w:id="1845127822">
          <w:marLeft w:val="0"/>
          <w:marRight w:val="0"/>
          <w:marTop w:val="0"/>
          <w:marBottom w:val="0"/>
          <w:divBdr>
            <w:top w:val="none" w:sz="0" w:space="0" w:color="auto"/>
            <w:left w:val="none" w:sz="0" w:space="0" w:color="auto"/>
            <w:bottom w:val="none" w:sz="0" w:space="0" w:color="auto"/>
            <w:right w:val="none" w:sz="0" w:space="0" w:color="auto"/>
          </w:divBdr>
        </w:div>
      </w:divsChild>
    </w:div>
    <w:div w:id="1845127827">
      <w:marLeft w:val="120"/>
      <w:marRight w:val="120"/>
      <w:marTop w:val="0"/>
      <w:marBottom w:val="0"/>
      <w:divBdr>
        <w:top w:val="none" w:sz="0" w:space="0" w:color="auto"/>
        <w:left w:val="none" w:sz="0" w:space="0" w:color="auto"/>
        <w:bottom w:val="none" w:sz="0" w:space="0" w:color="auto"/>
        <w:right w:val="none" w:sz="0" w:space="0" w:color="auto"/>
      </w:divBdr>
      <w:divsChild>
        <w:div w:id="1845127824">
          <w:marLeft w:val="0"/>
          <w:marRight w:val="0"/>
          <w:marTop w:val="0"/>
          <w:marBottom w:val="0"/>
          <w:divBdr>
            <w:top w:val="none" w:sz="0" w:space="0" w:color="auto"/>
            <w:left w:val="none" w:sz="0" w:space="0" w:color="auto"/>
            <w:bottom w:val="none" w:sz="0" w:space="0" w:color="auto"/>
            <w:right w:val="none" w:sz="0" w:space="0" w:color="auto"/>
          </w:divBdr>
          <w:divsChild>
            <w:div w:id="1845127819">
              <w:marLeft w:val="0"/>
              <w:marRight w:val="0"/>
              <w:marTop w:val="0"/>
              <w:marBottom w:val="0"/>
              <w:divBdr>
                <w:top w:val="none" w:sz="0" w:space="0" w:color="auto"/>
                <w:left w:val="none" w:sz="0" w:space="0" w:color="auto"/>
                <w:bottom w:val="none" w:sz="0" w:space="0" w:color="auto"/>
                <w:right w:val="none" w:sz="0" w:space="0" w:color="auto"/>
              </w:divBdr>
              <w:divsChild>
                <w:div w:id="18451278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76310624">
      <w:bodyDiv w:val="1"/>
      <w:marLeft w:val="0"/>
      <w:marRight w:val="0"/>
      <w:marTop w:val="0"/>
      <w:marBottom w:val="0"/>
      <w:divBdr>
        <w:top w:val="none" w:sz="0" w:space="0" w:color="auto"/>
        <w:left w:val="none" w:sz="0" w:space="0" w:color="auto"/>
        <w:bottom w:val="none" w:sz="0" w:space="0" w:color="auto"/>
        <w:right w:val="none" w:sz="0" w:space="0" w:color="auto"/>
      </w:divBdr>
    </w:div>
    <w:div w:id="1883128937">
      <w:bodyDiv w:val="1"/>
      <w:marLeft w:val="0"/>
      <w:marRight w:val="0"/>
      <w:marTop w:val="0"/>
      <w:marBottom w:val="0"/>
      <w:divBdr>
        <w:top w:val="none" w:sz="0" w:space="0" w:color="auto"/>
        <w:left w:val="none" w:sz="0" w:space="0" w:color="auto"/>
        <w:bottom w:val="none" w:sz="0" w:space="0" w:color="auto"/>
        <w:right w:val="none" w:sz="0" w:space="0" w:color="auto"/>
      </w:divBdr>
    </w:div>
    <w:div w:id="1892883123">
      <w:bodyDiv w:val="1"/>
      <w:marLeft w:val="0"/>
      <w:marRight w:val="0"/>
      <w:marTop w:val="0"/>
      <w:marBottom w:val="0"/>
      <w:divBdr>
        <w:top w:val="none" w:sz="0" w:space="0" w:color="auto"/>
        <w:left w:val="none" w:sz="0" w:space="0" w:color="auto"/>
        <w:bottom w:val="none" w:sz="0" w:space="0" w:color="auto"/>
        <w:right w:val="none" w:sz="0" w:space="0" w:color="auto"/>
      </w:divBdr>
      <w:divsChild>
        <w:div w:id="1439983416">
          <w:marLeft w:val="0"/>
          <w:marRight w:val="0"/>
          <w:marTop w:val="0"/>
          <w:marBottom w:val="0"/>
          <w:divBdr>
            <w:top w:val="none" w:sz="0" w:space="0" w:color="auto"/>
            <w:left w:val="none" w:sz="0" w:space="0" w:color="auto"/>
            <w:bottom w:val="none" w:sz="0" w:space="0" w:color="auto"/>
            <w:right w:val="none" w:sz="0" w:space="0" w:color="auto"/>
          </w:divBdr>
          <w:divsChild>
            <w:div w:id="307516721">
              <w:marLeft w:val="1500"/>
              <w:marRight w:val="0"/>
              <w:marTop w:val="0"/>
              <w:marBottom w:val="0"/>
              <w:divBdr>
                <w:top w:val="none" w:sz="0" w:space="0" w:color="auto"/>
                <w:left w:val="none" w:sz="0" w:space="0" w:color="auto"/>
                <w:bottom w:val="none" w:sz="0" w:space="0" w:color="auto"/>
                <w:right w:val="none" w:sz="0" w:space="0" w:color="auto"/>
              </w:divBdr>
              <w:divsChild>
                <w:div w:id="1927838102">
                  <w:marLeft w:val="300"/>
                  <w:marRight w:val="300"/>
                  <w:marTop w:val="0"/>
                  <w:marBottom w:val="0"/>
                  <w:divBdr>
                    <w:top w:val="none" w:sz="0" w:space="0" w:color="auto"/>
                    <w:left w:val="none" w:sz="0" w:space="0" w:color="auto"/>
                    <w:bottom w:val="none" w:sz="0" w:space="0" w:color="auto"/>
                    <w:right w:val="none" w:sz="0" w:space="0" w:color="auto"/>
                  </w:divBdr>
                  <w:divsChild>
                    <w:div w:id="439838450">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 w:id="1925912958">
      <w:bodyDiv w:val="1"/>
      <w:marLeft w:val="0"/>
      <w:marRight w:val="0"/>
      <w:marTop w:val="0"/>
      <w:marBottom w:val="0"/>
      <w:divBdr>
        <w:top w:val="none" w:sz="0" w:space="0" w:color="auto"/>
        <w:left w:val="none" w:sz="0" w:space="0" w:color="auto"/>
        <w:bottom w:val="none" w:sz="0" w:space="0" w:color="auto"/>
        <w:right w:val="none" w:sz="0" w:space="0" w:color="auto"/>
      </w:divBdr>
    </w:div>
    <w:div w:id="1945648188">
      <w:bodyDiv w:val="1"/>
      <w:marLeft w:val="0"/>
      <w:marRight w:val="0"/>
      <w:marTop w:val="0"/>
      <w:marBottom w:val="0"/>
      <w:divBdr>
        <w:top w:val="none" w:sz="0" w:space="0" w:color="auto"/>
        <w:left w:val="none" w:sz="0" w:space="0" w:color="auto"/>
        <w:bottom w:val="none" w:sz="0" w:space="0" w:color="auto"/>
        <w:right w:val="none" w:sz="0" w:space="0" w:color="auto"/>
      </w:divBdr>
    </w:div>
    <w:div w:id="1957516709">
      <w:bodyDiv w:val="1"/>
      <w:marLeft w:val="0"/>
      <w:marRight w:val="0"/>
      <w:marTop w:val="0"/>
      <w:marBottom w:val="0"/>
      <w:divBdr>
        <w:top w:val="none" w:sz="0" w:space="0" w:color="auto"/>
        <w:left w:val="none" w:sz="0" w:space="0" w:color="auto"/>
        <w:bottom w:val="none" w:sz="0" w:space="0" w:color="auto"/>
        <w:right w:val="none" w:sz="0" w:space="0" w:color="auto"/>
      </w:divBdr>
    </w:div>
    <w:div w:id="1996444520">
      <w:bodyDiv w:val="1"/>
      <w:marLeft w:val="0"/>
      <w:marRight w:val="0"/>
      <w:marTop w:val="0"/>
      <w:marBottom w:val="0"/>
      <w:divBdr>
        <w:top w:val="none" w:sz="0" w:space="0" w:color="auto"/>
        <w:left w:val="none" w:sz="0" w:space="0" w:color="auto"/>
        <w:bottom w:val="none" w:sz="0" w:space="0" w:color="auto"/>
        <w:right w:val="none" w:sz="0" w:space="0" w:color="auto"/>
      </w:divBdr>
    </w:div>
    <w:div w:id="2049527119">
      <w:bodyDiv w:val="1"/>
      <w:marLeft w:val="0"/>
      <w:marRight w:val="0"/>
      <w:marTop w:val="0"/>
      <w:marBottom w:val="0"/>
      <w:divBdr>
        <w:top w:val="none" w:sz="0" w:space="0" w:color="auto"/>
        <w:left w:val="none" w:sz="0" w:space="0" w:color="auto"/>
        <w:bottom w:val="none" w:sz="0" w:space="0" w:color="auto"/>
        <w:right w:val="none" w:sz="0" w:space="0" w:color="auto"/>
      </w:divBdr>
    </w:div>
    <w:div w:id="2054884213">
      <w:bodyDiv w:val="1"/>
      <w:marLeft w:val="0"/>
      <w:marRight w:val="0"/>
      <w:marTop w:val="0"/>
      <w:marBottom w:val="0"/>
      <w:divBdr>
        <w:top w:val="none" w:sz="0" w:space="0" w:color="auto"/>
        <w:left w:val="none" w:sz="0" w:space="0" w:color="auto"/>
        <w:bottom w:val="none" w:sz="0" w:space="0" w:color="auto"/>
        <w:right w:val="none" w:sz="0" w:space="0" w:color="auto"/>
      </w:divBdr>
      <w:divsChild>
        <w:div w:id="236601488">
          <w:marLeft w:val="5"/>
          <w:marRight w:val="5"/>
          <w:marTop w:val="0"/>
          <w:marBottom w:val="0"/>
          <w:divBdr>
            <w:top w:val="none" w:sz="0" w:space="0" w:color="auto"/>
            <w:left w:val="none" w:sz="0" w:space="0" w:color="auto"/>
            <w:bottom w:val="none" w:sz="0" w:space="0" w:color="auto"/>
            <w:right w:val="none" w:sz="0" w:space="0" w:color="auto"/>
          </w:divBdr>
          <w:divsChild>
            <w:div w:id="1028483483">
              <w:marLeft w:val="0"/>
              <w:marRight w:val="0"/>
              <w:marTop w:val="0"/>
              <w:marBottom w:val="0"/>
              <w:divBdr>
                <w:top w:val="none" w:sz="0" w:space="0" w:color="auto"/>
                <w:left w:val="none" w:sz="0" w:space="0" w:color="auto"/>
                <w:bottom w:val="none" w:sz="0" w:space="0" w:color="auto"/>
                <w:right w:val="none" w:sz="0" w:space="0" w:color="auto"/>
              </w:divBdr>
              <w:divsChild>
                <w:div w:id="207765834">
                  <w:marLeft w:val="0"/>
                  <w:marRight w:val="0"/>
                  <w:marTop w:val="0"/>
                  <w:marBottom w:val="0"/>
                  <w:divBdr>
                    <w:top w:val="none" w:sz="0" w:space="0" w:color="auto"/>
                    <w:left w:val="none" w:sz="0" w:space="0" w:color="auto"/>
                    <w:bottom w:val="none" w:sz="0" w:space="0" w:color="auto"/>
                    <w:right w:val="none" w:sz="0" w:space="0" w:color="auto"/>
                  </w:divBdr>
                  <w:divsChild>
                    <w:div w:id="1832404583">
                      <w:marLeft w:val="0"/>
                      <w:marRight w:val="0"/>
                      <w:marTop w:val="0"/>
                      <w:marBottom w:val="0"/>
                      <w:divBdr>
                        <w:top w:val="none" w:sz="0" w:space="0" w:color="auto"/>
                        <w:left w:val="none" w:sz="0" w:space="0" w:color="auto"/>
                        <w:bottom w:val="none" w:sz="0" w:space="0" w:color="auto"/>
                        <w:right w:val="none" w:sz="0" w:space="0" w:color="auto"/>
                      </w:divBdr>
                      <w:divsChild>
                        <w:div w:id="924220140">
                          <w:marLeft w:val="0"/>
                          <w:marRight w:val="0"/>
                          <w:marTop w:val="0"/>
                          <w:marBottom w:val="0"/>
                          <w:divBdr>
                            <w:top w:val="none" w:sz="0" w:space="0" w:color="auto"/>
                            <w:left w:val="none" w:sz="0" w:space="0" w:color="auto"/>
                            <w:bottom w:val="none" w:sz="0" w:space="0" w:color="auto"/>
                            <w:right w:val="none" w:sz="0" w:space="0" w:color="auto"/>
                          </w:divBdr>
                          <w:divsChild>
                            <w:div w:id="595987878">
                              <w:marLeft w:val="0"/>
                              <w:marRight w:val="0"/>
                              <w:marTop w:val="0"/>
                              <w:marBottom w:val="0"/>
                              <w:divBdr>
                                <w:top w:val="none" w:sz="0" w:space="0" w:color="auto"/>
                                <w:left w:val="none" w:sz="0" w:space="0" w:color="auto"/>
                                <w:bottom w:val="none" w:sz="0" w:space="0" w:color="auto"/>
                                <w:right w:val="none" w:sz="0" w:space="0" w:color="auto"/>
                              </w:divBdr>
                              <w:divsChild>
                                <w:div w:id="10797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39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4.jpg"/><Relationship Id="rId39" Type="http://schemas.openxmlformats.org/officeDocument/2006/relationships/image" Target="media/image26.png"/><Relationship Id="rId21" Type="http://schemas.openxmlformats.org/officeDocument/2006/relationships/image" Target="media/image10.jpg"/><Relationship Id="rId34" Type="http://schemas.openxmlformats.org/officeDocument/2006/relationships/image" Target="media/image21.png"/><Relationship Id="rId42" Type="http://schemas.openxmlformats.org/officeDocument/2006/relationships/chart" Target="charts/chart1.xml"/><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image" Target="media/image32.wmf"/><Relationship Id="rId7" Type="http://schemas.openxmlformats.org/officeDocument/2006/relationships/footnotes" Target="footnotes.xml"/><Relationship Id="rId12" Type="http://schemas.openxmlformats.org/officeDocument/2006/relationships/hyperlink" Target="http://www.diyadinnet.com/YararliBilgiler-1378&amp;Bilgi=ve" TargetMode="External"/><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20.png"/><Relationship Id="rId38" Type="http://schemas.openxmlformats.org/officeDocument/2006/relationships/image" Target="media/image25.jpg"/><Relationship Id="rId46"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6.png"/><Relationship Id="rId41" Type="http://schemas.openxmlformats.org/officeDocument/2006/relationships/image" Target="media/image28.jpg"/><Relationship Id="rId54" Type="http://schemas.openxmlformats.org/officeDocument/2006/relationships/hyperlink" Target="http://ec.europa.eu/clima/policies/roadmap/index_en.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jpg"/><Relationship Id="rId53" Type="http://schemas.openxmlformats.org/officeDocument/2006/relationships/hyperlink" Target="http://www.sciencedirect.com/science/journal/13648152"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g"/><Relationship Id="rId28" Type="http://schemas.openxmlformats.org/officeDocument/2006/relationships/header" Target="header2.xml"/><Relationship Id="rId36" Type="http://schemas.openxmlformats.org/officeDocument/2006/relationships/image" Target="media/image23.emf"/><Relationship Id="rId49" Type="http://schemas.openxmlformats.org/officeDocument/2006/relationships/chart" Target="charts/chart5.xm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hyperlink" Target="http://www.econturk.org/Turkiyeekonomisi/odtu_paper.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cevreonline.com" TargetMode="Externa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29.png"/><Relationship Id="rId48" Type="http://schemas.openxmlformats.org/officeDocument/2006/relationships/chart" Target="charts/chart4.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diyadinnet.com/YararliBilgiler-1378&amp;Bilgi=v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tr.wikipedia.org/wiki/Kimyac%C4%B1" TargetMode="External"/><Relationship Id="rId3" Type="http://schemas.openxmlformats.org/officeDocument/2006/relationships/hyperlink" Target="http://tr.wikipedia.org/wiki/Uppsala" TargetMode="External"/><Relationship Id="rId7" Type="http://schemas.openxmlformats.org/officeDocument/2006/relationships/hyperlink" Target="http://tr.wikipedia.org/wiki/%C4%B0sve%C3%A7li" TargetMode="External"/><Relationship Id="rId2" Type="http://schemas.openxmlformats.org/officeDocument/2006/relationships/hyperlink" Target="http://tr.wikipedia.org/wiki/1859" TargetMode="External"/><Relationship Id="rId1" Type="http://schemas.openxmlformats.org/officeDocument/2006/relationships/hyperlink" Target="http://tr.wikipedia.org/wiki/19_%C5%9Eubat" TargetMode="External"/><Relationship Id="rId6" Type="http://schemas.openxmlformats.org/officeDocument/2006/relationships/hyperlink" Target="http://tr.wikipedia.org/wiki/Stokholm" TargetMode="External"/><Relationship Id="rId5" Type="http://schemas.openxmlformats.org/officeDocument/2006/relationships/hyperlink" Target="http://tr.wikipedia.org/wiki/1927" TargetMode="External"/><Relationship Id="rId4" Type="http://schemas.openxmlformats.org/officeDocument/2006/relationships/hyperlink" Target="http://tr.wikipedia.org/wiki/2_Ekim" TargetMode="External"/><Relationship Id="rId9" Type="http://schemas.openxmlformats.org/officeDocument/2006/relationships/hyperlink" Target="http://tr.wikipedia.org/wiki/Fiziksel_kimya"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625040193104717"/>
          <c:y val="2.5085361218987891E-2"/>
          <c:w val="0.78396723347059016"/>
          <c:h val="0.83046970326836422"/>
        </c:manualLayout>
      </c:layout>
      <c:barChart>
        <c:barDir val="bar"/>
        <c:grouping val="clustered"/>
        <c:varyColors val="0"/>
        <c:ser>
          <c:idx val="0"/>
          <c:order val="0"/>
          <c:tx>
            <c:strRef>
              <c:f>'[Fig 6.2(1).xlsx]Fig 6-2'!$B$2</c:f>
              <c:strCache>
                <c:ptCount val="1"/>
                <c:pt idx="0">
                  <c:v>Mevcut ölçümlerle ETS dışı 2020 yılı yakalanan (+) ve yakalanmayan (-) hedeflerin öngörüleri  </c:v>
                </c:pt>
              </c:strCache>
            </c:strRef>
          </c:tx>
          <c:invertIfNegative val="0"/>
          <c:dLbls>
            <c:dLbl>
              <c:idx val="13"/>
              <c:layout>
                <c:manualLayout>
                  <c:x val="-7.1540338118226514E-3"/>
                  <c:y val="4.3010747832726796E-3"/>
                </c:manualLayout>
              </c:layout>
              <c:showLegendKey val="0"/>
              <c:showVal val="1"/>
              <c:showCatName val="0"/>
              <c:showSerName val="0"/>
              <c:showPercent val="0"/>
              <c:showBubbleSize val="0"/>
            </c:dLbl>
            <c:numFmt formatCode="0%" sourceLinked="0"/>
            <c:txPr>
              <a:bodyPr/>
              <a:lstStyle/>
              <a:p>
                <a:pPr>
                  <a:defRPr sz="800">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dLbls>
          <c:cat>
            <c:strRef>
              <c:f>'[Fig 6.2(1).xlsx]Fig 6-2'!$A$3:$A$31</c:f>
              <c:strCache>
                <c:ptCount val="29"/>
                <c:pt idx="0">
                  <c:v>Lüksemburg</c:v>
                </c:pt>
                <c:pt idx="1">
                  <c:v>İrlanda</c:v>
                </c:pt>
                <c:pt idx="2">
                  <c:v>Malta</c:v>
                </c:pt>
                <c:pt idx="3">
                  <c:v>Belçika</c:v>
                </c:pt>
                <c:pt idx="4">
                  <c:v>Yunanistan</c:v>
                </c:pt>
                <c:pt idx="5">
                  <c:v>İspanya</c:v>
                </c:pt>
                <c:pt idx="6">
                  <c:v>İsveç</c:v>
                </c:pt>
                <c:pt idx="7">
                  <c:v>Danimarka</c:v>
                </c:pt>
                <c:pt idx="8">
                  <c:v>Avusturya</c:v>
                </c:pt>
                <c:pt idx="9">
                  <c:v>Finlandiya</c:v>
                </c:pt>
                <c:pt idx="10">
                  <c:v>Estonya</c:v>
                </c:pt>
                <c:pt idx="11">
                  <c:v>Letonya</c:v>
                </c:pt>
                <c:pt idx="12">
                  <c:v>İtalya</c:v>
                </c:pt>
                <c:pt idx="13">
                  <c:v>Litvanya</c:v>
                </c:pt>
                <c:pt idx="14">
                  <c:v>Büyük Britanya</c:v>
                </c:pt>
                <c:pt idx="15">
                  <c:v>Hollanda</c:v>
                </c:pt>
                <c:pt idx="16">
                  <c:v>Bulgaristan</c:v>
                </c:pt>
                <c:pt idx="17">
                  <c:v>Fransa</c:v>
                </c:pt>
                <c:pt idx="18">
                  <c:v>Romanya</c:v>
                </c:pt>
                <c:pt idx="19">
                  <c:v>Slovenya</c:v>
                </c:pt>
                <c:pt idx="20">
                  <c:v>Almanya</c:v>
                </c:pt>
                <c:pt idx="21">
                  <c:v>Polonya</c:v>
                </c:pt>
                <c:pt idx="22">
                  <c:v>Portekiz</c:v>
                </c:pt>
                <c:pt idx="23">
                  <c:v>Çek Cumhuriyeti</c:v>
                </c:pt>
                <c:pt idx="24">
                  <c:v>Slovakya</c:v>
                </c:pt>
                <c:pt idx="25">
                  <c:v>Kıbrıs</c:v>
                </c:pt>
                <c:pt idx="26">
                  <c:v>Macaristan</c:v>
                </c:pt>
                <c:pt idx="28">
                  <c:v>AB 27</c:v>
                </c:pt>
              </c:strCache>
            </c:strRef>
          </c:cat>
          <c:val>
            <c:numRef>
              <c:f>'[Fig 6.2(1).xlsx]Fig 6-2'!$B$3:$B$31</c:f>
              <c:numCache>
                <c:formatCode>0%</c:formatCode>
                <c:ptCount val="29"/>
                <c:pt idx="0">
                  <c:v>-0.27015595484914917</c:v>
                </c:pt>
                <c:pt idx="1">
                  <c:v>-0.17455523492415553</c:v>
                </c:pt>
                <c:pt idx="2">
                  <c:v>-0.28310325017992449</c:v>
                </c:pt>
                <c:pt idx="3">
                  <c:v>-0.15605837841658721</c:v>
                </c:pt>
                <c:pt idx="4">
                  <c:v>-6.6663655366927282E-2</c:v>
                </c:pt>
                <c:pt idx="5">
                  <c:v>-3.7519461091309789E-3</c:v>
                </c:pt>
                <c:pt idx="6">
                  <c:v>1.7349397997199712E-3</c:v>
                </c:pt>
                <c:pt idx="7">
                  <c:v>-9.8349996707692303E-2</c:v>
                </c:pt>
                <c:pt idx="8">
                  <c:v>-0.1065055224687694</c:v>
                </c:pt>
                <c:pt idx="9">
                  <c:v>-2.4537832413908195E-2</c:v>
                </c:pt>
                <c:pt idx="10">
                  <c:v>-1.2405637993052381E-2</c:v>
                </c:pt>
                <c:pt idx="11">
                  <c:v>-1.230815949833637E-2</c:v>
                </c:pt>
                <c:pt idx="12">
                  <c:v>-9.8080847315523009E-2</c:v>
                </c:pt>
                <c:pt idx="13">
                  <c:v>3.4550707229701327E-2</c:v>
                </c:pt>
                <c:pt idx="14">
                  <c:v>6.6247017332483615E-2</c:v>
                </c:pt>
                <c:pt idx="15">
                  <c:v>2.2162385741565763E-2</c:v>
                </c:pt>
                <c:pt idx="16">
                  <c:v>8.1773171682003001E-2</c:v>
                </c:pt>
                <c:pt idx="17">
                  <c:v>-2.6366228904637256E-2</c:v>
                </c:pt>
                <c:pt idx="18">
                  <c:v>9.5500987364170967E-2</c:v>
                </c:pt>
                <c:pt idx="19">
                  <c:v>-0.12671817454375472</c:v>
                </c:pt>
                <c:pt idx="20">
                  <c:v>3.2619250303756994E-2</c:v>
                </c:pt>
                <c:pt idx="21">
                  <c:v>0.14137089927165805</c:v>
                </c:pt>
                <c:pt idx="22">
                  <c:v>0.17129617946865833</c:v>
                </c:pt>
                <c:pt idx="23">
                  <c:v>0.16083444577039932</c:v>
                </c:pt>
                <c:pt idx="24">
                  <c:v>0.15333151925627619</c:v>
                </c:pt>
                <c:pt idx="25">
                  <c:v>0.14296057803860621</c:v>
                </c:pt>
                <c:pt idx="26">
                  <c:v>0.35620337884315983</c:v>
                </c:pt>
                <c:pt idx="28">
                  <c:v>1.2065459684014285E-2</c:v>
                </c:pt>
              </c:numCache>
            </c:numRef>
          </c:val>
        </c:ser>
        <c:ser>
          <c:idx val="1"/>
          <c:order val="1"/>
          <c:tx>
            <c:strRef>
              <c:f>'[Fig 6.2(1).xlsx]Fig 6-2'!$C$2</c:f>
              <c:strCache>
                <c:ptCount val="1"/>
                <c:pt idx="0">
                  <c:v>Ekstra ölçümlerle ETS dışı 2020 yılı yakalanan (+) ve yakalanmayan (-) hedeflerin öngörüleri  </c:v>
                </c:pt>
              </c:strCache>
            </c:strRef>
          </c:tx>
          <c:invertIfNegative val="0"/>
          <c:dLbls>
            <c:dLbl>
              <c:idx val="0"/>
              <c:layout>
                <c:manualLayout>
                  <c:x val="0"/>
                  <c:y val="-3.7714809224685974E-3"/>
                </c:manualLayout>
              </c:layout>
              <c:showLegendKey val="0"/>
              <c:showVal val="1"/>
              <c:showCatName val="0"/>
              <c:showSerName val="0"/>
              <c:showPercent val="0"/>
              <c:showBubbleSize val="0"/>
            </c:dLbl>
            <c:dLbl>
              <c:idx val="6"/>
              <c:layout>
                <c:manualLayout>
                  <c:x val="0"/>
                  <c:y val="-5.6572213837028963E-3"/>
                </c:manualLayout>
              </c:layout>
              <c:showLegendKey val="0"/>
              <c:showVal val="1"/>
              <c:showCatName val="0"/>
              <c:showSerName val="0"/>
              <c:showPercent val="0"/>
              <c:showBubbleSize val="0"/>
            </c:dLbl>
            <c:dLbl>
              <c:idx val="7"/>
              <c:delete val="1"/>
            </c:dLbl>
            <c:dLbl>
              <c:idx val="9"/>
              <c:delete val="1"/>
            </c:dLbl>
            <c:dLbl>
              <c:idx val="13"/>
              <c:delete val="1"/>
            </c:dLbl>
            <c:dLbl>
              <c:idx val="15"/>
              <c:delete val="1"/>
            </c:dLbl>
            <c:dLbl>
              <c:idx val="16"/>
              <c:delete val="1"/>
            </c:dLbl>
            <c:dLbl>
              <c:idx val="21"/>
              <c:delete val="1"/>
            </c:dLbl>
            <c:dLbl>
              <c:idx val="22"/>
              <c:delete val="1"/>
            </c:dLbl>
            <c:dLbl>
              <c:idx val="23"/>
              <c:delete val="1"/>
            </c:dLbl>
            <c:dLbl>
              <c:idx val="24"/>
              <c:delete val="1"/>
            </c:dLbl>
            <c:numFmt formatCode="0%" sourceLinked="0"/>
            <c:txPr>
              <a:bodyPr/>
              <a:lstStyle/>
              <a:p>
                <a:pPr>
                  <a:defRPr sz="800">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dLbls>
          <c:cat>
            <c:strRef>
              <c:f>'[Fig 6.2(1).xlsx]Fig 6-2'!$A$3:$A$31</c:f>
              <c:strCache>
                <c:ptCount val="29"/>
                <c:pt idx="0">
                  <c:v>Lüksemburg</c:v>
                </c:pt>
                <c:pt idx="1">
                  <c:v>İrlanda</c:v>
                </c:pt>
                <c:pt idx="2">
                  <c:v>Malta</c:v>
                </c:pt>
                <c:pt idx="3">
                  <c:v>Belçika</c:v>
                </c:pt>
                <c:pt idx="4">
                  <c:v>Yunanistan</c:v>
                </c:pt>
                <c:pt idx="5">
                  <c:v>İspanya</c:v>
                </c:pt>
                <c:pt idx="6">
                  <c:v>İsveç</c:v>
                </c:pt>
                <c:pt idx="7">
                  <c:v>Danimarka</c:v>
                </c:pt>
                <c:pt idx="8">
                  <c:v>Avusturya</c:v>
                </c:pt>
                <c:pt idx="9">
                  <c:v>Finlandiya</c:v>
                </c:pt>
                <c:pt idx="10">
                  <c:v>Estonya</c:v>
                </c:pt>
                <c:pt idx="11">
                  <c:v>Letonya</c:v>
                </c:pt>
                <c:pt idx="12">
                  <c:v>İtalya</c:v>
                </c:pt>
                <c:pt idx="13">
                  <c:v>Litvanya</c:v>
                </c:pt>
                <c:pt idx="14">
                  <c:v>Büyük Britanya</c:v>
                </c:pt>
                <c:pt idx="15">
                  <c:v>Hollanda</c:v>
                </c:pt>
                <c:pt idx="16">
                  <c:v>Bulgaristan</c:v>
                </c:pt>
                <c:pt idx="17">
                  <c:v>Fransa</c:v>
                </c:pt>
                <c:pt idx="18">
                  <c:v>Romanya</c:v>
                </c:pt>
                <c:pt idx="19">
                  <c:v>Slovenya</c:v>
                </c:pt>
                <c:pt idx="20">
                  <c:v>Almanya</c:v>
                </c:pt>
                <c:pt idx="21">
                  <c:v>Polonya</c:v>
                </c:pt>
                <c:pt idx="22">
                  <c:v>Portekiz</c:v>
                </c:pt>
                <c:pt idx="23">
                  <c:v>Çek Cumhuriyeti</c:v>
                </c:pt>
                <c:pt idx="24">
                  <c:v>Slovakya</c:v>
                </c:pt>
                <c:pt idx="25">
                  <c:v>Kıbrıs</c:v>
                </c:pt>
                <c:pt idx="26">
                  <c:v>Macaristan</c:v>
                </c:pt>
                <c:pt idx="28">
                  <c:v>AB 27</c:v>
                </c:pt>
              </c:strCache>
            </c:strRef>
          </c:cat>
          <c:val>
            <c:numRef>
              <c:f>'[Fig 6.2(1).xlsx]Fig 6-2'!$C$3:$C$31</c:f>
              <c:numCache>
                <c:formatCode>0%</c:formatCode>
                <c:ptCount val="29"/>
                <c:pt idx="0">
                  <c:v>-0.19674829559912499</c:v>
                </c:pt>
                <c:pt idx="1">
                  <c:v>-9.5725406971726545E-2</c:v>
                </c:pt>
                <c:pt idx="2">
                  <c:v>-6.1356922713820816E-2</c:v>
                </c:pt>
                <c:pt idx="3">
                  <c:v>-5.9399442672625903E-2</c:v>
                </c:pt>
                <c:pt idx="4">
                  <c:v>-3.2518193013219503E-2</c:v>
                </c:pt>
                <c:pt idx="5" formatCode="0.00%">
                  <c:v>-2.2860979524556971E-4</c:v>
                </c:pt>
                <c:pt idx="6">
                  <c:v>1.7485742018506448E-3</c:v>
                </c:pt>
                <c:pt idx="7">
                  <c:v>7.0888245022261067E-3</c:v>
                </c:pt>
                <c:pt idx="8">
                  <c:v>1.6651273212267031E-2</c:v>
                </c:pt>
                <c:pt idx="9">
                  <c:v>2.103465213845776E-2</c:v>
                </c:pt>
                <c:pt idx="10">
                  <c:v>3.4003990406432281E-2</c:v>
                </c:pt>
                <c:pt idx="11">
                  <c:v>4.2353009301077604E-2</c:v>
                </c:pt>
                <c:pt idx="12">
                  <c:v>4.5830154506038036E-2</c:v>
                </c:pt>
                <c:pt idx="13">
                  <c:v>5.302868316247232E-2</c:v>
                </c:pt>
                <c:pt idx="14">
                  <c:v>6.6247017332483615E-2</c:v>
                </c:pt>
                <c:pt idx="15">
                  <c:v>7.7854684637120017E-2</c:v>
                </c:pt>
                <c:pt idx="16">
                  <c:v>8.1773171682003001E-2</c:v>
                </c:pt>
                <c:pt idx="17">
                  <c:v>8.6616347449679207E-2</c:v>
                </c:pt>
                <c:pt idx="18">
                  <c:v>9.5500987364170967E-2</c:v>
                </c:pt>
                <c:pt idx="19">
                  <c:v>0.10165334367714909</c:v>
                </c:pt>
                <c:pt idx="20">
                  <c:v>0.13776478935238692</c:v>
                </c:pt>
                <c:pt idx="21">
                  <c:v>0.14137089927165805</c:v>
                </c:pt>
                <c:pt idx="22">
                  <c:v>0.17129617946865833</c:v>
                </c:pt>
                <c:pt idx="23">
                  <c:v>0.18161869762189645</c:v>
                </c:pt>
                <c:pt idx="24">
                  <c:v>0.1947911774345282</c:v>
                </c:pt>
                <c:pt idx="25">
                  <c:v>0.39739254419677422</c:v>
                </c:pt>
                <c:pt idx="26">
                  <c:v>0.39940783739966662</c:v>
                </c:pt>
                <c:pt idx="28">
                  <c:v>7.901267475309573E-2</c:v>
                </c:pt>
              </c:numCache>
            </c:numRef>
          </c:val>
        </c:ser>
        <c:dLbls>
          <c:showLegendKey val="0"/>
          <c:showVal val="0"/>
          <c:showCatName val="0"/>
          <c:showSerName val="0"/>
          <c:showPercent val="0"/>
          <c:showBubbleSize val="0"/>
        </c:dLbls>
        <c:gapWidth val="100"/>
        <c:overlap val="25"/>
        <c:axId val="99576832"/>
        <c:axId val="113391488"/>
      </c:barChart>
      <c:catAx>
        <c:axId val="99576832"/>
        <c:scaling>
          <c:orientation val="maxMin"/>
        </c:scaling>
        <c:delete val="0"/>
        <c:axPos val="l"/>
        <c:majorTickMark val="none"/>
        <c:minorTickMark val="none"/>
        <c:tickLblPos val="low"/>
        <c:txPr>
          <a:bodyPr/>
          <a:lstStyle/>
          <a:p>
            <a:pPr>
              <a:defRPr>
                <a:latin typeface="Times New Roman" pitchFamily="18" charset="0"/>
                <a:cs typeface="Times New Roman" pitchFamily="18" charset="0"/>
              </a:defRPr>
            </a:pPr>
            <a:endParaRPr lang="tr-TR"/>
          </a:p>
        </c:txPr>
        <c:crossAx val="113391488"/>
        <c:crosses val="autoZero"/>
        <c:auto val="1"/>
        <c:lblAlgn val="ctr"/>
        <c:lblOffset val="100"/>
        <c:noMultiLvlLbl val="0"/>
      </c:catAx>
      <c:valAx>
        <c:axId val="113391488"/>
        <c:scaling>
          <c:orientation val="minMax"/>
        </c:scaling>
        <c:delete val="0"/>
        <c:axPos val="b"/>
        <c:title>
          <c:tx>
            <c:rich>
              <a:bodyPr/>
              <a:lstStyle/>
              <a:p>
                <a:pPr>
                  <a:defRPr b="0">
                    <a:latin typeface="Times New Roman" pitchFamily="18" charset="0"/>
                    <a:cs typeface="Times New Roman" pitchFamily="18" charset="0"/>
                  </a:defRPr>
                </a:pPr>
                <a:r>
                  <a:rPr lang="tr-TR" b="0">
                    <a:latin typeface="Times New Roman" pitchFamily="18" charset="0"/>
                    <a:cs typeface="Times New Roman" pitchFamily="18" charset="0"/>
                  </a:rPr>
                  <a:t>2005 yılı ETS</a:t>
                </a:r>
                <a:r>
                  <a:rPr lang="tr-TR" b="0" baseline="0">
                    <a:latin typeface="Times New Roman" pitchFamily="18" charset="0"/>
                    <a:cs typeface="Times New Roman" pitchFamily="18" charset="0"/>
                  </a:rPr>
                  <a:t> dışı emisyon </a:t>
                </a:r>
                <a:r>
                  <a:rPr lang="en-US" b="0">
                    <a:latin typeface="Times New Roman" pitchFamily="18" charset="0"/>
                    <a:cs typeface="Times New Roman" pitchFamily="18" charset="0"/>
                  </a:rPr>
                  <a:t>%</a:t>
                </a:r>
                <a:r>
                  <a:rPr lang="tr-TR" b="0">
                    <a:latin typeface="Times New Roman" pitchFamily="18" charset="0"/>
                    <a:cs typeface="Times New Roman" pitchFamily="18" charset="0"/>
                  </a:rPr>
                  <a:t>'si</a:t>
                </a:r>
                <a:endParaRPr lang="en-US" b="0">
                  <a:latin typeface="Times New Roman" pitchFamily="18" charset="0"/>
                  <a:cs typeface="Times New Roman" pitchFamily="18" charset="0"/>
                </a:endParaRPr>
              </a:p>
            </c:rich>
          </c:tx>
          <c:overlay val="0"/>
        </c:title>
        <c:numFmt formatCode="0%" sourceLinked="1"/>
        <c:majorTickMark val="out"/>
        <c:minorTickMark val="none"/>
        <c:tickLblPos val="nextTo"/>
        <c:txPr>
          <a:bodyPr/>
          <a:lstStyle/>
          <a:p>
            <a:pPr>
              <a:defRPr>
                <a:latin typeface="Times New Roman" pitchFamily="18" charset="0"/>
                <a:cs typeface="Times New Roman" pitchFamily="18" charset="0"/>
              </a:defRPr>
            </a:pPr>
            <a:endParaRPr lang="tr-TR"/>
          </a:p>
        </c:txPr>
        <c:crossAx val="99576832"/>
        <c:crosses val="max"/>
        <c:crossBetween val="between"/>
      </c:valAx>
    </c:plotArea>
    <c:legend>
      <c:legendPos val="b"/>
      <c:layout>
        <c:manualLayout>
          <c:xMode val="edge"/>
          <c:yMode val="edge"/>
          <c:x val="1.6466128489835662E-2"/>
          <c:y val="0.91426179796292117"/>
          <c:w val="0.96508198277089929"/>
          <c:h val="7.5958252192049977E-2"/>
        </c:manualLayout>
      </c:layout>
      <c:overlay val="0"/>
      <c:txPr>
        <a:bodyPr/>
        <a:lstStyle/>
        <a:p>
          <a:pPr>
            <a:defRPr sz="950">
              <a:latin typeface="Times New Roman" pitchFamily="18" charset="0"/>
              <a:cs typeface="Times New Roman" pitchFamily="18" charset="0"/>
            </a:defRPr>
          </a:pPr>
          <a:endParaRPr lang="tr-TR"/>
        </a:p>
      </c:txPr>
    </c:legend>
    <c:plotVisOnly val="1"/>
    <c:dispBlanksAs val="gap"/>
    <c:showDLblsOverMax val="0"/>
  </c:chart>
  <c:spPr>
    <a:ln>
      <a:solidFill>
        <a:schemeClr val="tx1"/>
      </a:solidFill>
    </a:ln>
  </c:spPr>
  <c:txPr>
    <a:bodyPr/>
    <a:lstStyle/>
    <a:p>
      <a:pPr>
        <a:defRPr sz="1000">
          <a:latin typeface="Verdana" pitchFamily="34" charset="0"/>
        </a:defRPr>
      </a:pPr>
      <a:endParaRPr lang="tr-T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noFill/>
            </a:ln>
          </c:spPr>
          <c:dPt>
            <c:idx val="3"/>
            <c:marker>
              <c:spPr>
                <a:ln>
                  <a:noFill/>
                </a:ln>
              </c:spPr>
            </c:marker>
            <c:bubble3D val="0"/>
          </c:dPt>
          <c:cat>
            <c:strRef>
              <c:f>Sayfa1!$B$3:$B$27</c:f>
              <c:strCache>
                <c:ptCount val="25"/>
                <c:pt idx="0">
                  <c:v>Avustralya</c:v>
                </c:pt>
                <c:pt idx="1">
                  <c:v>Avusturya</c:v>
                </c:pt>
                <c:pt idx="2">
                  <c:v>Belçika</c:v>
                </c:pt>
                <c:pt idx="3">
                  <c:v>Kanada</c:v>
                </c:pt>
                <c:pt idx="4">
                  <c:v>Şili</c:v>
                </c:pt>
                <c:pt idx="5">
                  <c:v>Danimarka</c:v>
                </c:pt>
                <c:pt idx="6">
                  <c:v>Finlandiya</c:v>
                </c:pt>
                <c:pt idx="7">
                  <c:v>Fransa</c:v>
                </c:pt>
                <c:pt idx="8">
                  <c:v>Almanya</c:v>
                </c:pt>
                <c:pt idx="9">
                  <c:v>Yunanistan</c:v>
                </c:pt>
                <c:pt idx="10">
                  <c:v>Macaristan</c:v>
                </c:pt>
                <c:pt idx="11">
                  <c:v>İsrail</c:v>
                </c:pt>
                <c:pt idx="12">
                  <c:v>İtalya</c:v>
                </c:pt>
                <c:pt idx="13">
                  <c:v>Japonya</c:v>
                </c:pt>
                <c:pt idx="14">
                  <c:v>Kore</c:v>
                </c:pt>
                <c:pt idx="15">
                  <c:v>Meksika</c:v>
                </c:pt>
                <c:pt idx="16">
                  <c:v>Hollanda</c:v>
                </c:pt>
                <c:pt idx="17">
                  <c:v>Norveç</c:v>
                </c:pt>
                <c:pt idx="18">
                  <c:v>Portekiz</c:v>
                </c:pt>
                <c:pt idx="19">
                  <c:v>İspanya</c:v>
                </c:pt>
                <c:pt idx="20">
                  <c:v>İsveç</c:v>
                </c:pt>
                <c:pt idx="21">
                  <c:v>Türkiye</c:v>
                </c:pt>
                <c:pt idx="22">
                  <c:v>İngiltere</c:v>
                </c:pt>
                <c:pt idx="23">
                  <c:v>ABD</c:v>
                </c:pt>
                <c:pt idx="24">
                  <c:v>OECD</c:v>
                </c:pt>
              </c:strCache>
            </c:strRef>
          </c:cat>
          <c:val>
            <c:numRef>
              <c:f>Sayfa1!$C$3:$C$27</c:f>
              <c:numCache>
                <c:formatCode>#\ ###\ ##0.00;\-#\ ###\ ##0.00;\-</c:formatCode>
                <c:ptCount val="25"/>
                <c:pt idx="0">
                  <c:v>17.431899999999999</c:v>
                </c:pt>
                <c:pt idx="1">
                  <c:v>8.1331000000000007</c:v>
                </c:pt>
                <c:pt idx="2">
                  <c:v>9.8919999999999995</c:v>
                </c:pt>
                <c:pt idx="3">
                  <c:v>15.3652</c:v>
                </c:pt>
                <c:pt idx="4">
                  <c:v>4.4189999999999996</c:v>
                </c:pt>
                <c:pt idx="5">
                  <c:v>7.4847999999999999</c:v>
                </c:pt>
                <c:pt idx="6">
                  <c:v>10.323399999999999</c:v>
                </c:pt>
                <c:pt idx="7">
                  <c:v>5.0419999999999998</c:v>
                </c:pt>
                <c:pt idx="8">
                  <c:v>9.1415000000000006</c:v>
                </c:pt>
                <c:pt idx="9">
                  <c:v>7.3951000000000002</c:v>
                </c:pt>
                <c:pt idx="10">
                  <c:v>4.7521000000000004</c:v>
                </c:pt>
                <c:pt idx="11">
                  <c:v>8.6602999999999994</c:v>
                </c:pt>
                <c:pt idx="12">
                  <c:v>6.4714</c:v>
                </c:pt>
                <c:pt idx="13">
                  <c:v>9.2782</c:v>
                </c:pt>
                <c:pt idx="14">
                  <c:v>11.806699999999999</c:v>
                </c:pt>
                <c:pt idx="15">
                  <c:v>3.9581</c:v>
                </c:pt>
                <c:pt idx="16">
                  <c:v>10.451700000000001</c:v>
                </c:pt>
                <c:pt idx="17">
                  <c:v>7.6920999999999999</c:v>
                </c:pt>
                <c:pt idx="18">
                  <c:v>4.5145</c:v>
                </c:pt>
                <c:pt idx="19">
                  <c:v>5.8606999999999996</c:v>
                </c:pt>
                <c:pt idx="20">
                  <c:v>4.7518000000000002</c:v>
                </c:pt>
                <c:pt idx="21">
                  <c:v>3.8637999999999999</c:v>
                </c:pt>
                <c:pt idx="22">
                  <c:v>7.0616000000000003</c:v>
                </c:pt>
                <c:pt idx="23">
                  <c:v>16.943899999999999</c:v>
                </c:pt>
                <c:pt idx="24">
                  <c:v>9.9499999999999993</c:v>
                </c:pt>
              </c:numCache>
            </c:numRef>
          </c:val>
          <c:smooth val="0"/>
        </c:ser>
        <c:dLbls>
          <c:showLegendKey val="0"/>
          <c:showVal val="0"/>
          <c:showCatName val="0"/>
          <c:showSerName val="0"/>
          <c:showPercent val="0"/>
          <c:showBubbleSize val="0"/>
        </c:dLbls>
        <c:marker val="1"/>
        <c:smooth val="0"/>
        <c:axId val="26414080"/>
        <c:axId val="25416448"/>
      </c:lineChart>
      <c:catAx>
        <c:axId val="26414080"/>
        <c:scaling>
          <c:orientation val="minMax"/>
        </c:scaling>
        <c:delete val="0"/>
        <c:axPos val="b"/>
        <c:majorGridlines/>
        <c:majorTickMark val="out"/>
        <c:minorTickMark val="none"/>
        <c:tickLblPos val="nextTo"/>
        <c:txPr>
          <a:bodyPr rot="-5400000" vert="horz"/>
          <a:lstStyle/>
          <a:p>
            <a:pPr>
              <a:defRPr sz="800"/>
            </a:pPr>
            <a:endParaRPr lang="tr-TR"/>
          </a:p>
        </c:txPr>
        <c:crossAx val="25416448"/>
        <c:crosses val="autoZero"/>
        <c:auto val="1"/>
        <c:lblAlgn val="ctr"/>
        <c:lblOffset val="100"/>
        <c:noMultiLvlLbl val="0"/>
      </c:catAx>
      <c:valAx>
        <c:axId val="25416448"/>
        <c:scaling>
          <c:orientation val="minMax"/>
        </c:scaling>
        <c:delete val="0"/>
        <c:axPos val="l"/>
        <c:majorGridlines/>
        <c:title>
          <c:tx>
            <c:rich>
              <a:bodyPr rot="-5400000" vert="horz"/>
              <a:lstStyle/>
              <a:p>
                <a:pPr>
                  <a:defRPr sz="1000"/>
                </a:pPr>
                <a:r>
                  <a:rPr lang="tr-TR" sz="1000"/>
                  <a:t>Kişi başı CO2 </a:t>
                </a:r>
                <a:r>
                  <a:rPr lang="tr-TR" sz="1000" baseline="0"/>
                  <a:t> (ton)</a:t>
                </a:r>
                <a:endParaRPr lang="tr-TR" sz="1000"/>
              </a:p>
            </c:rich>
          </c:tx>
          <c:layout>
            <c:manualLayout>
              <c:xMode val="edge"/>
              <c:yMode val="edge"/>
              <c:x val="1.3777269169268035E-2"/>
              <c:y val="3.4113256390896338E-2"/>
            </c:manualLayout>
          </c:layout>
          <c:overlay val="0"/>
        </c:title>
        <c:numFmt formatCode="#,##0" sourceLinked="0"/>
        <c:majorTickMark val="out"/>
        <c:minorTickMark val="none"/>
        <c:tickLblPos val="nextTo"/>
        <c:txPr>
          <a:bodyPr/>
          <a:lstStyle/>
          <a:p>
            <a:pPr>
              <a:defRPr sz="800"/>
            </a:pPr>
            <a:endParaRPr lang="tr-TR"/>
          </a:p>
        </c:txPr>
        <c:crossAx val="26414080"/>
        <c:crosses val="autoZero"/>
        <c:crossBetween val="between"/>
      </c:valAx>
    </c:plotArea>
    <c:plotVisOnly val="1"/>
    <c:dispBlanksAs val="gap"/>
    <c:showDLblsOverMax val="0"/>
  </c:chart>
  <c:spPr>
    <a:ln>
      <a:solidFill>
        <a:schemeClr val="accent1"/>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7351501099992"/>
          <c:y val="9.9528273454051866E-2"/>
          <c:w val="0.84878780138378329"/>
          <c:h val="0.61639992052311865"/>
        </c:manualLayout>
      </c:layout>
      <c:barChart>
        <c:barDir val="col"/>
        <c:grouping val="stacked"/>
        <c:varyColors val="0"/>
        <c:ser>
          <c:idx val="0"/>
          <c:order val="0"/>
          <c:tx>
            <c:strRef>
              <c:f>Sayfa2!$D$1</c:f>
              <c:strCache>
                <c:ptCount val="1"/>
                <c:pt idx="0">
                  <c:v>Kişi başı GSYIH</c:v>
                </c:pt>
              </c:strCache>
            </c:strRef>
          </c:tx>
          <c:invertIfNegative val="0"/>
          <c:cat>
            <c:strRef>
              <c:f>Sayfa2!$C$2:$C$26</c:f>
              <c:strCache>
                <c:ptCount val="25"/>
                <c:pt idx="0">
                  <c:v>Avustralya</c:v>
                </c:pt>
                <c:pt idx="1">
                  <c:v>Avusturya</c:v>
                </c:pt>
                <c:pt idx="2">
                  <c:v>Belçika</c:v>
                </c:pt>
                <c:pt idx="3">
                  <c:v>Kanada</c:v>
                </c:pt>
                <c:pt idx="4">
                  <c:v>Şili</c:v>
                </c:pt>
                <c:pt idx="5">
                  <c:v>Danimarka</c:v>
                </c:pt>
                <c:pt idx="6">
                  <c:v>Finlandiya</c:v>
                </c:pt>
                <c:pt idx="7">
                  <c:v>Fransa</c:v>
                </c:pt>
                <c:pt idx="8">
                  <c:v>Almanya</c:v>
                </c:pt>
                <c:pt idx="9">
                  <c:v>Yunanistan</c:v>
                </c:pt>
                <c:pt idx="10">
                  <c:v>Macaristan</c:v>
                </c:pt>
                <c:pt idx="11">
                  <c:v>İsrail</c:v>
                </c:pt>
                <c:pt idx="12">
                  <c:v>İtalya</c:v>
                </c:pt>
                <c:pt idx="13">
                  <c:v>Japonya</c:v>
                </c:pt>
                <c:pt idx="14">
                  <c:v>Güney Kore</c:v>
                </c:pt>
                <c:pt idx="15">
                  <c:v>Meksika</c:v>
                </c:pt>
                <c:pt idx="16">
                  <c:v>Hollanda</c:v>
                </c:pt>
                <c:pt idx="17">
                  <c:v>Norveç</c:v>
                </c:pt>
                <c:pt idx="18">
                  <c:v>Portekiz</c:v>
                </c:pt>
                <c:pt idx="19">
                  <c:v>İspanya</c:v>
                </c:pt>
                <c:pt idx="20">
                  <c:v>İsveç</c:v>
                </c:pt>
                <c:pt idx="21">
                  <c:v>Türkiye</c:v>
                </c:pt>
                <c:pt idx="22">
                  <c:v>İngiltere</c:v>
                </c:pt>
                <c:pt idx="23">
                  <c:v>ABD</c:v>
                </c:pt>
                <c:pt idx="24">
                  <c:v>OECD</c:v>
                </c:pt>
              </c:strCache>
            </c:strRef>
          </c:cat>
          <c:val>
            <c:numRef>
              <c:f>Sayfa2!$D$2:$D$26</c:f>
              <c:numCache>
                <c:formatCode>General</c:formatCode>
                <c:ptCount val="25"/>
                <c:pt idx="0">
                  <c:v>36654.154656236584</c:v>
                </c:pt>
                <c:pt idx="1">
                  <c:v>39742.64991811182</c:v>
                </c:pt>
                <c:pt idx="2">
                  <c:v>36877.024607355896</c:v>
                </c:pt>
                <c:pt idx="3">
                  <c:v>35794.269887850074</c:v>
                </c:pt>
                <c:pt idx="4">
                  <c:v>9030.7356424016198</c:v>
                </c:pt>
                <c:pt idx="5">
                  <c:v>46699.209005103614</c:v>
                </c:pt>
                <c:pt idx="6">
                  <c:v>38921.733489008802</c:v>
                </c:pt>
                <c:pt idx="7">
                  <c:v>34405.383416186065</c:v>
                </c:pt>
                <c:pt idx="8">
                  <c:v>37321.815816417227</c:v>
                </c:pt>
                <c:pt idx="9">
                  <c:v>19809.337333421387</c:v>
                </c:pt>
                <c:pt idx="10">
                  <c:v>11132.793735430314</c:v>
                </c:pt>
                <c:pt idx="11">
                  <c:v>22273.163244275613</c:v>
                </c:pt>
                <c:pt idx="12">
                  <c:v>29186.372113144938</c:v>
                </c:pt>
                <c:pt idx="13">
                  <c:v>36160.761903766579</c:v>
                </c:pt>
                <c:pt idx="14">
                  <c:v>21226.027182274604</c:v>
                </c:pt>
                <c:pt idx="15">
                  <c:v>8336.3188125958168</c:v>
                </c:pt>
                <c:pt idx="16">
                  <c:v>41305.479944312428</c:v>
                </c:pt>
                <c:pt idx="17">
                  <c:v>64533.989719893769</c:v>
                </c:pt>
                <c:pt idx="18">
                  <c:v>18442.655600711631</c:v>
                </c:pt>
                <c:pt idx="19">
                  <c:v>25551.392022234133</c:v>
                </c:pt>
                <c:pt idx="20">
                  <c:v>43749.938553337844</c:v>
                </c:pt>
                <c:pt idx="21">
                  <c:v>8413.3183733534133</c:v>
                </c:pt>
                <c:pt idx="22">
                  <c:v>38028.87269361371</c:v>
                </c:pt>
                <c:pt idx="23">
                  <c:v>44439.409100380544</c:v>
                </c:pt>
                <c:pt idx="24">
                  <c:v>31083.858913255135</c:v>
                </c:pt>
              </c:numCache>
            </c:numRef>
          </c:val>
        </c:ser>
        <c:dLbls>
          <c:showLegendKey val="0"/>
          <c:showVal val="0"/>
          <c:showCatName val="0"/>
          <c:showSerName val="0"/>
          <c:showPercent val="0"/>
          <c:showBubbleSize val="0"/>
        </c:dLbls>
        <c:gapWidth val="150"/>
        <c:overlap val="100"/>
        <c:axId val="26543232"/>
        <c:axId val="26544768"/>
      </c:barChart>
      <c:catAx>
        <c:axId val="26543232"/>
        <c:scaling>
          <c:orientation val="minMax"/>
        </c:scaling>
        <c:delete val="0"/>
        <c:axPos val="b"/>
        <c:majorGridlines/>
        <c:majorTickMark val="out"/>
        <c:minorTickMark val="out"/>
        <c:tickLblPos val="nextTo"/>
        <c:txPr>
          <a:bodyPr rot="-5400000" vert="horz"/>
          <a:lstStyle/>
          <a:p>
            <a:pPr>
              <a:defRPr sz="800"/>
            </a:pPr>
            <a:endParaRPr lang="tr-TR"/>
          </a:p>
        </c:txPr>
        <c:crossAx val="26544768"/>
        <c:crosses val="autoZero"/>
        <c:auto val="1"/>
        <c:lblAlgn val="ctr"/>
        <c:lblOffset val="100"/>
        <c:noMultiLvlLbl val="0"/>
      </c:catAx>
      <c:valAx>
        <c:axId val="26544768"/>
        <c:scaling>
          <c:orientation val="minMax"/>
          <c:max val="70000"/>
        </c:scaling>
        <c:delete val="0"/>
        <c:axPos val="l"/>
        <c:majorGridlines/>
        <c:title>
          <c:tx>
            <c:rich>
              <a:bodyPr rot="-5400000" vert="horz"/>
              <a:lstStyle/>
              <a:p>
                <a:pPr>
                  <a:defRPr sz="1000" b="1"/>
                </a:pPr>
                <a:r>
                  <a:rPr lang="tr-TR" sz="1000" b="1"/>
                  <a:t>Kişi Başı GSYİH</a:t>
                </a:r>
              </a:p>
            </c:rich>
          </c:tx>
          <c:layout>
            <c:manualLayout>
              <c:xMode val="edge"/>
              <c:yMode val="edge"/>
              <c:x val="1.6268766404199473E-2"/>
              <c:y val="7.0994349083483663E-2"/>
            </c:manualLayout>
          </c:layout>
          <c:overlay val="0"/>
        </c:title>
        <c:numFmt formatCode="General" sourceLinked="1"/>
        <c:majorTickMark val="out"/>
        <c:minorTickMark val="none"/>
        <c:tickLblPos val="nextTo"/>
        <c:txPr>
          <a:bodyPr/>
          <a:lstStyle/>
          <a:p>
            <a:pPr>
              <a:defRPr sz="800"/>
            </a:pPr>
            <a:endParaRPr lang="tr-TR"/>
          </a:p>
        </c:txPr>
        <c:crossAx val="26543232"/>
        <c:crosses val="autoZero"/>
        <c:crossBetween val="between"/>
      </c:valAx>
      <c:spPr>
        <a:noFill/>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67777247167094"/>
          <c:y val="9.0553332472785159E-2"/>
          <c:w val="0.86762102551003406"/>
          <c:h val="0.69279541901524599"/>
        </c:manualLayout>
      </c:layout>
      <c:lineChart>
        <c:grouping val="stacked"/>
        <c:varyColors val="0"/>
        <c:ser>
          <c:idx val="0"/>
          <c:order val="0"/>
          <c:spPr>
            <a:ln>
              <a:noFill/>
            </a:ln>
          </c:spPr>
          <c:cat>
            <c:strRef>
              <c:f>Sayfa3!$F$3:$F$27</c:f>
              <c:strCache>
                <c:ptCount val="25"/>
                <c:pt idx="0">
                  <c:v>Avustralya</c:v>
                </c:pt>
                <c:pt idx="1">
                  <c:v>Avusturya</c:v>
                </c:pt>
                <c:pt idx="2">
                  <c:v>Belçika</c:v>
                </c:pt>
                <c:pt idx="3">
                  <c:v>Kanada</c:v>
                </c:pt>
                <c:pt idx="4">
                  <c:v>Şili</c:v>
                </c:pt>
                <c:pt idx="5">
                  <c:v>Danimarka</c:v>
                </c:pt>
                <c:pt idx="6">
                  <c:v>Finlandiya</c:v>
                </c:pt>
                <c:pt idx="7">
                  <c:v>Fransa</c:v>
                </c:pt>
                <c:pt idx="8">
                  <c:v>Almanya</c:v>
                </c:pt>
                <c:pt idx="9">
                  <c:v>Yunanistan</c:v>
                </c:pt>
                <c:pt idx="10">
                  <c:v>Macaristan</c:v>
                </c:pt>
                <c:pt idx="11">
                  <c:v>İsrail</c:v>
                </c:pt>
                <c:pt idx="12">
                  <c:v>İtalya</c:v>
                </c:pt>
                <c:pt idx="13">
                  <c:v>Japonya</c:v>
                </c:pt>
                <c:pt idx="14">
                  <c:v>Güney Kore</c:v>
                </c:pt>
                <c:pt idx="15">
                  <c:v>Meksika</c:v>
                </c:pt>
                <c:pt idx="16">
                  <c:v>Hollanda</c:v>
                </c:pt>
                <c:pt idx="17">
                  <c:v>Norveç</c:v>
                </c:pt>
                <c:pt idx="18">
                  <c:v>Portekiz</c:v>
                </c:pt>
                <c:pt idx="19">
                  <c:v>İspanya</c:v>
                </c:pt>
                <c:pt idx="20">
                  <c:v>İsveç</c:v>
                </c:pt>
                <c:pt idx="21">
                  <c:v>Türkiye</c:v>
                </c:pt>
                <c:pt idx="22">
                  <c:v>İngiltere</c:v>
                </c:pt>
                <c:pt idx="23">
                  <c:v>ABD</c:v>
                </c:pt>
                <c:pt idx="24">
                  <c:v>OECD</c:v>
                </c:pt>
              </c:strCache>
            </c:strRef>
          </c:cat>
          <c:val>
            <c:numRef>
              <c:f>Sayfa3!$G$3:$G$27</c:f>
              <c:numCache>
                <c:formatCode>0.00</c:formatCode>
                <c:ptCount val="25"/>
                <c:pt idx="0">
                  <c:v>5.5047573676642525</c:v>
                </c:pt>
                <c:pt idx="1">
                  <c:v>3.919781305813939</c:v>
                </c:pt>
                <c:pt idx="2">
                  <c:v>5.3489745960804305</c:v>
                </c:pt>
                <c:pt idx="3">
                  <c:v>7.3032528587554078</c:v>
                </c:pt>
                <c:pt idx="4">
                  <c:v>1.9397201332135534</c:v>
                </c:pt>
                <c:pt idx="5">
                  <c:v>3.2307881488651433</c:v>
                </c:pt>
                <c:pt idx="6">
                  <c:v>6.4490437750729726</c:v>
                </c:pt>
                <c:pt idx="7">
                  <c:v>3.8675302382396466</c:v>
                </c:pt>
                <c:pt idx="8">
                  <c:v>3.8114720818524996</c:v>
                </c:pt>
                <c:pt idx="9">
                  <c:v>2.3648467925949581</c:v>
                </c:pt>
                <c:pt idx="10">
                  <c:v>2.5034487005109547</c:v>
                </c:pt>
                <c:pt idx="11">
                  <c:v>2.9944092764521821</c:v>
                </c:pt>
                <c:pt idx="12">
                  <c:v>2.7570114167696564</c:v>
                </c:pt>
                <c:pt idx="13">
                  <c:v>3.6103714132479916</c:v>
                </c:pt>
                <c:pt idx="14">
                  <c:v>5.231916973020752</c:v>
                </c:pt>
                <c:pt idx="15">
                  <c:v>1.5597276378671456</c:v>
                </c:pt>
                <c:pt idx="16">
                  <c:v>4.6377670164284908</c:v>
                </c:pt>
                <c:pt idx="17">
                  <c:v>5.6806525545276001</c:v>
                </c:pt>
                <c:pt idx="18">
                  <c:v>2.1866220693968055</c:v>
                </c:pt>
                <c:pt idx="19">
                  <c:v>2.7194711438870902</c:v>
                </c:pt>
                <c:pt idx="20">
                  <c:v>5.1903390261178366</c:v>
                </c:pt>
                <c:pt idx="21">
                  <c:v>1.5392933823923736</c:v>
                </c:pt>
                <c:pt idx="22">
                  <c:v>2.9970754140171563</c:v>
                </c:pt>
                <c:pt idx="23">
                  <c:v>7.0323461717129518</c:v>
                </c:pt>
                <c:pt idx="24">
                  <c:v>4.2464954816215199</c:v>
                </c:pt>
              </c:numCache>
            </c:numRef>
          </c:val>
          <c:smooth val="0"/>
        </c:ser>
        <c:dLbls>
          <c:showLegendKey val="0"/>
          <c:showVal val="0"/>
          <c:showCatName val="0"/>
          <c:showSerName val="0"/>
          <c:showPercent val="0"/>
          <c:showBubbleSize val="0"/>
        </c:dLbls>
        <c:hiLowLines/>
        <c:marker val="1"/>
        <c:smooth val="0"/>
        <c:axId val="26278528"/>
        <c:axId val="27181440"/>
      </c:lineChart>
      <c:catAx>
        <c:axId val="26278528"/>
        <c:scaling>
          <c:orientation val="minMax"/>
        </c:scaling>
        <c:delete val="0"/>
        <c:axPos val="b"/>
        <c:majorGridlines/>
        <c:majorTickMark val="out"/>
        <c:minorTickMark val="out"/>
        <c:tickLblPos val="nextTo"/>
        <c:txPr>
          <a:bodyPr rot="-5400000" vert="horz" anchor="t" anchorCtr="0"/>
          <a:lstStyle/>
          <a:p>
            <a:pPr>
              <a:defRPr sz="800"/>
            </a:pPr>
            <a:endParaRPr lang="tr-TR"/>
          </a:p>
        </c:txPr>
        <c:crossAx val="27181440"/>
        <c:crosses val="autoZero"/>
        <c:auto val="1"/>
        <c:lblAlgn val="ctr"/>
        <c:lblOffset val="100"/>
        <c:noMultiLvlLbl val="0"/>
      </c:catAx>
      <c:valAx>
        <c:axId val="27181440"/>
        <c:scaling>
          <c:orientation val="minMax"/>
        </c:scaling>
        <c:delete val="0"/>
        <c:axPos val="l"/>
        <c:majorGridlines/>
        <c:title>
          <c:tx>
            <c:rich>
              <a:bodyPr rot="-5400000" vert="horz"/>
              <a:lstStyle/>
              <a:p>
                <a:pPr>
                  <a:defRPr sz="1000" b="1"/>
                </a:pPr>
                <a:r>
                  <a:rPr lang="tr-TR" sz="1000" b="1" i="0" u="none" strike="noStrike" baseline="0">
                    <a:effectLst/>
                  </a:rPr>
                  <a:t>Kişi Başı Enerji Kullanımı (tonnes of oil equivalent per capita) </a:t>
                </a:r>
                <a:endParaRPr lang="tr-TR" sz="1000" b="1"/>
              </a:p>
            </c:rich>
          </c:tx>
          <c:overlay val="0"/>
        </c:title>
        <c:numFmt formatCode="0" sourceLinked="0"/>
        <c:majorTickMark val="out"/>
        <c:minorTickMark val="none"/>
        <c:tickLblPos val="nextTo"/>
        <c:txPr>
          <a:bodyPr/>
          <a:lstStyle/>
          <a:p>
            <a:pPr>
              <a:defRPr sz="800"/>
            </a:pPr>
            <a:endParaRPr lang="tr-TR"/>
          </a:p>
        </c:txPr>
        <c:crossAx val="26278528"/>
        <c:crosses val="autoZero"/>
        <c:crossBetween val="between"/>
      </c:valAx>
    </c:plotArea>
    <c:plotVisOnly val="1"/>
    <c:dispBlanksAs val="zero"/>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82339390078591"/>
          <c:y val="4.1576205173881935E-2"/>
          <c:w val="0.84162265464700259"/>
          <c:h val="0.69371130258364211"/>
        </c:manualLayout>
      </c:layout>
      <c:lineChart>
        <c:grouping val="standard"/>
        <c:varyColors val="0"/>
        <c:ser>
          <c:idx val="0"/>
          <c:order val="0"/>
          <c:spPr>
            <a:ln>
              <a:noFill/>
            </a:ln>
          </c:spPr>
          <c:cat>
            <c:strRef>
              <c:f>Sayfa7!$B$3:$B$27</c:f>
              <c:strCache>
                <c:ptCount val="25"/>
                <c:pt idx="0">
                  <c:v>Avustralya</c:v>
                </c:pt>
                <c:pt idx="1">
                  <c:v>Avusturya</c:v>
                </c:pt>
                <c:pt idx="2">
                  <c:v>Belçika</c:v>
                </c:pt>
                <c:pt idx="3">
                  <c:v>Kanada</c:v>
                </c:pt>
                <c:pt idx="4">
                  <c:v>Şili</c:v>
                </c:pt>
                <c:pt idx="5">
                  <c:v>Danimarka</c:v>
                </c:pt>
                <c:pt idx="6">
                  <c:v>Finlandiya</c:v>
                </c:pt>
                <c:pt idx="7">
                  <c:v>Fransa</c:v>
                </c:pt>
                <c:pt idx="8">
                  <c:v>Almanya</c:v>
                </c:pt>
                <c:pt idx="9">
                  <c:v>Yunanistan</c:v>
                </c:pt>
                <c:pt idx="10">
                  <c:v>Macaristan</c:v>
                </c:pt>
                <c:pt idx="11">
                  <c:v>İsrail</c:v>
                </c:pt>
                <c:pt idx="12">
                  <c:v>İtalya</c:v>
                </c:pt>
                <c:pt idx="13">
                  <c:v>Japonya</c:v>
                </c:pt>
                <c:pt idx="14">
                  <c:v>Güney Kore</c:v>
                </c:pt>
                <c:pt idx="15">
                  <c:v>Meksika</c:v>
                </c:pt>
                <c:pt idx="16">
                  <c:v>Hollanda</c:v>
                </c:pt>
                <c:pt idx="17">
                  <c:v>Norveç</c:v>
                </c:pt>
                <c:pt idx="18">
                  <c:v>Portekiz</c:v>
                </c:pt>
                <c:pt idx="19">
                  <c:v>İspanya</c:v>
                </c:pt>
                <c:pt idx="20">
                  <c:v>İsveç</c:v>
                </c:pt>
                <c:pt idx="21">
                  <c:v>Türkiye</c:v>
                </c:pt>
                <c:pt idx="22">
                  <c:v>İngiltere</c:v>
                </c:pt>
                <c:pt idx="23">
                  <c:v>ABD</c:v>
                </c:pt>
                <c:pt idx="24">
                  <c:v>OECD</c:v>
                </c:pt>
              </c:strCache>
            </c:strRef>
          </c:cat>
          <c:val>
            <c:numRef>
              <c:f>Sayfa7!$C$3:$C$27</c:f>
              <c:numCache>
                <c:formatCode>General</c:formatCode>
                <c:ptCount val="25"/>
                <c:pt idx="0">
                  <c:v>21.136569958433775</c:v>
                </c:pt>
                <c:pt idx="1">
                  <c:v>57.30099834904663</c:v>
                </c:pt>
                <c:pt idx="2">
                  <c:v>84.983981433086271</c:v>
                </c:pt>
                <c:pt idx="3">
                  <c:v>30.396003206798138</c:v>
                </c:pt>
                <c:pt idx="4">
                  <c:v>37.994768228743823</c:v>
                </c:pt>
                <c:pt idx="5">
                  <c:v>53.408896812647157</c:v>
                </c:pt>
                <c:pt idx="6">
                  <c:v>40.975943268726247</c:v>
                </c:pt>
                <c:pt idx="7">
                  <c:v>26.895299647640307</c:v>
                </c:pt>
                <c:pt idx="8">
                  <c:v>50.631441817694167</c:v>
                </c:pt>
                <c:pt idx="9">
                  <c:v>25.054932271474318</c:v>
                </c:pt>
                <c:pt idx="10">
                  <c:v>93.998158523649082</c:v>
                </c:pt>
                <c:pt idx="11">
                  <c:v>35.501785907565754</c:v>
                </c:pt>
                <c:pt idx="12">
                  <c:v>28.82601096216148</c:v>
                </c:pt>
                <c:pt idx="13">
                  <c:v>15.147659528897004</c:v>
                </c:pt>
                <c:pt idx="14">
                  <c:v>56.034944446490961</c:v>
                </c:pt>
                <c:pt idx="15">
                  <c:v>31.513246899087775</c:v>
                </c:pt>
                <c:pt idx="16">
                  <c:v>83.865372833851097</c:v>
                </c:pt>
                <c:pt idx="17">
                  <c:v>41.488521845566652</c:v>
                </c:pt>
                <c:pt idx="18">
                  <c:v>35.681502890848975</c:v>
                </c:pt>
                <c:pt idx="19">
                  <c:v>30.842843585227183</c:v>
                </c:pt>
                <c:pt idx="20">
                  <c:v>49.855467954281849</c:v>
                </c:pt>
                <c:pt idx="21">
                  <c:v>23.976641323825127</c:v>
                </c:pt>
                <c:pt idx="22">
                  <c:v>32.069239012399336</c:v>
                </c:pt>
                <c:pt idx="23">
                  <c:v>13.525988489616193</c:v>
                </c:pt>
                <c:pt idx="24">
                  <c:v>27.650315466390563</c:v>
                </c:pt>
              </c:numCache>
            </c:numRef>
          </c:val>
          <c:smooth val="0"/>
        </c:ser>
        <c:dLbls>
          <c:showLegendKey val="0"/>
          <c:showVal val="0"/>
          <c:showCatName val="0"/>
          <c:showSerName val="0"/>
          <c:showPercent val="0"/>
          <c:showBubbleSize val="0"/>
        </c:dLbls>
        <c:marker val="1"/>
        <c:smooth val="0"/>
        <c:axId val="27243648"/>
        <c:axId val="27245184"/>
      </c:lineChart>
      <c:catAx>
        <c:axId val="27243648"/>
        <c:scaling>
          <c:orientation val="minMax"/>
        </c:scaling>
        <c:delete val="0"/>
        <c:axPos val="b"/>
        <c:majorGridlines/>
        <c:majorTickMark val="out"/>
        <c:minorTickMark val="none"/>
        <c:tickLblPos val="nextTo"/>
        <c:txPr>
          <a:bodyPr rot="-5400000" vert="horz"/>
          <a:lstStyle/>
          <a:p>
            <a:pPr>
              <a:defRPr sz="800"/>
            </a:pPr>
            <a:endParaRPr lang="tr-TR"/>
          </a:p>
        </c:txPr>
        <c:crossAx val="27245184"/>
        <c:crosses val="autoZero"/>
        <c:auto val="1"/>
        <c:lblAlgn val="ctr"/>
        <c:lblOffset val="100"/>
        <c:noMultiLvlLbl val="0"/>
      </c:catAx>
      <c:valAx>
        <c:axId val="27245184"/>
        <c:scaling>
          <c:orientation val="minMax"/>
        </c:scaling>
        <c:delete val="0"/>
        <c:axPos val="l"/>
        <c:majorGridlines/>
        <c:title>
          <c:tx>
            <c:rich>
              <a:bodyPr rot="-5400000" vert="horz"/>
              <a:lstStyle/>
              <a:p>
                <a:pPr>
                  <a:defRPr/>
                </a:pPr>
                <a:r>
                  <a:rPr lang="tr-TR"/>
                  <a:t>İhracat/GSYİH (Exports of goods and services; % of GDP)</a:t>
                </a:r>
              </a:p>
            </c:rich>
          </c:tx>
          <c:layout>
            <c:manualLayout>
              <c:xMode val="edge"/>
              <c:yMode val="edge"/>
              <c:x val="1.4431903686982699E-2"/>
              <c:y val="2.7144119547870587E-2"/>
            </c:manualLayout>
          </c:layout>
          <c:overlay val="0"/>
        </c:title>
        <c:numFmt formatCode="General" sourceLinked="1"/>
        <c:majorTickMark val="out"/>
        <c:minorTickMark val="none"/>
        <c:tickLblPos val="nextTo"/>
        <c:txPr>
          <a:bodyPr/>
          <a:lstStyle/>
          <a:p>
            <a:pPr>
              <a:defRPr sz="800"/>
            </a:pPr>
            <a:endParaRPr lang="tr-TR"/>
          </a:p>
        </c:txPr>
        <c:crossAx val="27243648"/>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21152435907882"/>
          <c:y val="5.1906854760961865E-2"/>
          <c:w val="0.86389137858238085"/>
          <c:h val="0.74446528432025028"/>
        </c:manualLayout>
      </c:layout>
      <c:lineChart>
        <c:grouping val="standard"/>
        <c:varyColors val="0"/>
        <c:ser>
          <c:idx val="0"/>
          <c:order val="0"/>
          <c:spPr>
            <a:ln>
              <a:noFill/>
            </a:ln>
          </c:spPr>
          <c:cat>
            <c:strRef>
              <c:f>Sayfa8!$B$3:$B$27</c:f>
              <c:strCache>
                <c:ptCount val="25"/>
                <c:pt idx="0">
                  <c:v>Avustralya</c:v>
                </c:pt>
                <c:pt idx="1">
                  <c:v>Avusturya</c:v>
                </c:pt>
                <c:pt idx="2">
                  <c:v>Belçika</c:v>
                </c:pt>
                <c:pt idx="3">
                  <c:v>Kanada</c:v>
                </c:pt>
                <c:pt idx="4">
                  <c:v>Şili</c:v>
                </c:pt>
                <c:pt idx="5">
                  <c:v>Danimarka</c:v>
                </c:pt>
                <c:pt idx="6">
                  <c:v>Finlandiya</c:v>
                </c:pt>
                <c:pt idx="7">
                  <c:v>Fransa</c:v>
                </c:pt>
                <c:pt idx="8">
                  <c:v>Almanya</c:v>
                </c:pt>
                <c:pt idx="9">
                  <c:v>Yunanistan</c:v>
                </c:pt>
                <c:pt idx="10">
                  <c:v>Macaristan</c:v>
                </c:pt>
                <c:pt idx="11">
                  <c:v>İsrail</c:v>
                </c:pt>
                <c:pt idx="12">
                  <c:v>İtalya</c:v>
                </c:pt>
                <c:pt idx="13">
                  <c:v>Japonya</c:v>
                </c:pt>
                <c:pt idx="14">
                  <c:v>Güney Kore</c:v>
                </c:pt>
                <c:pt idx="15">
                  <c:v>Meksika</c:v>
                </c:pt>
                <c:pt idx="16">
                  <c:v>Hollanda</c:v>
                </c:pt>
                <c:pt idx="17">
                  <c:v>Norveç</c:v>
                </c:pt>
                <c:pt idx="18">
                  <c:v>Portekiz</c:v>
                </c:pt>
                <c:pt idx="19">
                  <c:v>İspanya</c:v>
                </c:pt>
                <c:pt idx="20">
                  <c:v>İsveç</c:v>
                </c:pt>
                <c:pt idx="21">
                  <c:v>Türkiye</c:v>
                </c:pt>
                <c:pt idx="22">
                  <c:v>İngiltere</c:v>
                </c:pt>
                <c:pt idx="23">
                  <c:v>ABD</c:v>
                </c:pt>
                <c:pt idx="24">
                  <c:v>OECD</c:v>
                </c:pt>
              </c:strCache>
            </c:strRef>
          </c:cat>
          <c:val>
            <c:numRef>
              <c:f>Sayfa8!$C$3:$C$27</c:f>
              <c:numCache>
                <c:formatCode>General</c:formatCode>
                <c:ptCount val="25"/>
                <c:pt idx="0">
                  <c:v>19.6217878949662</c:v>
                </c:pt>
                <c:pt idx="1">
                  <c:v>54.3094480628206</c:v>
                </c:pt>
                <c:pt idx="2">
                  <c:v>84.154482355203271</c:v>
                </c:pt>
                <c:pt idx="3">
                  <c:v>31.578495816219331</c:v>
                </c:pt>
                <c:pt idx="4">
                  <c:v>34.716823652371467</c:v>
                </c:pt>
                <c:pt idx="5">
                  <c:v>48.186900717715368</c:v>
                </c:pt>
                <c:pt idx="6">
                  <c:v>41.695684204389465</c:v>
                </c:pt>
                <c:pt idx="7">
                  <c:v>29.858678186773879</c:v>
                </c:pt>
                <c:pt idx="8">
                  <c:v>45.43392467144335</c:v>
                </c:pt>
                <c:pt idx="9">
                  <c:v>33.145489191353953</c:v>
                </c:pt>
                <c:pt idx="10">
                  <c:v>86.503071147604516</c:v>
                </c:pt>
                <c:pt idx="11">
                  <c:v>35.998701158133997</c:v>
                </c:pt>
                <c:pt idx="12">
                  <c:v>30.223420371966057</c:v>
                </c:pt>
                <c:pt idx="13">
                  <c:v>16.057814404389752</c:v>
                </c:pt>
                <c:pt idx="14">
                  <c:v>54.015789850792672</c:v>
                </c:pt>
                <c:pt idx="15">
                  <c:v>32.781575257473939</c:v>
                </c:pt>
                <c:pt idx="16">
                  <c:v>75.281071435129462</c:v>
                </c:pt>
                <c:pt idx="17">
                  <c:v>28.222125170411381</c:v>
                </c:pt>
                <c:pt idx="18">
                  <c:v>40.05108510561211</c:v>
                </c:pt>
                <c:pt idx="19">
                  <c:v>31.893184444251176</c:v>
                </c:pt>
                <c:pt idx="20">
                  <c:v>44.280763087828539</c:v>
                </c:pt>
                <c:pt idx="21">
                  <c:v>32.647462842627142</c:v>
                </c:pt>
                <c:pt idx="22">
                  <c:v>33.582638715835458</c:v>
                </c:pt>
                <c:pt idx="23">
                  <c:v>17.187681056792282</c:v>
                </c:pt>
                <c:pt idx="24">
                  <c:v>28.547786597621492</c:v>
                </c:pt>
              </c:numCache>
            </c:numRef>
          </c:val>
          <c:smooth val="0"/>
        </c:ser>
        <c:dLbls>
          <c:showLegendKey val="0"/>
          <c:showVal val="0"/>
          <c:showCatName val="0"/>
          <c:showSerName val="0"/>
          <c:showPercent val="0"/>
          <c:showBubbleSize val="0"/>
        </c:dLbls>
        <c:marker val="1"/>
        <c:smooth val="0"/>
        <c:axId val="26273280"/>
        <c:axId val="26274816"/>
      </c:lineChart>
      <c:catAx>
        <c:axId val="26273280"/>
        <c:scaling>
          <c:orientation val="minMax"/>
        </c:scaling>
        <c:delete val="0"/>
        <c:axPos val="b"/>
        <c:majorGridlines/>
        <c:majorTickMark val="out"/>
        <c:minorTickMark val="none"/>
        <c:tickLblPos val="nextTo"/>
        <c:txPr>
          <a:bodyPr rot="-5400000" vert="horz"/>
          <a:lstStyle/>
          <a:p>
            <a:pPr>
              <a:defRPr sz="800"/>
            </a:pPr>
            <a:endParaRPr lang="tr-TR"/>
          </a:p>
        </c:txPr>
        <c:crossAx val="26274816"/>
        <c:crosses val="autoZero"/>
        <c:auto val="1"/>
        <c:lblAlgn val="ctr"/>
        <c:lblOffset val="100"/>
        <c:noMultiLvlLbl val="0"/>
      </c:catAx>
      <c:valAx>
        <c:axId val="26274816"/>
        <c:scaling>
          <c:orientation val="minMax"/>
          <c:max val="90"/>
        </c:scaling>
        <c:delete val="0"/>
        <c:axPos val="l"/>
        <c:majorGridlines/>
        <c:title>
          <c:tx>
            <c:rich>
              <a:bodyPr rot="-5400000" vert="horz"/>
              <a:lstStyle/>
              <a:p>
                <a:pPr>
                  <a:defRPr/>
                </a:pPr>
                <a:r>
                  <a:rPr lang="tr-TR"/>
                  <a:t>İthalat/GSYİH</a:t>
                </a:r>
                <a:r>
                  <a:rPr lang="tr-TR" baseline="0"/>
                  <a:t> </a:t>
                </a:r>
                <a:r>
                  <a:rPr lang="tr-TR"/>
                  <a:t>(Imports</a:t>
                </a:r>
                <a:r>
                  <a:rPr lang="tr-TR" baseline="0"/>
                  <a:t> of goods and services;%of GDP)</a:t>
                </a:r>
                <a:endParaRPr lang="tr-TR"/>
              </a:p>
            </c:rich>
          </c:tx>
          <c:layout>
            <c:manualLayout>
              <c:xMode val="edge"/>
              <c:yMode val="edge"/>
              <c:x val="1.2081351272862915E-2"/>
              <c:y val="4.8313595052387311E-2"/>
            </c:manualLayout>
          </c:layout>
          <c:overlay val="0"/>
        </c:title>
        <c:numFmt formatCode="General" sourceLinked="1"/>
        <c:majorTickMark val="out"/>
        <c:minorTickMark val="none"/>
        <c:tickLblPos val="nextTo"/>
        <c:txPr>
          <a:bodyPr/>
          <a:lstStyle/>
          <a:p>
            <a:pPr>
              <a:defRPr sz="800"/>
            </a:pPr>
            <a:endParaRPr lang="tr-TR"/>
          </a:p>
        </c:txPr>
        <c:crossAx val="26273280"/>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0.51442</cdr:x>
      <cdr:y>0.22151</cdr:y>
    </cdr:from>
    <cdr:to>
      <cdr:x>0.58417</cdr:x>
      <cdr:y>0.25591</cdr:y>
    </cdr:to>
    <cdr:sp macro="" textlink="">
      <cdr:nvSpPr>
        <cdr:cNvPr id="2" name="TextBox 1"/>
        <cdr:cNvSpPr txBox="1"/>
      </cdr:nvSpPr>
      <cdr:spPr>
        <a:xfrm xmlns:a="http://schemas.openxmlformats.org/drawingml/2006/main">
          <a:off x="3652840" y="1962152"/>
          <a:ext cx="4953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latin typeface="Times New Roman" pitchFamily="18" charset="0"/>
              <a:cs typeface="Times New Roman" pitchFamily="18" charset="0"/>
            </a:rPr>
            <a:t>1</a:t>
          </a:r>
          <a:r>
            <a:rPr lang="en-GB" sz="1100"/>
            <a:t> %</a:t>
          </a:r>
        </a:p>
      </cdr:txBody>
    </cdr:sp>
  </cdr:relSizeAnchor>
  <cdr:relSizeAnchor xmlns:cdr="http://schemas.openxmlformats.org/drawingml/2006/chartDrawing">
    <cdr:from>
      <cdr:x>0.52918</cdr:x>
      <cdr:y>0.27849</cdr:y>
    </cdr:from>
    <cdr:to>
      <cdr:x>0.59759</cdr:x>
      <cdr:y>0.31828</cdr:y>
    </cdr:to>
    <cdr:sp macro="" textlink="">
      <cdr:nvSpPr>
        <cdr:cNvPr id="3" name="TextBox 2"/>
        <cdr:cNvSpPr txBox="1"/>
      </cdr:nvSpPr>
      <cdr:spPr>
        <a:xfrm xmlns:a="http://schemas.openxmlformats.org/drawingml/2006/main">
          <a:off x="3757613" y="2466975"/>
          <a:ext cx="4857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latin typeface="Times New Roman" pitchFamily="18" charset="0"/>
              <a:cs typeface="Times New Roman" pitchFamily="18" charset="0"/>
            </a:rPr>
            <a:t>2 </a:t>
          </a:r>
          <a:r>
            <a:rPr lang="en-GB" sz="11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0.10442</cdr:x>
      <cdr:y>0.40157</cdr:y>
    </cdr:from>
    <cdr:to>
      <cdr:x>0.9746</cdr:x>
      <cdr:y>0.40371</cdr:y>
    </cdr:to>
    <cdr:cxnSp macro="">
      <cdr:nvCxnSpPr>
        <cdr:cNvPr id="2" name="Düz Bağlayıcı 1"/>
        <cdr:cNvCxnSpPr/>
      </cdr:nvCxnSpPr>
      <cdr:spPr>
        <a:xfrm xmlns:a="http://schemas.openxmlformats.org/drawingml/2006/main" flipH="1" flipV="1">
          <a:off x="564142" y="936345"/>
          <a:ext cx="4701210" cy="4998"/>
        </a:xfrm>
        <a:prstGeom xmlns:a="http://schemas.openxmlformats.org/drawingml/2006/main" prst="line">
          <a:avLst/>
        </a:prstGeom>
        <a:noFill xmlns:a="http://schemas.openxmlformats.org/drawingml/2006/main"/>
        <a:ln xmlns:a="http://schemas.openxmlformats.org/drawingml/2006/main" w="28575" cap="flat" cmpd="sng" algn="ctr">
          <a:solidFill>
            <a:srgbClr val="FF0000"/>
          </a:solidFill>
          <a:prstDash val="sysDash"/>
        </a:ln>
        <a:effectLst xmlns:a="http://schemas.openxmlformats.org/drawingml/2006/main"/>
      </cdr:spPr>
    </cdr:cxnSp>
  </cdr:relSizeAnchor>
</c:userShapes>
</file>

<file path=word/drawings/drawing3.xml><?xml version="1.0" encoding="utf-8"?>
<c:userShapes xmlns:c="http://schemas.openxmlformats.org/drawingml/2006/chart">
  <cdr:relSizeAnchor xmlns:cdr="http://schemas.openxmlformats.org/drawingml/2006/chartDrawing">
    <cdr:from>
      <cdr:x>0.11566</cdr:x>
      <cdr:y>0.41257</cdr:y>
    </cdr:from>
    <cdr:to>
      <cdr:x>0.98014</cdr:x>
      <cdr:y>0.41647</cdr:y>
    </cdr:to>
    <cdr:cxnSp macro="">
      <cdr:nvCxnSpPr>
        <cdr:cNvPr id="3" name="Düz Bağlayıcı 2"/>
        <cdr:cNvCxnSpPr/>
      </cdr:nvCxnSpPr>
      <cdr:spPr>
        <a:xfrm xmlns:a="http://schemas.openxmlformats.org/drawingml/2006/main" flipH="1" flipV="1">
          <a:off x="624840" y="1150620"/>
          <a:ext cx="4670426" cy="10886"/>
        </a:xfrm>
        <a:prstGeom xmlns:a="http://schemas.openxmlformats.org/drawingml/2006/main" prst="line">
          <a:avLst/>
        </a:prstGeom>
        <a:ln xmlns:a="http://schemas.openxmlformats.org/drawingml/2006/main" w="28575">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0.14252</cdr:x>
      <cdr:y>0.54774</cdr:y>
    </cdr:from>
    <cdr:to>
      <cdr:x>0.98533</cdr:x>
      <cdr:y>0.54988</cdr:y>
    </cdr:to>
    <cdr:cxnSp macro="">
      <cdr:nvCxnSpPr>
        <cdr:cNvPr id="2" name="Düz Bağlayıcı 1"/>
        <cdr:cNvCxnSpPr/>
      </cdr:nvCxnSpPr>
      <cdr:spPr>
        <a:xfrm xmlns:a="http://schemas.openxmlformats.org/drawingml/2006/main" flipH="1">
          <a:off x="769620" y="1328305"/>
          <a:ext cx="4551202" cy="5195"/>
        </a:xfrm>
        <a:prstGeom xmlns:a="http://schemas.openxmlformats.org/drawingml/2006/main" prst="line">
          <a:avLst/>
        </a:prstGeom>
        <a:ln xmlns:a="http://schemas.openxmlformats.org/drawingml/2006/main" w="28575">
          <a:solidFill>
            <a:srgbClr val="FF0000"/>
          </a:solidFill>
          <a:prstDash val="sysDash"/>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0.11667</cdr:x>
      <cdr:y>0.56414</cdr:y>
    </cdr:from>
    <cdr:to>
      <cdr:x>0.9806</cdr:x>
      <cdr:y>0.56905</cdr:y>
    </cdr:to>
    <cdr:cxnSp macro="">
      <cdr:nvCxnSpPr>
        <cdr:cNvPr id="2" name="Düz Bağlayıcı 1"/>
        <cdr:cNvCxnSpPr/>
      </cdr:nvCxnSpPr>
      <cdr:spPr>
        <a:xfrm xmlns:a="http://schemas.openxmlformats.org/drawingml/2006/main" flipH="1">
          <a:off x="630028" y="1631723"/>
          <a:ext cx="4665237" cy="14197"/>
        </a:xfrm>
        <a:prstGeom xmlns:a="http://schemas.openxmlformats.org/drawingml/2006/main" prst="line">
          <a:avLst/>
        </a:prstGeom>
        <a:ln xmlns:a="http://schemas.openxmlformats.org/drawingml/2006/main" w="28575">
          <a:solidFill>
            <a:srgbClr val="FF0000"/>
          </a:solidFill>
          <a:prstDash val="sysDash"/>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260088-C257-41A0-B11D-23C12EEE6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1755</TotalTime>
  <Pages>1</Pages>
  <Words>41586</Words>
  <Characters>237041</Characters>
  <Application>Microsoft Office Word</Application>
  <DocSecurity>0</DocSecurity>
  <Lines>1975</Lines>
  <Paragraphs>556</Paragraphs>
  <ScaleCrop>false</ScaleCrop>
  <HeadingPairs>
    <vt:vector size="2" baseType="variant">
      <vt:variant>
        <vt:lpstr>Konu Başlığı</vt:lpstr>
      </vt:variant>
      <vt:variant>
        <vt:i4>1</vt:i4>
      </vt:variant>
    </vt:vector>
  </HeadingPairs>
  <TitlesOfParts>
    <vt:vector size="1" baseType="lpstr">
      <vt:lpstr>İÇİNDEKİLER</vt:lpstr>
    </vt:vector>
  </TitlesOfParts>
  <Company/>
  <LinksUpToDate>false</LinksUpToDate>
  <CharactersWithSpaces>278071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İÇİNDEKİLER</dc:title>
  <dc:creator>escort</dc:creator>
  <cp:lastModifiedBy>Metin Dam</cp:lastModifiedBy>
  <cp:revision>344</cp:revision>
  <cp:lastPrinted>2014-04-11T08:07:00Z</cp:lastPrinted>
  <dcterms:created xsi:type="dcterms:W3CDTF">2014-03-18T11:47:00Z</dcterms:created>
  <dcterms:modified xsi:type="dcterms:W3CDTF">2014-04-11T08:17:00Z</dcterms:modified>
</cp:coreProperties>
</file>