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B77DC" w:rsidRDefault="004F6C22">
      <w:pPr>
        <w:pStyle w:val="Normal1"/>
        <w:ind w:firstLine="709"/>
        <w:jc w:val="center"/>
        <w:rPr>
          <w:b/>
        </w:rPr>
      </w:pPr>
      <w:r>
        <w:rPr>
          <w:b/>
        </w:rPr>
        <w:t>T.C.</w:t>
      </w:r>
    </w:p>
    <w:p w:rsidR="005B77DC" w:rsidRDefault="004F6C22">
      <w:pPr>
        <w:pStyle w:val="Normal1"/>
        <w:ind w:firstLine="709"/>
        <w:jc w:val="center"/>
        <w:rPr>
          <w:b/>
        </w:rPr>
      </w:pPr>
      <w:r>
        <w:rPr>
          <w:b/>
        </w:rPr>
        <w:t xml:space="preserve">AYDIN ADNAN MENDERES ÜNİVERSİTESİ </w:t>
      </w:r>
    </w:p>
    <w:p w:rsidR="005B77DC" w:rsidRDefault="004F6C22">
      <w:pPr>
        <w:pStyle w:val="Normal1"/>
        <w:ind w:firstLine="709"/>
        <w:jc w:val="center"/>
        <w:rPr>
          <w:b/>
        </w:rPr>
      </w:pPr>
      <w:r>
        <w:rPr>
          <w:b/>
        </w:rPr>
        <w:t xml:space="preserve">SAĞLIK BİLİMLERİ ENSTİTÜSÜ </w:t>
      </w:r>
    </w:p>
    <w:p w:rsidR="005B77DC" w:rsidRDefault="004F6C22">
      <w:pPr>
        <w:pStyle w:val="Normal1"/>
        <w:ind w:firstLine="709"/>
        <w:jc w:val="center"/>
        <w:rPr>
          <w:b/>
        </w:rPr>
      </w:pPr>
      <w:r>
        <w:rPr>
          <w:b/>
        </w:rPr>
        <w:t>KÖK HÜCRE VE REJENERATİF TIP</w:t>
      </w:r>
    </w:p>
    <w:p w:rsidR="005B77DC" w:rsidRDefault="004F6C22">
      <w:pPr>
        <w:pStyle w:val="Normal1"/>
        <w:ind w:firstLine="709"/>
        <w:jc w:val="center"/>
        <w:rPr>
          <w:b/>
        </w:rPr>
      </w:pPr>
      <w:r w:rsidRPr="000F5901">
        <w:rPr>
          <w:b/>
        </w:rPr>
        <w:t>YÜKSEK LİSANS PROGRAMI</w:t>
      </w:r>
    </w:p>
    <w:p w:rsidR="005B77DC" w:rsidRDefault="005B77DC">
      <w:pPr>
        <w:pStyle w:val="Normal1"/>
        <w:ind w:firstLine="709"/>
        <w:jc w:val="center"/>
      </w:pPr>
    </w:p>
    <w:p w:rsidR="005B77DC" w:rsidRDefault="005B77DC">
      <w:pPr>
        <w:pStyle w:val="Normal1"/>
        <w:ind w:firstLine="709"/>
        <w:jc w:val="center"/>
      </w:pPr>
    </w:p>
    <w:p w:rsidR="005B77DC" w:rsidRDefault="005B77DC">
      <w:pPr>
        <w:pStyle w:val="Normal1"/>
        <w:ind w:firstLine="709"/>
        <w:jc w:val="center"/>
      </w:pPr>
    </w:p>
    <w:p w:rsidR="005B77DC" w:rsidRDefault="005B77DC">
      <w:pPr>
        <w:pStyle w:val="Normal1"/>
        <w:ind w:firstLine="709"/>
        <w:jc w:val="center"/>
      </w:pPr>
    </w:p>
    <w:p w:rsidR="005B77DC" w:rsidRDefault="005B77DC">
      <w:pPr>
        <w:pStyle w:val="Normal1"/>
        <w:ind w:firstLine="709"/>
        <w:jc w:val="center"/>
      </w:pPr>
    </w:p>
    <w:p w:rsidR="005B77DC" w:rsidRDefault="004F6C22">
      <w:pPr>
        <w:pStyle w:val="Normal1"/>
        <w:ind w:firstLine="709"/>
        <w:jc w:val="center"/>
        <w:rPr>
          <w:b/>
          <w:sz w:val="32"/>
          <w:szCs w:val="32"/>
        </w:rPr>
      </w:pPr>
      <w:r>
        <w:rPr>
          <w:b/>
          <w:sz w:val="32"/>
          <w:szCs w:val="32"/>
        </w:rPr>
        <w:t>PRİMER TROMBOSİTOZ DÜŞÜNÜLEN ÇOCUKLARDA JAK2 MUTASYON VARLIĞININ DEĞERLENDİRİLMESİ</w:t>
      </w:r>
    </w:p>
    <w:p w:rsidR="005B77DC" w:rsidRDefault="005B77DC">
      <w:pPr>
        <w:pStyle w:val="Normal1"/>
        <w:ind w:firstLine="709"/>
        <w:jc w:val="center"/>
        <w:rPr>
          <w:b/>
        </w:rPr>
      </w:pPr>
    </w:p>
    <w:p w:rsidR="005B77DC" w:rsidRDefault="005B77DC">
      <w:pPr>
        <w:pStyle w:val="Normal1"/>
        <w:ind w:firstLine="709"/>
        <w:jc w:val="center"/>
        <w:rPr>
          <w:b/>
        </w:rPr>
      </w:pPr>
    </w:p>
    <w:p w:rsidR="005B77DC" w:rsidRDefault="005B77DC">
      <w:pPr>
        <w:pStyle w:val="Normal1"/>
        <w:ind w:firstLine="709"/>
        <w:jc w:val="center"/>
        <w:rPr>
          <w:b/>
        </w:rPr>
      </w:pPr>
    </w:p>
    <w:p w:rsidR="005B77DC" w:rsidRDefault="005B77DC">
      <w:pPr>
        <w:pStyle w:val="Normal1"/>
        <w:ind w:firstLine="709"/>
        <w:jc w:val="center"/>
        <w:rPr>
          <w:b/>
        </w:rPr>
      </w:pPr>
    </w:p>
    <w:p w:rsidR="005B77DC" w:rsidRDefault="005B77DC">
      <w:pPr>
        <w:pStyle w:val="Normal1"/>
        <w:ind w:firstLine="709"/>
        <w:jc w:val="center"/>
        <w:rPr>
          <w:b/>
        </w:rPr>
      </w:pPr>
    </w:p>
    <w:p w:rsidR="005B77DC" w:rsidRDefault="00A94B36">
      <w:pPr>
        <w:pStyle w:val="Normal1"/>
        <w:ind w:firstLine="709"/>
        <w:jc w:val="center"/>
        <w:rPr>
          <w:b/>
        </w:rPr>
      </w:pPr>
      <w:r>
        <w:rPr>
          <w:b/>
        </w:rPr>
        <w:t xml:space="preserve">Bio. </w:t>
      </w:r>
      <w:r w:rsidR="004F6C22">
        <w:rPr>
          <w:b/>
        </w:rPr>
        <w:t>Azime UYAR</w:t>
      </w:r>
    </w:p>
    <w:p w:rsidR="005B77DC" w:rsidRDefault="004F6C22">
      <w:pPr>
        <w:pStyle w:val="Normal1"/>
        <w:ind w:firstLine="709"/>
        <w:jc w:val="center"/>
        <w:rPr>
          <w:b/>
        </w:rPr>
      </w:pPr>
      <w:r>
        <w:rPr>
          <w:b/>
        </w:rPr>
        <w:t>YÜKSEK LİSANS TEZİ</w:t>
      </w:r>
    </w:p>
    <w:p w:rsidR="005B77DC" w:rsidRDefault="005B77DC">
      <w:pPr>
        <w:pStyle w:val="Normal1"/>
        <w:ind w:firstLine="709"/>
        <w:jc w:val="center"/>
        <w:rPr>
          <w:b/>
        </w:rPr>
      </w:pPr>
    </w:p>
    <w:p w:rsidR="005B77DC" w:rsidRDefault="005B77DC">
      <w:pPr>
        <w:pStyle w:val="Normal1"/>
        <w:ind w:firstLine="709"/>
        <w:jc w:val="center"/>
        <w:rPr>
          <w:b/>
        </w:rPr>
      </w:pPr>
    </w:p>
    <w:p w:rsidR="005B77DC" w:rsidRDefault="005B77DC">
      <w:pPr>
        <w:pStyle w:val="Normal1"/>
        <w:ind w:firstLine="709"/>
        <w:jc w:val="center"/>
        <w:rPr>
          <w:b/>
        </w:rPr>
      </w:pPr>
    </w:p>
    <w:p w:rsidR="005B77DC" w:rsidRDefault="004F6C22" w:rsidP="00F52A65">
      <w:pPr>
        <w:pStyle w:val="Normal1"/>
        <w:ind w:firstLine="709"/>
        <w:jc w:val="center"/>
        <w:rPr>
          <w:b/>
        </w:rPr>
      </w:pPr>
      <w:r>
        <w:rPr>
          <w:b/>
        </w:rPr>
        <w:t>DANIŞMAN</w:t>
      </w:r>
    </w:p>
    <w:p w:rsidR="005B77DC" w:rsidRDefault="004F6C22" w:rsidP="00A94B36">
      <w:pPr>
        <w:jc w:val="center"/>
      </w:pPr>
      <w:r>
        <w:t>Dr. Öğr. Üyesi Yusuf Ziya ARAL</w:t>
      </w:r>
    </w:p>
    <w:p w:rsidR="005B77DC" w:rsidRDefault="005B77DC">
      <w:pPr>
        <w:pStyle w:val="Normal1"/>
        <w:ind w:firstLine="709"/>
        <w:jc w:val="center"/>
        <w:rPr>
          <w:b/>
        </w:rPr>
      </w:pPr>
    </w:p>
    <w:p w:rsidR="005B77DC" w:rsidRDefault="005B77DC">
      <w:pPr>
        <w:pStyle w:val="Normal1"/>
        <w:ind w:firstLine="0"/>
      </w:pPr>
    </w:p>
    <w:p w:rsidR="005B77DC" w:rsidRDefault="004F6C22">
      <w:pPr>
        <w:pStyle w:val="Normal1"/>
        <w:ind w:firstLine="0"/>
      </w:pPr>
      <w:r>
        <w:t>Bu tez Aydın Adnan Menderes Üniversitesi Bilimsel Araştırma Projeleri Birimi tarafından TPF-19007 proje numarası ile desteklenmiştir.</w:t>
      </w:r>
    </w:p>
    <w:p w:rsidR="005B77DC" w:rsidRDefault="005B77DC">
      <w:pPr>
        <w:pStyle w:val="Normal1"/>
        <w:ind w:firstLine="709"/>
        <w:jc w:val="center"/>
      </w:pPr>
    </w:p>
    <w:p w:rsidR="005B77DC" w:rsidRDefault="004F6C22">
      <w:pPr>
        <w:pStyle w:val="Normal1"/>
        <w:ind w:firstLine="709"/>
        <w:jc w:val="center"/>
        <w:rPr>
          <w:b/>
        </w:rPr>
        <w:sectPr w:rsidR="005B77DC">
          <w:headerReference w:type="default" r:id="rId7"/>
          <w:pgSz w:w="11906" w:h="16838"/>
          <w:pgMar w:top="1418" w:right="1304" w:bottom="1418" w:left="1701" w:header="850" w:footer="850" w:gutter="0"/>
          <w:pgNumType w:start="1"/>
          <w:cols w:space="708" w:equalWidth="0">
            <w:col w:w="9406"/>
          </w:cols>
        </w:sectPr>
      </w:pPr>
      <w:bookmarkStart w:id="0" w:name="_30j0zll" w:colFirst="0" w:colLast="0"/>
      <w:bookmarkEnd w:id="0"/>
      <w:r>
        <w:rPr>
          <w:b/>
        </w:rPr>
        <w:t>AYDIN–2020</w:t>
      </w:r>
    </w:p>
    <w:p w:rsidR="005B77DC" w:rsidRDefault="004F6C22">
      <w:pPr>
        <w:pStyle w:val="Normal1"/>
        <w:ind w:firstLine="0"/>
        <w:jc w:val="center"/>
        <w:rPr>
          <w:b/>
          <w:sz w:val="28"/>
          <w:szCs w:val="28"/>
        </w:rPr>
      </w:pPr>
      <w:bookmarkStart w:id="1" w:name="_1fob9te" w:colFirst="0" w:colLast="0"/>
      <w:bookmarkEnd w:id="1"/>
      <w:r>
        <w:rPr>
          <w:b/>
          <w:sz w:val="28"/>
          <w:szCs w:val="28"/>
        </w:rPr>
        <w:lastRenderedPageBreak/>
        <w:t>KABUL VE ONAY SAYFASI</w:t>
      </w:r>
    </w:p>
    <w:p w:rsidR="005B77DC" w:rsidRDefault="005B77DC">
      <w:pPr>
        <w:pStyle w:val="Normal1"/>
        <w:ind w:firstLine="0"/>
        <w:jc w:val="center"/>
        <w:rPr>
          <w:b/>
        </w:rPr>
      </w:pPr>
    </w:p>
    <w:p w:rsidR="005B77DC" w:rsidRDefault="005B77DC">
      <w:pPr>
        <w:pStyle w:val="Normal1"/>
        <w:ind w:firstLine="0"/>
        <w:jc w:val="center"/>
        <w:rPr>
          <w:b/>
        </w:rPr>
      </w:pPr>
    </w:p>
    <w:p w:rsidR="005B77DC" w:rsidRDefault="004F6C22">
      <w:pPr>
        <w:pStyle w:val="Normal1"/>
        <w:ind w:firstLine="709"/>
      </w:pPr>
      <w:r>
        <w:t>T.C. Aydın Adnan Menderes Üniversitesi Sağlık Bilimleri Enstitüsü Kök Hücre ve Rejeneratif Tıp Anabilim Dalı Yüksek Lisans Programı çerçevesinde Azime UYAR tarafından hazırlanan “Primer Trombositoz Düşünülen Çocuklarda Jak2 Mutasyon Varlığının Değerlendirilmesi” başlıklı tez, aşağıdaki jüri tarafından Yüksek Lisans Tezi olarak kabul edilmiştir.</w:t>
      </w:r>
    </w:p>
    <w:p w:rsidR="005B77DC" w:rsidRDefault="005B77DC">
      <w:pPr>
        <w:pStyle w:val="Normal1"/>
        <w:ind w:firstLine="709"/>
      </w:pPr>
    </w:p>
    <w:p w:rsidR="005B77DC" w:rsidRDefault="004F6C22">
      <w:pPr>
        <w:pStyle w:val="Normal1"/>
        <w:ind w:firstLine="4536"/>
      </w:pPr>
      <w:r>
        <w:t xml:space="preserve">Tez Savunma Tarihi: </w:t>
      </w:r>
      <w:r w:rsidR="006078B5">
        <w:t>23 /09</w:t>
      </w:r>
      <w:r>
        <w:t xml:space="preserve"> /2020</w:t>
      </w:r>
    </w:p>
    <w:p w:rsidR="005B77DC" w:rsidRDefault="004F6C22">
      <w:pPr>
        <w:pStyle w:val="Normal1"/>
        <w:ind w:firstLine="709"/>
      </w:pPr>
      <w:r>
        <w:t xml:space="preserve">     İmza</w:t>
      </w:r>
    </w:p>
    <w:tbl>
      <w:tblPr>
        <w:tblStyle w:val="a"/>
        <w:tblW w:w="9117" w:type="dxa"/>
        <w:jc w:val="center"/>
        <w:tblInd w:w="0" w:type="dxa"/>
        <w:tblLayout w:type="fixed"/>
        <w:tblLook w:val="0400"/>
      </w:tblPr>
      <w:tblGrid>
        <w:gridCol w:w="959"/>
        <w:gridCol w:w="3260"/>
        <w:gridCol w:w="3827"/>
        <w:gridCol w:w="1071"/>
      </w:tblGrid>
      <w:tr w:rsidR="005B77DC" w:rsidTr="00790BE4">
        <w:trPr>
          <w:trHeight w:val="20"/>
          <w:jc w:val="center"/>
        </w:trPr>
        <w:tc>
          <w:tcPr>
            <w:tcW w:w="959" w:type="dxa"/>
            <w:shd w:val="clear" w:color="auto" w:fill="auto"/>
            <w:vAlign w:val="center"/>
          </w:tcPr>
          <w:p w:rsidR="00790BE4" w:rsidRDefault="004F6C22" w:rsidP="00790BE4">
            <w:pPr>
              <w:pStyle w:val="Normal1"/>
              <w:ind w:firstLine="0"/>
              <w:jc w:val="left"/>
            </w:pPr>
            <w:r>
              <w:t xml:space="preserve">Üye </w:t>
            </w:r>
          </w:p>
          <w:p w:rsidR="005B77DC" w:rsidRDefault="004F6C22" w:rsidP="00790BE4">
            <w:pPr>
              <w:pStyle w:val="Normal1"/>
              <w:ind w:firstLine="0"/>
              <w:jc w:val="left"/>
            </w:pPr>
            <w:r>
              <w:t>(T.D.)</w:t>
            </w:r>
          </w:p>
        </w:tc>
        <w:tc>
          <w:tcPr>
            <w:tcW w:w="3260" w:type="dxa"/>
            <w:shd w:val="clear" w:color="auto" w:fill="auto"/>
            <w:vAlign w:val="center"/>
          </w:tcPr>
          <w:p w:rsidR="005B77DC" w:rsidRDefault="004F6C22" w:rsidP="00790BE4">
            <w:pPr>
              <w:pStyle w:val="Normal1"/>
              <w:spacing w:after="120"/>
              <w:ind w:left="-108" w:firstLine="0"/>
              <w:jc w:val="left"/>
            </w:pPr>
            <w:r>
              <w:t>: Dr. Öğr. Üyesi Y</w:t>
            </w:r>
            <w:r w:rsidR="00790BE4">
              <w:t xml:space="preserve">. </w:t>
            </w:r>
            <w:r>
              <w:t>Ziya ARAL</w:t>
            </w:r>
          </w:p>
        </w:tc>
        <w:tc>
          <w:tcPr>
            <w:tcW w:w="3827" w:type="dxa"/>
            <w:shd w:val="clear" w:color="auto" w:fill="auto"/>
            <w:vAlign w:val="center"/>
          </w:tcPr>
          <w:p w:rsidR="00790BE4" w:rsidRDefault="00790BE4" w:rsidP="00790BE4">
            <w:pPr>
              <w:pStyle w:val="Normal1"/>
              <w:spacing w:after="120"/>
              <w:ind w:firstLine="0"/>
              <w:jc w:val="left"/>
            </w:pPr>
            <w:r>
              <w:t>Aydın Adnan Menderes Üniversiyesi</w:t>
            </w:r>
          </w:p>
        </w:tc>
        <w:tc>
          <w:tcPr>
            <w:tcW w:w="1071" w:type="dxa"/>
            <w:shd w:val="clear" w:color="auto" w:fill="auto"/>
          </w:tcPr>
          <w:p w:rsidR="005B77DC" w:rsidRDefault="00790BE4" w:rsidP="00790BE4">
            <w:pPr>
              <w:pStyle w:val="Normal1"/>
              <w:tabs>
                <w:tab w:val="left" w:pos="2700"/>
                <w:tab w:val="left" w:pos="5040"/>
              </w:tabs>
              <w:spacing w:after="120"/>
              <w:ind w:firstLine="0"/>
            </w:pPr>
            <w:proofErr w:type="gramStart"/>
            <w:r>
              <w:t>……….</w:t>
            </w:r>
            <w:proofErr w:type="gramEnd"/>
          </w:p>
        </w:tc>
      </w:tr>
      <w:tr w:rsidR="005B77DC" w:rsidTr="00790BE4">
        <w:trPr>
          <w:trHeight w:val="20"/>
          <w:jc w:val="center"/>
        </w:trPr>
        <w:tc>
          <w:tcPr>
            <w:tcW w:w="959" w:type="dxa"/>
            <w:shd w:val="clear" w:color="auto" w:fill="auto"/>
          </w:tcPr>
          <w:p w:rsidR="005B77DC" w:rsidRDefault="004F6C22">
            <w:pPr>
              <w:pStyle w:val="Normal1"/>
              <w:spacing w:after="120"/>
              <w:ind w:firstLine="0"/>
              <w:jc w:val="left"/>
            </w:pPr>
            <w:r>
              <w:t>Üye</w:t>
            </w:r>
          </w:p>
        </w:tc>
        <w:tc>
          <w:tcPr>
            <w:tcW w:w="3260" w:type="dxa"/>
            <w:shd w:val="clear" w:color="auto" w:fill="auto"/>
          </w:tcPr>
          <w:p w:rsidR="005B77DC" w:rsidRDefault="004F6C22">
            <w:pPr>
              <w:pStyle w:val="Normal1"/>
              <w:spacing w:after="120"/>
              <w:ind w:left="-108" w:firstLine="0"/>
              <w:jc w:val="left"/>
            </w:pPr>
            <w:r>
              <w:t>: Prof. Dr. Kemal ERGİN</w:t>
            </w:r>
          </w:p>
        </w:tc>
        <w:tc>
          <w:tcPr>
            <w:tcW w:w="3827" w:type="dxa"/>
            <w:shd w:val="clear" w:color="auto" w:fill="auto"/>
          </w:tcPr>
          <w:p w:rsidR="005B77DC" w:rsidRDefault="00790BE4" w:rsidP="00790BE4">
            <w:pPr>
              <w:pStyle w:val="Normal1"/>
              <w:spacing w:after="120"/>
              <w:ind w:firstLine="0"/>
              <w:jc w:val="left"/>
            </w:pPr>
            <w:r>
              <w:t>Aydın Adnan Menderes Üniversiyesi</w:t>
            </w:r>
          </w:p>
        </w:tc>
        <w:tc>
          <w:tcPr>
            <w:tcW w:w="1071" w:type="dxa"/>
            <w:shd w:val="clear" w:color="auto" w:fill="auto"/>
          </w:tcPr>
          <w:p w:rsidR="005B77DC" w:rsidRDefault="004F6C22" w:rsidP="00790BE4">
            <w:pPr>
              <w:pStyle w:val="Normal1"/>
              <w:spacing w:after="120"/>
              <w:ind w:firstLine="0"/>
            </w:pPr>
            <w:proofErr w:type="gramStart"/>
            <w:r>
              <w:t>…</w:t>
            </w:r>
            <w:r w:rsidR="00790BE4">
              <w:t>……</w:t>
            </w:r>
            <w:proofErr w:type="gramEnd"/>
          </w:p>
        </w:tc>
      </w:tr>
      <w:tr w:rsidR="005B77DC" w:rsidTr="00790BE4">
        <w:trPr>
          <w:trHeight w:val="20"/>
          <w:jc w:val="center"/>
        </w:trPr>
        <w:tc>
          <w:tcPr>
            <w:tcW w:w="959" w:type="dxa"/>
            <w:shd w:val="clear" w:color="auto" w:fill="auto"/>
          </w:tcPr>
          <w:p w:rsidR="005B77DC" w:rsidRDefault="004F6C22">
            <w:pPr>
              <w:pStyle w:val="Normal1"/>
              <w:spacing w:after="120"/>
              <w:ind w:left="-38" w:right="-179" w:firstLine="38"/>
              <w:jc w:val="left"/>
            </w:pPr>
            <w:r>
              <w:t>Üye</w:t>
            </w:r>
          </w:p>
        </w:tc>
        <w:tc>
          <w:tcPr>
            <w:tcW w:w="3260" w:type="dxa"/>
            <w:shd w:val="clear" w:color="auto" w:fill="auto"/>
          </w:tcPr>
          <w:p w:rsidR="005B77DC" w:rsidRDefault="004F6C22">
            <w:pPr>
              <w:pStyle w:val="Normal1"/>
              <w:spacing w:after="120"/>
              <w:ind w:firstLine="0"/>
              <w:jc w:val="left"/>
            </w:pPr>
            <w:r>
              <w:t>: Doç. Dr. Yılmaz AY</w:t>
            </w:r>
          </w:p>
        </w:tc>
        <w:tc>
          <w:tcPr>
            <w:tcW w:w="3827" w:type="dxa"/>
            <w:shd w:val="clear" w:color="auto" w:fill="auto"/>
          </w:tcPr>
          <w:p w:rsidR="005B77DC" w:rsidRDefault="00790BE4">
            <w:pPr>
              <w:pStyle w:val="Normal1"/>
              <w:spacing w:after="120"/>
              <w:ind w:firstLine="0"/>
            </w:pPr>
            <w:r>
              <w:t>Pamukkale Üniversitesi</w:t>
            </w:r>
          </w:p>
        </w:tc>
        <w:tc>
          <w:tcPr>
            <w:tcW w:w="1071" w:type="dxa"/>
            <w:shd w:val="clear" w:color="auto" w:fill="auto"/>
          </w:tcPr>
          <w:p w:rsidR="005B77DC" w:rsidRDefault="004F6C22" w:rsidP="00790BE4">
            <w:pPr>
              <w:pStyle w:val="Normal1"/>
              <w:spacing w:after="120"/>
              <w:ind w:firstLine="0"/>
            </w:pPr>
            <w:proofErr w:type="gramStart"/>
            <w:r>
              <w:t>………</w:t>
            </w:r>
            <w:proofErr w:type="gramEnd"/>
          </w:p>
        </w:tc>
      </w:tr>
    </w:tbl>
    <w:p w:rsidR="005B77DC" w:rsidRDefault="005B77DC">
      <w:pPr>
        <w:pStyle w:val="Normal1"/>
        <w:ind w:left="4956" w:firstLine="0"/>
      </w:pPr>
    </w:p>
    <w:p w:rsidR="005B77DC" w:rsidRDefault="005B77DC">
      <w:pPr>
        <w:pStyle w:val="Normal1"/>
        <w:ind w:firstLine="0"/>
      </w:pPr>
    </w:p>
    <w:p w:rsidR="005B77DC" w:rsidRDefault="004F6C22">
      <w:pPr>
        <w:pStyle w:val="Normal1"/>
        <w:ind w:firstLine="0"/>
      </w:pPr>
      <w:r>
        <w:t>ONAY:</w:t>
      </w:r>
    </w:p>
    <w:p w:rsidR="005B77DC" w:rsidRDefault="004F6C22">
      <w:pPr>
        <w:pStyle w:val="Normal1"/>
        <w:ind w:firstLine="0"/>
      </w:pPr>
      <w:r>
        <w:t xml:space="preserve">Bu tez Aydın Adnan Menderes Üniversitesi Lisansüstü Eğitim-Öğretim ve Sınav Yönetmeliğinin ilgili maddeleri uyarınca yukarıdaki jüri tarafından uygun görülmüş ve Sağlık Bilimleri Enstitüsünün </w:t>
      </w:r>
      <w:proofErr w:type="gramStart"/>
      <w:r>
        <w:t>………………..</w:t>
      </w:r>
      <w:proofErr w:type="gramEnd"/>
      <w:r>
        <w:t xml:space="preserve"> tarih ve </w:t>
      </w:r>
      <w:proofErr w:type="gramStart"/>
      <w:r>
        <w:t>…………..</w:t>
      </w:r>
      <w:proofErr w:type="gramEnd"/>
      <w:r>
        <w:t xml:space="preserve"> sayılı oturumunda alınan </w:t>
      </w:r>
      <w:proofErr w:type="gramStart"/>
      <w:r>
        <w:t>…………</w:t>
      </w:r>
      <w:proofErr w:type="gramEnd"/>
      <w:r>
        <w:t xml:space="preserve"> nolu Yönetim Kurulu kararıyla kabul edilmiştir.</w:t>
      </w:r>
    </w:p>
    <w:p w:rsidR="005B77DC" w:rsidRDefault="005B77DC">
      <w:pPr>
        <w:pStyle w:val="Normal1"/>
      </w:pPr>
    </w:p>
    <w:p w:rsidR="005B77DC" w:rsidRDefault="005B77DC">
      <w:pPr>
        <w:pStyle w:val="Normal1"/>
      </w:pPr>
    </w:p>
    <w:p w:rsidR="005B77DC" w:rsidRDefault="004F6C22">
      <w:pPr>
        <w:pStyle w:val="Normal1"/>
        <w:ind w:firstLine="5670"/>
        <w:jc w:val="center"/>
      </w:pPr>
      <w:r>
        <w:t xml:space="preserve">Prof. Dr. </w:t>
      </w:r>
      <w:r w:rsidR="00042249">
        <w:t>Süleyman AYPAK</w:t>
      </w:r>
    </w:p>
    <w:p w:rsidR="005B77DC" w:rsidRDefault="004F6C22">
      <w:pPr>
        <w:pStyle w:val="Normal1"/>
        <w:ind w:firstLine="5670"/>
        <w:jc w:val="center"/>
      </w:pPr>
      <w:r>
        <w:t>Enstitü Müdürü</w:t>
      </w:r>
    </w:p>
    <w:p w:rsidR="005B77DC" w:rsidRDefault="004F6C22">
      <w:pPr>
        <w:pStyle w:val="Normal1"/>
        <w:ind w:firstLine="709"/>
      </w:pPr>
      <w:r>
        <w:br w:type="page"/>
      </w:r>
    </w:p>
    <w:p w:rsidR="005B77DC" w:rsidRDefault="004F6C22">
      <w:pPr>
        <w:pStyle w:val="Normal1"/>
        <w:ind w:firstLine="0"/>
        <w:jc w:val="center"/>
        <w:rPr>
          <w:b/>
        </w:rPr>
      </w:pPr>
      <w:r>
        <w:rPr>
          <w:b/>
          <w:sz w:val="28"/>
          <w:szCs w:val="28"/>
        </w:rPr>
        <w:lastRenderedPageBreak/>
        <w:t>TEŞEKKÜR</w:t>
      </w:r>
    </w:p>
    <w:p w:rsidR="005B77DC" w:rsidRDefault="005B77DC">
      <w:pPr>
        <w:pStyle w:val="Normal1"/>
        <w:ind w:firstLine="0"/>
        <w:jc w:val="center"/>
        <w:rPr>
          <w:b/>
        </w:rPr>
      </w:pPr>
    </w:p>
    <w:p w:rsidR="005B77DC" w:rsidRDefault="005B77DC">
      <w:pPr>
        <w:pStyle w:val="Normal1"/>
        <w:ind w:firstLine="0"/>
        <w:jc w:val="center"/>
        <w:rPr>
          <w:b/>
        </w:rPr>
      </w:pPr>
    </w:p>
    <w:p w:rsidR="005B77DC" w:rsidRDefault="004F6C22">
      <w:pPr>
        <w:pStyle w:val="Normal1"/>
        <w:ind w:firstLine="709"/>
      </w:pPr>
      <w:r>
        <w:t>Tez çalışmamda bilgi ve deneyimleri ile bana yol gösteren, başta danışmanım Adnan Menderes Üniversitesi Tıp Fakültesi Çocuk Sağlığı ve Hastalıkları öğretim görevlisi Sayın Dr. Öğr. Üyesi Yusuf Ziya ARAL ve Kök Hücre ve Rejeneratif Tıp Anabilim Dalı Başkanı Sayın Prof. Dr. Kemal ERGİN hocalarıma şükranlarımı sunarım.</w:t>
      </w:r>
    </w:p>
    <w:p w:rsidR="005B77DC" w:rsidRDefault="004F6C22">
      <w:pPr>
        <w:pStyle w:val="Normal1"/>
        <w:ind w:firstLine="709"/>
      </w:pPr>
      <w:r>
        <w:t>Jak2 mutasyonunun genetiksel çalışmasında ilgi ve özenle yardımcı olan Moleküler Patoloji öğretim görevlisi Sayın Doç. Dr. İbrahim Halil Erdoğdu hocama, laboratuvar çalışanları Lab. Tek. Miyase Erdoğdu, Bio. Zeynep Erkul, Bio. Burcu Birtekocak, Bio. Şehribanu Cebeci’ye çok teşekkür ederim.</w:t>
      </w:r>
    </w:p>
    <w:p w:rsidR="005B77DC" w:rsidRPr="00042249" w:rsidRDefault="004F6C22">
      <w:pPr>
        <w:pStyle w:val="Normal1"/>
        <w:ind w:firstLine="709"/>
      </w:pPr>
      <w:r w:rsidRPr="00042249">
        <w:t>Her zaman yanımda olup beni her anımda destekleyen Hematoloji laboratuvar sorumlusu Sayın Prof. Dr. İrfan Yavaşoğlu hocama ve çalışanlarına, bugüne kadar her daim yanımda olan, sabır gösteren ve benden manevi ve maddi desteğini hiçbir zaman esirgemeyen aileme, tezimin tamamlanması konusunda katkı sağlayan sevgili eşim Bekir UYAR’a sonsuz teşekkür ederim.</w:t>
      </w:r>
    </w:p>
    <w:p w:rsidR="005B77DC" w:rsidRPr="00042249" w:rsidRDefault="005B77DC">
      <w:pPr>
        <w:pStyle w:val="Normal1"/>
        <w:ind w:firstLine="709"/>
        <w:rPr>
          <w:b/>
        </w:rPr>
      </w:pPr>
    </w:p>
    <w:p w:rsidR="005B77DC" w:rsidRDefault="004F6C22">
      <w:pPr>
        <w:pStyle w:val="Normal1"/>
        <w:ind w:firstLine="5670"/>
      </w:pPr>
      <w:r w:rsidRPr="00042249">
        <w:t>Bio. Azime UYAR</w:t>
      </w:r>
    </w:p>
    <w:p w:rsidR="005B77DC" w:rsidRDefault="004F6C22">
      <w:pPr>
        <w:pStyle w:val="Normal1"/>
        <w:spacing w:after="200" w:line="276" w:lineRule="auto"/>
        <w:ind w:firstLine="0"/>
        <w:jc w:val="left"/>
      </w:pPr>
      <w:r>
        <w:br w:type="page"/>
      </w:r>
    </w:p>
    <w:p w:rsidR="00CC6091" w:rsidRPr="00A12194" w:rsidRDefault="00CC6091" w:rsidP="00CC6091">
      <w:pPr>
        <w:ind w:right="537" w:firstLine="0"/>
        <w:jc w:val="center"/>
        <w:rPr>
          <w:rFonts w:eastAsia="Calibri"/>
          <w:b/>
          <w:sz w:val="28"/>
        </w:rPr>
      </w:pPr>
      <w:bookmarkStart w:id="2" w:name="_tyjcwt" w:colFirst="0" w:colLast="0"/>
      <w:bookmarkEnd w:id="2"/>
      <w:r w:rsidRPr="00A12194">
        <w:rPr>
          <w:rFonts w:eastAsia="Calibri"/>
          <w:b/>
          <w:sz w:val="28"/>
        </w:rPr>
        <w:lastRenderedPageBreak/>
        <w:t>İÇİNDEKİLER</w:t>
      </w:r>
    </w:p>
    <w:p w:rsidR="00CC6091" w:rsidRPr="00A12194" w:rsidRDefault="00CC6091" w:rsidP="00CC6091">
      <w:pPr>
        <w:ind w:right="537" w:firstLine="0"/>
        <w:jc w:val="center"/>
        <w:rPr>
          <w:rFonts w:eastAsia="Calibri"/>
          <w:b/>
        </w:rPr>
      </w:pPr>
    </w:p>
    <w:p w:rsidR="00CC6091" w:rsidRPr="00A12194" w:rsidRDefault="00CC6091" w:rsidP="00CC6091">
      <w:pPr>
        <w:ind w:right="537" w:firstLine="0"/>
        <w:jc w:val="center"/>
        <w:rPr>
          <w:rFonts w:eastAsia="Calibri"/>
          <w:b/>
        </w:rPr>
      </w:pPr>
    </w:p>
    <w:p w:rsidR="00CC6091" w:rsidRPr="00A12194" w:rsidRDefault="00CC6091" w:rsidP="00CC6091">
      <w:pPr>
        <w:tabs>
          <w:tab w:val="right" w:leader="dot" w:pos="8891"/>
        </w:tabs>
        <w:ind w:left="567" w:right="537" w:hanging="567"/>
        <w:rPr>
          <w:lang w:bidi="tr-TR"/>
        </w:rPr>
      </w:pPr>
      <w:r w:rsidRPr="00A12194">
        <w:rPr>
          <w:lang w:bidi="tr-TR"/>
        </w:rPr>
        <w:t>KABUL VE ONAY SAYFASI</w:t>
      </w:r>
      <w:r w:rsidRPr="00A12194">
        <w:rPr>
          <w:webHidden/>
          <w:lang w:bidi="tr-TR"/>
        </w:rPr>
        <w:tab/>
        <w:t>i</w:t>
      </w:r>
    </w:p>
    <w:p w:rsidR="00CC6091" w:rsidRPr="00A12194" w:rsidRDefault="00CC6091" w:rsidP="00CC6091">
      <w:pPr>
        <w:tabs>
          <w:tab w:val="right" w:leader="dot" w:pos="8891"/>
        </w:tabs>
        <w:ind w:left="567" w:right="537" w:hanging="567"/>
        <w:rPr>
          <w:lang w:bidi="tr-TR"/>
        </w:rPr>
      </w:pPr>
      <w:r w:rsidRPr="00A12194">
        <w:rPr>
          <w:lang w:bidi="tr-TR"/>
        </w:rPr>
        <w:t>TEŞEKKÜR</w:t>
      </w:r>
      <w:r w:rsidRPr="00A12194">
        <w:rPr>
          <w:webHidden/>
          <w:lang w:bidi="tr-TR"/>
        </w:rPr>
        <w:tab/>
        <w:t>ii</w:t>
      </w:r>
    </w:p>
    <w:p w:rsidR="00CC6091" w:rsidRPr="00A12194" w:rsidRDefault="00CC6091" w:rsidP="00CC6091">
      <w:pPr>
        <w:tabs>
          <w:tab w:val="right" w:leader="dot" w:pos="8891"/>
        </w:tabs>
        <w:ind w:left="567" w:right="537" w:hanging="567"/>
        <w:rPr>
          <w:lang w:bidi="tr-TR"/>
        </w:rPr>
      </w:pPr>
      <w:r w:rsidRPr="00A12194">
        <w:rPr>
          <w:lang w:bidi="tr-TR"/>
        </w:rPr>
        <w:t>İÇİNDEKİLER</w:t>
      </w:r>
      <w:r w:rsidRPr="00A12194">
        <w:rPr>
          <w:webHidden/>
          <w:lang w:bidi="tr-TR"/>
        </w:rPr>
        <w:tab/>
        <w:t>iii</w:t>
      </w:r>
    </w:p>
    <w:p w:rsidR="00CC6091" w:rsidRPr="00A12194" w:rsidRDefault="00CC6091" w:rsidP="00CC6091">
      <w:pPr>
        <w:tabs>
          <w:tab w:val="right" w:leader="dot" w:pos="8891"/>
        </w:tabs>
        <w:ind w:left="567" w:right="537" w:hanging="567"/>
        <w:rPr>
          <w:lang w:bidi="tr-TR"/>
        </w:rPr>
      </w:pPr>
      <w:r w:rsidRPr="00A12194">
        <w:rPr>
          <w:lang w:bidi="tr-TR"/>
        </w:rPr>
        <w:t>SİMGELER VE KISALTMALAR DİZİNİ</w:t>
      </w:r>
      <w:r w:rsidRPr="00A12194">
        <w:rPr>
          <w:webHidden/>
          <w:lang w:bidi="tr-TR"/>
        </w:rPr>
        <w:tab/>
      </w:r>
      <w:r>
        <w:rPr>
          <w:webHidden/>
          <w:lang w:bidi="tr-TR"/>
        </w:rPr>
        <w:t>v</w:t>
      </w:r>
    </w:p>
    <w:p w:rsidR="00CC6091" w:rsidRPr="00EC6553" w:rsidRDefault="00CC6091" w:rsidP="00CC6091">
      <w:pPr>
        <w:tabs>
          <w:tab w:val="right" w:leader="dot" w:pos="8891"/>
        </w:tabs>
        <w:ind w:left="567" w:right="537" w:hanging="567"/>
        <w:rPr>
          <w:lang w:bidi="tr-TR"/>
        </w:rPr>
      </w:pPr>
      <w:bookmarkStart w:id="3" w:name="_Toc488176615"/>
      <w:r w:rsidRPr="00EC6553">
        <w:rPr>
          <w:lang w:bidi="tr-TR"/>
        </w:rPr>
        <w:t>ŞEKİLLER DİZİNİ</w:t>
      </w:r>
      <w:r w:rsidRPr="00EC6553">
        <w:rPr>
          <w:webHidden/>
          <w:lang w:bidi="tr-TR"/>
        </w:rPr>
        <w:tab/>
        <w:t>vi</w:t>
      </w:r>
      <w:r>
        <w:rPr>
          <w:webHidden/>
          <w:lang w:bidi="tr-TR"/>
        </w:rPr>
        <w:t>i</w:t>
      </w:r>
    </w:p>
    <w:p w:rsidR="00CC6091" w:rsidRPr="00EC6553" w:rsidRDefault="00CC6091" w:rsidP="00CC6091">
      <w:pPr>
        <w:tabs>
          <w:tab w:val="right" w:leader="dot" w:pos="8891"/>
        </w:tabs>
        <w:ind w:left="567" w:right="537" w:hanging="567"/>
        <w:rPr>
          <w:lang w:bidi="tr-TR"/>
        </w:rPr>
      </w:pPr>
      <w:r w:rsidRPr="00EC6553">
        <w:rPr>
          <w:lang w:bidi="tr-TR"/>
        </w:rPr>
        <w:t>RESİMLER DİZİNİ</w:t>
      </w:r>
      <w:r w:rsidRPr="00EC6553">
        <w:rPr>
          <w:webHidden/>
          <w:lang w:bidi="tr-TR"/>
        </w:rPr>
        <w:tab/>
        <w:t>vii</w:t>
      </w:r>
      <w:r>
        <w:rPr>
          <w:webHidden/>
          <w:lang w:bidi="tr-TR"/>
        </w:rPr>
        <w:t>i</w:t>
      </w:r>
    </w:p>
    <w:p w:rsidR="00CC6091" w:rsidRPr="00EC6553" w:rsidRDefault="00CC6091" w:rsidP="00CC6091">
      <w:pPr>
        <w:tabs>
          <w:tab w:val="right" w:leader="dot" w:pos="8891"/>
        </w:tabs>
        <w:ind w:left="567" w:right="537" w:hanging="567"/>
        <w:rPr>
          <w:lang w:bidi="tr-TR"/>
        </w:rPr>
      </w:pPr>
      <w:r w:rsidRPr="00EC6553">
        <w:rPr>
          <w:lang w:bidi="tr-TR"/>
        </w:rPr>
        <w:t>TABLOLAR DİZİNİ</w:t>
      </w:r>
      <w:r w:rsidRPr="00EC6553">
        <w:rPr>
          <w:webHidden/>
          <w:lang w:bidi="tr-TR"/>
        </w:rPr>
        <w:tab/>
      </w:r>
      <w:r>
        <w:rPr>
          <w:webHidden/>
          <w:lang w:bidi="tr-TR"/>
        </w:rPr>
        <w:t>ix</w:t>
      </w:r>
    </w:p>
    <w:p w:rsidR="00CC6091" w:rsidRPr="00EC6553" w:rsidRDefault="00CC6091" w:rsidP="00CC6091">
      <w:pPr>
        <w:tabs>
          <w:tab w:val="right" w:leader="dot" w:pos="8891"/>
        </w:tabs>
        <w:ind w:left="567" w:right="537" w:hanging="567"/>
        <w:rPr>
          <w:lang w:bidi="tr-TR"/>
        </w:rPr>
      </w:pPr>
      <w:r w:rsidRPr="00EC6553">
        <w:rPr>
          <w:lang w:bidi="tr-TR"/>
        </w:rPr>
        <w:t>ÖZET</w:t>
      </w:r>
      <w:r w:rsidRPr="00EC6553">
        <w:rPr>
          <w:webHidden/>
          <w:lang w:bidi="tr-TR"/>
        </w:rPr>
        <w:tab/>
      </w:r>
      <w:r>
        <w:rPr>
          <w:webHidden/>
          <w:lang w:bidi="tr-TR"/>
        </w:rPr>
        <w:t>x</w:t>
      </w:r>
    </w:p>
    <w:p w:rsidR="00CC6091" w:rsidRPr="00EC6553" w:rsidRDefault="00CC6091" w:rsidP="00CC6091">
      <w:pPr>
        <w:tabs>
          <w:tab w:val="right" w:leader="dot" w:pos="8891"/>
        </w:tabs>
        <w:ind w:left="567" w:right="537" w:hanging="567"/>
        <w:rPr>
          <w:lang w:bidi="tr-TR"/>
        </w:rPr>
      </w:pPr>
      <w:r w:rsidRPr="00EC6553">
        <w:rPr>
          <w:lang w:bidi="tr-TR"/>
        </w:rPr>
        <w:t>ABSTRACT</w:t>
      </w:r>
      <w:r w:rsidRPr="00EC6553">
        <w:rPr>
          <w:webHidden/>
          <w:lang w:bidi="tr-TR"/>
        </w:rPr>
        <w:tab/>
        <w:t>xi</w:t>
      </w:r>
      <w:r w:rsidR="00B963E0">
        <w:rPr>
          <w:webHidden/>
          <w:lang w:bidi="tr-TR"/>
        </w:rPr>
        <w:t>i</w:t>
      </w:r>
    </w:p>
    <w:p w:rsidR="00CC6091" w:rsidRPr="00EC6553" w:rsidRDefault="00CC6091" w:rsidP="00CC6091">
      <w:pPr>
        <w:tabs>
          <w:tab w:val="right" w:leader="dot" w:pos="8891"/>
        </w:tabs>
        <w:ind w:left="567" w:right="537" w:hanging="567"/>
        <w:rPr>
          <w:lang w:bidi="tr-TR"/>
        </w:rPr>
      </w:pPr>
      <w:r w:rsidRPr="00EC6553">
        <w:rPr>
          <w:lang w:bidi="tr-TR"/>
        </w:rPr>
        <w:t>1. GİRİŞ</w:t>
      </w:r>
      <w:r w:rsidRPr="00EC6553">
        <w:rPr>
          <w:webHidden/>
          <w:lang w:bidi="tr-TR"/>
        </w:rPr>
        <w:tab/>
        <w:t>1</w:t>
      </w:r>
    </w:p>
    <w:p w:rsidR="00CC6091" w:rsidRPr="00EC6553" w:rsidRDefault="00CC6091" w:rsidP="00CC6091">
      <w:pPr>
        <w:tabs>
          <w:tab w:val="right" w:leader="dot" w:pos="8891"/>
        </w:tabs>
        <w:ind w:left="567" w:right="537" w:hanging="567"/>
        <w:rPr>
          <w:lang w:bidi="tr-TR"/>
        </w:rPr>
      </w:pPr>
      <w:r w:rsidRPr="00EC6553">
        <w:rPr>
          <w:lang w:bidi="tr-TR"/>
        </w:rPr>
        <w:t>2. GENEL BİLGİLER</w:t>
      </w:r>
      <w:r w:rsidRPr="00EC6553">
        <w:rPr>
          <w:webHidden/>
          <w:lang w:bidi="tr-TR"/>
        </w:rPr>
        <w:tab/>
        <w:t>4</w:t>
      </w:r>
    </w:p>
    <w:p w:rsidR="00CC6091" w:rsidRPr="00EC6553" w:rsidRDefault="00CC6091" w:rsidP="00CC6091">
      <w:pPr>
        <w:tabs>
          <w:tab w:val="right" w:leader="dot" w:pos="8891"/>
        </w:tabs>
        <w:ind w:left="567" w:right="537" w:hanging="567"/>
        <w:rPr>
          <w:lang w:bidi="tr-TR"/>
        </w:rPr>
      </w:pPr>
      <w:r w:rsidRPr="00EC6553">
        <w:rPr>
          <w:lang w:bidi="tr-TR"/>
        </w:rPr>
        <w:t>2.1. Miyeloproliferatif Hastalıklara Genel Bakış</w:t>
      </w:r>
      <w:r w:rsidRPr="00EC6553">
        <w:rPr>
          <w:webHidden/>
          <w:lang w:bidi="tr-TR"/>
        </w:rPr>
        <w:tab/>
        <w:t>4</w:t>
      </w:r>
    </w:p>
    <w:p w:rsidR="00CC6091" w:rsidRPr="00EC6553" w:rsidRDefault="00CC6091" w:rsidP="00CC6091">
      <w:pPr>
        <w:tabs>
          <w:tab w:val="right" w:leader="dot" w:pos="8891"/>
        </w:tabs>
        <w:ind w:left="567" w:right="537" w:hanging="567"/>
        <w:rPr>
          <w:lang w:bidi="tr-TR"/>
        </w:rPr>
      </w:pPr>
      <w:r w:rsidRPr="00EC6553">
        <w:rPr>
          <w:lang w:bidi="tr-TR"/>
        </w:rPr>
        <w:t>2.2. Esansiyel (Primer) Trombositoz</w:t>
      </w:r>
      <w:r w:rsidRPr="00EC6553">
        <w:rPr>
          <w:webHidden/>
          <w:lang w:bidi="tr-TR"/>
        </w:rPr>
        <w:tab/>
        <w:t>5</w:t>
      </w:r>
    </w:p>
    <w:p w:rsidR="00CC6091" w:rsidRPr="00EC6553" w:rsidRDefault="00CC6091" w:rsidP="00CC6091">
      <w:pPr>
        <w:tabs>
          <w:tab w:val="right" w:leader="dot" w:pos="8891"/>
        </w:tabs>
        <w:ind w:left="567" w:right="537" w:hanging="567"/>
        <w:rPr>
          <w:lang w:bidi="tr-TR"/>
        </w:rPr>
      </w:pPr>
      <w:r w:rsidRPr="00EC6553">
        <w:rPr>
          <w:lang w:bidi="tr-TR"/>
        </w:rPr>
        <w:t>2.2.1. Epidemiyoloji</w:t>
      </w:r>
      <w:r w:rsidRPr="00EC6553">
        <w:rPr>
          <w:webHidden/>
          <w:lang w:bidi="tr-TR"/>
        </w:rPr>
        <w:tab/>
        <w:t>5</w:t>
      </w:r>
    </w:p>
    <w:p w:rsidR="00CC6091" w:rsidRPr="00EC6553" w:rsidRDefault="00CC6091" w:rsidP="00CC6091">
      <w:pPr>
        <w:tabs>
          <w:tab w:val="right" w:leader="dot" w:pos="8891"/>
        </w:tabs>
        <w:ind w:left="567" w:right="537" w:hanging="567"/>
        <w:rPr>
          <w:lang w:bidi="tr-TR"/>
        </w:rPr>
      </w:pPr>
      <w:r w:rsidRPr="00EC6553">
        <w:rPr>
          <w:lang w:bidi="tr-TR"/>
        </w:rPr>
        <w:t>2.2.2. Patogenez</w:t>
      </w:r>
      <w:r w:rsidRPr="00EC6553">
        <w:rPr>
          <w:webHidden/>
          <w:lang w:bidi="tr-TR"/>
        </w:rPr>
        <w:tab/>
        <w:t>6</w:t>
      </w:r>
    </w:p>
    <w:p w:rsidR="00CC6091" w:rsidRPr="00AB389D" w:rsidRDefault="00CC6091" w:rsidP="00CC6091">
      <w:pPr>
        <w:tabs>
          <w:tab w:val="right" w:leader="dot" w:pos="8891"/>
        </w:tabs>
        <w:ind w:left="567" w:right="537" w:hanging="567"/>
        <w:rPr>
          <w:lang w:bidi="tr-TR"/>
        </w:rPr>
      </w:pPr>
      <w:r w:rsidRPr="00AB389D">
        <w:rPr>
          <w:lang w:bidi="tr-TR"/>
        </w:rPr>
        <w:t>2.2.3. Tanı</w:t>
      </w:r>
      <w:r w:rsidRPr="00AB389D">
        <w:rPr>
          <w:webHidden/>
          <w:lang w:bidi="tr-TR"/>
        </w:rPr>
        <w:tab/>
        <w:t>7</w:t>
      </w:r>
    </w:p>
    <w:p w:rsidR="00CC6091" w:rsidRPr="00B963E0" w:rsidRDefault="00CC6091" w:rsidP="00CC6091">
      <w:pPr>
        <w:tabs>
          <w:tab w:val="right" w:leader="dot" w:pos="8891"/>
        </w:tabs>
        <w:ind w:left="567" w:right="537" w:hanging="567"/>
        <w:rPr>
          <w:lang w:bidi="tr-TR"/>
        </w:rPr>
      </w:pPr>
      <w:r w:rsidRPr="00B963E0">
        <w:rPr>
          <w:rStyle w:val="Kpr"/>
          <w:color w:val="auto"/>
          <w:u w:val="none"/>
        </w:rPr>
        <w:t>2</w:t>
      </w:r>
      <w:r w:rsidRPr="00B963E0">
        <w:rPr>
          <w:lang w:bidi="tr-TR"/>
        </w:rPr>
        <w:t>.2.4. Tedavi</w:t>
      </w:r>
      <w:r w:rsidRPr="00B963E0">
        <w:rPr>
          <w:webHidden/>
          <w:lang w:bidi="tr-TR"/>
        </w:rPr>
        <w:tab/>
        <w:t>9</w:t>
      </w:r>
    </w:p>
    <w:p w:rsidR="00CC6091" w:rsidRPr="00EC6553" w:rsidRDefault="00CC6091" w:rsidP="00CC6091">
      <w:pPr>
        <w:tabs>
          <w:tab w:val="right" w:leader="dot" w:pos="8891"/>
        </w:tabs>
        <w:ind w:left="567" w:right="537" w:hanging="567"/>
        <w:rPr>
          <w:lang w:bidi="tr-TR"/>
        </w:rPr>
      </w:pPr>
      <w:r w:rsidRPr="00AB389D">
        <w:rPr>
          <w:lang w:bidi="tr-TR"/>
        </w:rPr>
        <w:t xml:space="preserve">2.3. Janus Kinaz ve </w:t>
      </w:r>
      <w:r w:rsidRPr="00EC6553">
        <w:rPr>
          <w:lang w:bidi="tr-TR"/>
        </w:rPr>
        <w:t>Sinyal İletimi</w:t>
      </w:r>
      <w:r w:rsidRPr="00EC6553">
        <w:rPr>
          <w:webHidden/>
          <w:lang w:bidi="tr-TR"/>
        </w:rPr>
        <w:tab/>
        <w:t>11</w:t>
      </w:r>
    </w:p>
    <w:p w:rsidR="00CC6091" w:rsidRPr="00EC6553" w:rsidRDefault="00CC6091" w:rsidP="00CC6091">
      <w:pPr>
        <w:tabs>
          <w:tab w:val="right" w:leader="dot" w:pos="8891"/>
        </w:tabs>
        <w:ind w:left="567" w:right="537" w:hanging="567"/>
        <w:rPr>
          <w:lang w:bidi="tr-TR"/>
        </w:rPr>
      </w:pPr>
      <w:r w:rsidRPr="00EC6553">
        <w:rPr>
          <w:lang w:bidi="tr-TR"/>
        </w:rPr>
        <w:t>2.3.1. Janus Kinaz</w:t>
      </w:r>
      <w:r w:rsidRPr="00EC6553">
        <w:rPr>
          <w:webHidden/>
          <w:lang w:bidi="tr-TR"/>
        </w:rPr>
        <w:tab/>
        <w:t>11</w:t>
      </w:r>
    </w:p>
    <w:p w:rsidR="00CC6091" w:rsidRPr="00EC6553" w:rsidRDefault="00CC6091" w:rsidP="00CC6091">
      <w:pPr>
        <w:tabs>
          <w:tab w:val="right" w:leader="dot" w:pos="8891"/>
        </w:tabs>
        <w:ind w:left="567" w:right="537" w:hanging="567"/>
        <w:rPr>
          <w:lang w:bidi="tr-TR"/>
        </w:rPr>
      </w:pPr>
      <w:r w:rsidRPr="00EC6553">
        <w:rPr>
          <w:lang w:bidi="tr-TR"/>
        </w:rPr>
        <w:t>2.3.2. Sinyal İletimi</w:t>
      </w:r>
      <w:r w:rsidRPr="00EC6553">
        <w:rPr>
          <w:webHidden/>
          <w:lang w:bidi="tr-TR"/>
        </w:rPr>
        <w:tab/>
        <w:t>12</w:t>
      </w:r>
    </w:p>
    <w:p w:rsidR="00CC6091" w:rsidRPr="00EC6553" w:rsidRDefault="00CC6091" w:rsidP="00CC6091">
      <w:pPr>
        <w:tabs>
          <w:tab w:val="right" w:leader="dot" w:pos="8891"/>
        </w:tabs>
        <w:ind w:left="567" w:right="537" w:hanging="567"/>
        <w:rPr>
          <w:lang w:bidi="tr-TR"/>
        </w:rPr>
      </w:pPr>
      <w:r w:rsidRPr="00EC6553">
        <w:rPr>
          <w:lang w:bidi="tr-TR"/>
        </w:rPr>
        <w:t>2.3.3. JAK2 Mutasyonunun Primer Trombositoz ile İlişkisi</w:t>
      </w:r>
      <w:r w:rsidRPr="00EC6553">
        <w:rPr>
          <w:webHidden/>
          <w:lang w:bidi="tr-TR"/>
        </w:rPr>
        <w:tab/>
        <w:t>14</w:t>
      </w:r>
    </w:p>
    <w:p w:rsidR="00CC6091" w:rsidRPr="00EC6553" w:rsidRDefault="00CC6091" w:rsidP="00CC6091">
      <w:pPr>
        <w:tabs>
          <w:tab w:val="right" w:leader="dot" w:pos="8891"/>
        </w:tabs>
        <w:ind w:left="567" w:right="537" w:hanging="567"/>
        <w:rPr>
          <w:lang w:bidi="tr-TR"/>
        </w:rPr>
      </w:pPr>
      <w:r w:rsidRPr="00EC6553">
        <w:rPr>
          <w:lang w:bidi="tr-TR"/>
        </w:rPr>
        <w:t>3. GEREÇ VE YÖNTEM</w:t>
      </w:r>
      <w:r w:rsidRPr="00EC6553">
        <w:rPr>
          <w:webHidden/>
          <w:lang w:bidi="tr-TR"/>
        </w:rPr>
        <w:tab/>
        <w:t>16</w:t>
      </w:r>
    </w:p>
    <w:p w:rsidR="00CC6091" w:rsidRPr="00EC6553" w:rsidRDefault="00CC6091" w:rsidP="00CC6091">
      <w:pPr>
        <w:tabs>
          <w:tab w:val="right" w:leader="dot" w:pos="8891"/>
        </w:tabs>
        <w:ind w:left="567" w:right="537" w:hanging="567"/>
        <w:rPr>
          <w:lang w:bidi="tr-TR"/>
        </w:rPr>
      </w:pPr>
      <w:r w:rsidRPr="00EC6553">
        <w:rPr>
          <w:lang w:bidi="tr-TR"/>
        </w:rPr>
        <w:t>3.1. Gereç</w:t>
      </w:r>
      <w:r w:rsidRPr="00EC6553">
        <w:rPr>
          <w:webHidden/>
          <w:lang w:bidi="tr-TR"/>
        </w:rPr>
        <w:tab/>
        <w:t>16</w:t>
      </w:r>
    </w:p>
    <w:p w:rsidR="00CC6091" w:rsidRPr="00EC6553" w:rsidRDefault="00CC6091" w:rsidP="00CC6091">
      <w:pPr>
        <w:tabs>
          <w:tab w:val="right" w:leader="dot" w:pos="8891"/>
        </w:tabs>
        <w:ind w:left="567" w:right="537" w:hanging="567"/>
        <w:rPr>
          <w:lang w:bidi="tr-TR"/>
        </w:rPr>
      </w:pPr>
      <w:r w:rsidRPr="00EC6553">
        <w:rPr>
          <w:lang w:bidi="tr-TR"/>
        </w:rPr>
        <w:t>3.1.1. Cihazlar</w:t>
      </w:r>
      <w:r w:rsidRPr="00EC6553">
        <w:rPr>
          <w:webHidden/>
          <w:lang w:bidi="tr-TR"/>
        </w:rPr>
        <w:tab/>
        <w:t>16</w:t>
      </w:r>
    </w:p>
    <w:p w:rsidR="00CC6091" w:rsidRPr="00EC6553" w:rsidRDefault="00CC6091" w:rsidP="00CC6091">
      <w:pPr>
        <w:tabs>
          <w:tab w:val="right" w:leader="dot" w:pos="8891"/>
        </w:tabs>
        <w:ind w:left="567" w:right="537" w:hanging="567"/>
        <w:rPr>
          <w:lang w:bidi="tr-TR"/>
        </w:rPr>
      </w:pPr>
      <w:r w:rsidRPr="00EC6553">
        <w:rPr>
          <w:lang w:bidi="tr-TR"/>
        </w:rPr>
        <w:t>3.1.2. Kullanılan Kimyasal Maddeler</w:t>
      </w:r>
      <w:r w:rsidRPr="00EC6553">
        <w:rPr>
          <w:webHidden/>
          <w:lang w:bidi="tr-TR"/>
        </w:rPr>
        <w:tab/>
        <w:t>18</w:t>
      </w:r>
    </w:p>
    <w:p w:rsidR="00CC6091" w:rsidRPr="00EC6553" w:rsidRDefault="00CC6091" w:rsidP="00CC6091">
      <w:pPr>
        <w:tabs>
          <w:tab w:val="right" w:leader="dot" w:pos="8891"/>
        </w:tabs>
        <w:ind w:left="567" w:right="537" w:hanging="567"/>
        <w:rPr>
          <w:lang w:bidi="tr-TR"/>
        </w:rPr>
      </w:pPr>
      <w:r w:rsidRPr="00EC6553">
        <w:rPr>
          <w:lang w:bidi="tr-TR"/>
        </w:rPr>
        <w:t>3.2. Yöntem</w:t>
      </w:r>
      <w:r w:rsidRPr="00EC6553">
        <w:rPr>
          <w:webHidden/>
          <w:lang w:bidi="tr-TR"/>
        </w:rPr>
        <w:tab/>
        <w:t>1</w:t>
      </w:r>
      <w:r>
        <w:rPr>
          <w:webHidden/>
          <w:lang w:bidi="tr-TR"/>
        </w:rPr>
        <w:t>8</w:t>
      </w:r>
    </w:p>
    <w:p w:rsidR="00CC6091" w:rsidRPr="00EC6553" w:rsidRDefault="00CC6091" w:rsidP="00CC6091">
      <w:pPr>
        <w:tabs>
          <w:tab w:val="right" w:leader="dot" w:pos="8891"/>
        </w:tabs>
        <w:ind w:left="567" w:right="537" w:hanging="567"/>
        <w:rPr>
          <w:lang w:bidi="tr-TR"/>
        </w:rPr>
      </w:pPr>
      <w:r w:rsidRPr="00EC6553">
        <w:rPr>
          <w:lang w:bidi="tr-TR"/>
        </w:rPr>
        <w:t>3.2.1. Kan Parametrelerinin Analizi</w:t>
      </w:r>
      <w:r w:rsidRPr="00EC6553">
        <w:rPr>
          <w:webHidden/>
          <w:lang w:bidi="tr-TR"/>
        </w:rPr>
        <w:tab/>
        <w:t>1</w:t>
      </w:r>
      <w:r>
        <w:rPr>
          <w:webHidden/>
          <w:lang w:bidi="tr-TR"/>
        </w:rPr>
        <w:t>8</w:t>
      </w:r>
    </w:p>
    <w:p w:rsidR="00CC6091" w:rsidRPr="00EC6553" w:rsidRDefault="00CC6091" w:rsidP="00CC6091">
      <w:pPr>
        <w:tabs>
          <w:tab w:val="right" w:leader="dot" w:pos="8891"/>
        </w:tabs>
        <w:ind w:left="567" w:right="537" w:hanging="567"/>
        <w:rPr>
          <w:lang w:bidi="tr-TR"/>
        </w:rPr>
      </w:pPr>
      <w:r w:rsidRPr="00EC6553">
        <w:rPr>
          <w:lang w:bidi="tr-TR"/>
        </w:rPr>
        <w:t>3.2.2. DNA İzolasyonu</w:t>
      </w:r>
      <w:r w:rsidRPr="00EC6553">
        <w:rPr>
          <w:webHidden/>
          <w:lang w:bidi="tr-TR"/>
        </w:rPr>
        <w:tab/>
        <w:t>19</w:t>
      </w:r>
    </w:p>
    <w:p w:rsidR="00CC6091" w:rsidRPr="00EC6553" w:rsidRDefault="00CC6091" w:rsidP="00CC6091">
      <w:pPr>
        <w:tabs>
          <w:tab w:val="right" w:leader="dot" w:pos="8891"/>
        </w:tabs>
        <w:ind w:left="567" w:right="537" w:hanging="567"/>
        <w:rPr>
          <w:lang w:bidi="tr-TR"/>
        </w:rPr>
      </w:pPr>
      <w:r w:rsidRPr="00EC6553">
        <w:rPr>
          <w:lang w:bidi="tr-TR"/>
        </w:rPr>
        <w:t>3.2.3. V617F Nokta Mutasyonunun Saptanması</w:t>
      </w:r>
      <w:r w:rsidRPr="00EC6553">
        <w:rPr>
          <w:webHidden/>
          <w:lang w:bidi="tr-TR"/>
        </w:rPr>
        <w:tab/>
        <w:t>20</w:t>
      </w:r>
    </w:p>
    <w:p w:rsidR="00CC6091" w:rsidRPr="00EC6553" w:rsidRDefault="00CC6091" w:rsidP="00CC6091">
      <w:pPr>
        <w:tabs>
          <w:tab w:val="right" w:leader="dot" w:pos="8891"/>
        </w:tabs>
        <w:ind w:left="567" w:right="537" w:hanging="567"/>
        <w:rPr>
          <w:lang w:bidi="tr-TR"/>
        </w:rPr>
      </w:pPr>
      <w:r w:rsidRPr="00EC6553">
        <w:rPr>
          <w:lang w:bidi="tr-TR"/>
        </w:rPr>
        <w:t>3.2.4.Çalışma Protokolü</w:t>
      </w:r>
      <w:r w:rsidRPr="00EC6553">
        <w:rPr>
          <w:webHidden/>
          <w:lang w:bidi="tr-TR"/>
        </w:rPr>
        <w:tab/>
        <w:t>2</w:t>
      </w:r>
      <w:r>
        <w:rPr>
          <w:webHidden/>
          <w:lang w:bidi="tr-TR"/>
        </w:rPr>
        <w:t>0</w:t>
      </w:r>
    </w:p>
    <w:p w:rsidR="00CC6091" w:rsidRPr="00EC6553" w:rsidRDefault="00CC6091" w:rsidP="00CC6091">
      <w:pPr>
        <w:tabs>
          <w:tab w:val="right" w:leader="dot" w:pos="8891"/>
        </w:tabs>
        <w:ind w:left="567" w:right="537" w:hanging="567"/>
        <w:rPr>
          <w:lang w:bidi="tr-TR"/>
        </w:rPr>
      </w:pPr>
      <w:r w:rsidRPr="00EC6553">
        <w:rPr>
          <w:lang w:bidi="tr-TR"/>
        </w:rPr>
        <w:lastRenderedPageBreak/>
        <w:t>3.3. İstatistiksel Değerlendirme</w:t>
      </w:r>
      <w:r w:rsidRPr="00EC6553">
        <w:rPr>
          <w:webHidden/>
          <w:lang w:bidi="tr-TR"/>
        </w:rPr>
        <w:tab/>
        <w:t>2</w:t>
      </w:r>
      <w:r>
        <w:rPr>
          <w:webHidden/>
          <w:lang w:bidi="tr-TR"/>
        </w:rPr>
        <w:t>3</w:t>
      </w:r>
    </w:p>
    <w:p w:rsidR="00CC6091" w:rsidRPr="00EC6553" w:rsidRDefault="00CC6091" w:rsidP="00CC6091">
      <w:pPr>
        <w:tabs>
          <w:tab w:val="right" w:leader="dot" w:pos="8891"/>
        </w:tabs>
        <w:ind w:left="567" w:right="537" w:hanging="567"/>
        <w:rPr>
          <w:lang w:bidi="tr-TR"/>
        </w:rPr>
      </w:pPr>
      <w:r w:rsidRPr="00EC6553">
        <w:rPr>
          <w:lang w:bidi="tr-TR"/>
        </w:rPr>
        <w:t>4. BULGULAR</w:t>
      </w:r>
      <w:r w:rsidRPr="00EC6553">
        <w:rPr>
          <w:webHidden/>
          <w:lang w:bidi="tr-TR"/>
        </w:rPr>
        <w:tab/>
        <w:t>2</w:t>
      </w:r>
      <w:r>
        <w:rPr>
          <w:webHidden/>
          <w:lang w:bidi="tr-TR"/>
        </w:rPr>
        <w:t>4</w:t>
      </w:r>
    </w:p>
    <w:p w:rsidR="00CC6091" w:rsidRPr="00EC6553" w:rsidRDefault="00CC6091" w:rsidP="00CC6091">
      <w:pPr>
        <w:tabs>
          <w:tab w:val="right" w:leader="dot" w:pos="8891"/>
        </w:tabs>
        <w:ind w:left="567" w:right="537" w:hanging="567"/>
        <w:rPr>
          <w:lang w:bidi="tr-TR"/>
        </w:rPr>
      </w:pPr>
      <w:r w:rsidRPr="00EC6553">
        <w:rPr>
          <w:lang w:bidi="tr-TR"/>
        </w:rPr>
        <w:t>5. TARTIŞMA</w:t>
      </w:r>
      <w:r w:rsidRPr="00EC6553">
        <w:rPr>
          <w:webHidden/>
          <w:lang w:bidi="tr-TR"/>
        </w:rPr>
        <w:tab/>
      </w:r>
      <w:r>
        <w:rPr>
          <w:webHidden/>
          <w:lang w:bidi="tr-TR"/>
        </w:rPr>
        <w:t>29</w:t>
      </w:r>
    </w:p>
    <w:p w:rsidR="00CC6091" w:rsidRPr="00EC6553" w:rsidRDefault="00CC6091" w:rsidP="00CC6091">
      <w:pPr>
        <w:tabs>
          <w:tab w:val="right" w:leader="dot" w:pos="8891"/>
        </w:tabs>
        <w:ind w:left="567" w:right="537" w:hanging="567"/>
        <w:rPr>
          <w:lang w:bidi="tr-TR"/>
        </w:rPr>
      </w:pPr>
      <w:r w:rsidRPr="00EC6553">
        <w:rPr>
          <w:lang w:bidi="tr-TR"/>
        </w:rPr>
        <w:t>6. SONUÇ VE ÖNERİLER</w:t>
      </w:r>
      <w:r w:rsidRPr="00EC6553">
        <w:rPr>
          <w:webHidden/>
          <w:lang w:bidi="tr-TR"/>
        </w:rPr>
        <w:tab/>
        <w:t>3</w:t>
      </w:r>
      <w:r>
        <w:rPr>
          <w:webHidden/>
          <w:lang w:bidi="tr-TR"/>
        </w:rPr>
        <w:t>6</w:t>
      </w:r>
    </w:p>
    <w:p w:rsidR="00CC6091" w:rsidRPr="00EC6553" w:rsidRDefault="00CC6091" w:rsidP="00CC6091">
      <w:pPr>
        <w:tabs>
          <w:tab w:val="right" w:leader="dot" w:pos="8891"/>
        </w:tabs>
        <w:ind w:left="567" w:right="537" w:hanging="567"/>
        <w:rPr>
          <w:lang w:bidi="tr-TR"/>
        </w:rPr>
      </w:pPr>
      <w:r w:rsidRPr="00EC6553">
        <w:rPr>
          <w:lang w:bidi="tr-TR"/>
        </w:rPr>
        <w:t>KAYNAKLAR</w:t>
      </w:r>
      <w:r w:rsidRPr="00EC6553">
        <w:rPr>
          <w:webHidden/>
          <w:lang w:bidi="tr-TR"/>
        </w:rPr>
        <w:tab/>
        <w:t>3</w:t>
      </w:r>
      <w:r>
        <w:rPr>
          <w:webHidden/>
          <w:lang w:bidi="tr-TR"/>
        </w:rPr>
        <w:t>7</w:t>
      </w:r>
    </w:p>
    <w:p w:rsidR="00FF2922" w:rsidRPr="00EC6553" w:rsidRDefault="00FF2922" w:rsidP="00FF2922">
      <w:pPr>
        <w:tabs>
          <w:tab w:val="right" w:leader="dot" w:pos="8891"/>
        </w:tabs>
        <w:ind w:left="567" w:right="537" w:hanging="567"/>
        <w:rPr>
          <w:lang w:bidi="tr-TR"/>
        </w:rPr>
      </w:pPr>
      <w:r>
        <w:rPr>
          <w:lang w:bidi="tr-TR"/>
        </w:rPr>
        <w:t>EKLER</w:t>
      </w:r>
      <w:r w:rsidRPr="00EC6553">
        <w:rPr>
          <w:webHidden/>
          <w:lang w:bidi="tr-TR"/>
        </w:rPr>
        <w:tab/>
      </w:r>
      <w:r>
        <w:rPr>
          <w:webHidden/>
          <w:lang w:bidi="tr-TR"/>
        </w:rPr>
        <w:t>49</w:t>
      </w:r>
    </w:p>
    <w:p w:rsidR="00FF2922" w:rsidRPr="00EC6553" w:rsidRDefault="00FF2922" w:rsidP="00FF2922">
      <w:pPr>
        <w:tabs>
          <w:tab w:val="right" w:leader="dot" w:pos="8891"/>
        </w:tabs>
        <w:ind w:left="567" w:right="537" w:hanging="567"/>
        <w:rPr>
          <w:lang w:bidi="tr-TR"/>
        </w:rPr>
      </w:pPr>
      <w:r>
        <w:rPr>
          <w:lang w:bidi="tr-TR"/>
        </w:rPr>
        <w:t>Ek 1 Etik Kurul Onayı</w:t>
      </w:r>
      <w:r w:rsidRPr="00EC6553">
        <w:rPr>
          <w:webHidden/>
          <w:lang w:bidi="tr-TR"/>
        </w:rPr>
        <w:tab/>
      </w:r>
      <w:r>
        <w:rPr>
          <w:webHidden/>
          <w:lang w:bidi="tr-TR"/>
        </w:rPr>
        <w:t>49</w:t>
      </w:r>
    </w:p>
    <w:p w:rsidR="00CC6091" w:rsidRPr="00EC6553" w:rsidRDefault="00CC6091" w:rsidP="00CC6091">
      <w:pPr>
        <w:tabs>
          <w:tab w:val="right" w:leader="dot" w:pos="8891"/>
        </w:tabs>
        <w:ind w:left="567" w:right="537" w:hanging="567"/>
        <w:rPr>
          <w:lang w:bidi="tr-TR"/>
        </w:rPr>
      </w:pPr>
      <w:r w:rsidRPr="00EC6553">
        <w:rPr>
          <w:lang w:bidi="tr-TR"/>
        </w:rPr>
        <w:t>ÖZGEÇMİŞ</w:t>
      </w:r>
      <w:r w:rsidRPr="00EC6553">
        <w:rPr>
          <w:webHidden/>
          <w:lang w:bidi="tr-TR"/>
        </w:rPr>
        <w:tab/>
      </w:r>
      <w:r w:rsidR="00FF2922">
        <w:rPr>
          <w:webHidden/>
          <w:lang w:bidi="tr-TR"/>
        </w:rPr>
        <w:t>50</w:t>
      </w:r>
    </w:p>
    <w:p w:rsidR="00CC6091" w:rsidRDefault="00CC6091" w:rsidP="00CC6091">
      <w:pPr>
        <w:ind w:right="537" w:firstLine="0"/>
      </w:pPr>
    </w:p>
    <w:p w:rsidR="00CC6091" w:rsidRDefault="00CC6091" w:rsidP="00CC6091">
      <w:pPr>
        <w:spacing w:after="200" w:line="276" w:lineRule="auto"/>
        <w:ind w:right="537" w:firstLine="0"/>
        <w:jc w:val="left"/>
      </w:pPr>
      <w:r>
        <w:br w:type="page"/>
      </w:r>
      <w:bookmarkStart w:id="4" w:name="_GoBack"/>
      <w:bookmarkEnd w:id="4"/>
    </w:p>
    <w:p w:rsidR="00CC6091" w:rsidRPr="00A12194" w:rsidRDefault="00CC6091" w:rsidP="00CC6091">
      <w:pPr>
        <w:ind w:right="537" w:firstLine="0"/>
        <w:jc w:val="center"/>
        <w:rPr>
          <w:rFonts w:eastAsia="MS Mincho"/>
          <w:b/>
          <w:sz w:val="28"/>
          <w:szCs w:val="28"/>
        </w:rPr>
      </w:pPr>
      <w:r w:rsidRPr="00A12194">
        <w:rPr>
          <w:rFonts w:eastAsia="MS Mincho"/>
          <w:b/>
          <w:sz w:val="28"/>
          <w:szCs w:val="28"/>
        </w:rPr>
        <w:lastRenderedPageBreak/>
        <w:t>SİMGELER VE KISALTMALAR DİZİNİ</w:t>
      </w:r>
    </w:p>
    <w:p w:rsidR="00CC6091" w:rsidRPr="00A12194" w:rsidRDefault="00CC6091" w:rsidP="00CC6091">
      <w:pPr>
        <w:ind w:right="537" w:firstLine="0"/>
        <w:jc w:val="center"/>
        <w:rPr>
          <w:rFonts w:eastAsia="Calibri"/>
          <w:b/>
        </w:rPr>
      </w:pPr>
    </w:p>
    <w:p w:rsidR="00CC6091" w:rsidRPr="00A12194" w:rsidRDefault="00CC6091" w:rsidP="00CC6091">
      <w:pPr>
        <w:ind w:right="537" w:firstLine="0"/>
        <w:jc w:val="center"/>
        <w:rPr>
          <w:rFonts w:eastAsia="Calibri"/>
          <w:b/>
        </w:rPr>
      </w:pPr>
    </w:p>
    <w:p w:rsidR="00CC6091" w:rsidRDefault="00CC6091" w:rsidP="00CC6091">
      <w:pPr>
        <w:tabs>
          <w:tab w:val="left" w:pos="1134"/>
        </w:tabs>
        <w:ind w:right="537" w:firstLine="0"/>
      </w:pPr>
      <w:r w:rsidRPr="00A12194">
        <w:rPr>
          <w:b/>
        </w:rPr>
        <w:t>BCR-ABL</w:t>
      </w:r>
      <w:r w:rsidRPr="00A12194">
        <w:rPr>
          <w:b/>
        </w:rPr>
        <w:tab/>
        <w:t>:</w:t>
      </w:r>
      <w:r>
        <w:t xml:space="preserve"> Break küme bölgesi-abelson </w:t>
      </w:r>
    </w:p>
    <w:p w:rsidR="00CC6091" w:rsidRDefault="00CC6091" w:rsidP="00CC6091">
      <w:pPr>
        <w:tabs>
          <w:tab w:val="left" w:pos="1134"/>
        </w:tabs>
        <w:ind w:right="537" w:firstLine="0"/>
      </w:pPr>
      <w:r w:rsidRPr="00A12194">
        <w:rPr>
          <w:b/>
        </w:rPr>
        <w:t>CALR</w:t>
      </w:r>
      <w:r w:rsidRPr="00A12194">
        <w:rPr>
          <w:b/>
        </w:rPr>
        <w:tab/>
        <w:t>:</w:t>
      </w:r>
      <w:r>
        <w:t xml:space="preserve"> Kalretikülin</w:t>
      </w:r>
    </w:p>
    <w:p w:rsidR="00CC6091" w:rsidRDefault="00CC6091" w:rsidP="00CC6091">
      <w:pPr>
        <w:tabs>
          <w:tab w:val="left" w:pos="1134"/>
        </w:tabs>
        <w:ind w:right="537" w:firstLine="0"/>
      </w:pPr>
      <w:r w:rsidRPr="00A12194">
        <w:rPr>
          <w:b/>
        </w:rPr>
        <w:t>CBC</w:t>
      </w:r>
      <w:r w:rsidRPr="00A12194">
        <w:rPr>
          <w:b/>
        </w:rPr>
        <w:tab/>
        <w:t>:</w:t>
      </w:r>
      <w:r>
        <w:t xml:space="preserve"> Tam kan sayımı</w:t>
      </w:r>
    </w:p>
    <w:p w:rsidR="00CC6091" w:rsidRPr="00506222" w:rsidRDefault="00CC6091" w:rsidP="00CC6091">
      <w:pPr>
        <w:tabs>
          <w:tab w:val="left" w:pos="1134"/>
        </w:tabs>
        <w:ind w:right="537" w:firstLine="0"/>
      </w:pPr>
      <w:proofErr w:type="gramStart"/>
      <w:r w:rsidRPr="00A12194">
        <w:rPr>
          <w:b/>
        </w:rPr>
        <w:t>c</w:t>
      </w:r>
      <w:proofErr w:type="gramEnd"/>
      <w:r w:rsidRPr="00A12194">
        <w:rPr>
          <w:b/>
        </w:rPr>
        <w:t>-MPL</w:t>
      </w:r>
      <w:r w:rsidRPr="00A12194">
        <w:rPr>
          <w:b/>
        </w:rPr>
        <w:tab/>
        <w:t>:</w:t>
      </w:r>
      <w:r>
        <w:t xml:space="preserve"> Trombopoietin rese</w:t>
      </w:r>
      <w:r w:rsidRPr="00506222">
        <w:t xml:space="preserve">ptörü </w:t>
      </w:r>
    </w:p>
    <w:p w:rsidR="00CC6091" w:rsidRDefault="00CC6091" w:rsidP="00CC6091">
      <w:pPr>
        <w:tabs>
          <w:tab w:val="left" w:pos="1134"/>
        </w:tabs>
        <w:ind w:right="537" w:firstLine="0"/>
      </w:pPr>
      <w:r w:rsidRPr="00A12194">
        <w:rPr>
          <w:b/>
        </w:rPr>
        <w:t>DSÖ</w:t>
      </w:r>
      <w:r w:rsidRPr="00A12194">
        <w:rPr>
          <w:b/>
        </w:rPr>
        <w:tab/>
        <w:t>:</w:t>
      </w:r>
      <w:r>
        <w:t xml:space="preserve"> Dünya Sağlık Örgütü </w:t>
      </w:r>
    </w:p>
    <w:p w:rsidR="00CC6091" w:rsidRPr="005C7B18" w:rsidRDefault="00CC6091" w:rsidP="00CC6091">
      <w:pPr>
        <w:tabs>
          <w:tab w:val="left" w:pos="1134"/>
        </w:tabs>
        <w:ind w:right="537" w:firstLine="0"/>
      </w:pPr>
      <w:r w:rsidRPr="00A12194">
        <w:rPr>
          <w:b/>
        </w:rPr>
        <w:t>EDTA</w:t>
      </w:r>
      <w:r w:rsidRPr="00A12194">
        <w:rPr>
          <w:b/>
        </w:rPr>
        <w:tab/>
        <w:t>:</w:t>
      </w:r>
      <w:r w:rsidRPr="005C7B18">
        <w:t xml:space="preserve">Etilendiamin tetra asetik asit </w:t>
      </w:r>
    </w:p>
    <w:p w:rsidR="00CC6091" w:rsidRDefault="00CC6091" w:rsidP="00CC6091">
      <w:pPr>
        <w:tabs>
          <w:tab w:val="left" w:pos="1134"/>
        </w:tabs>
        <w:ind w:right="537" w:firstLine="0"/>
      </w:pPr>
      <w:r w:rsidRPr="00A12194">
        <w:rPr>
          <w:b/>
        </w:rPr>
        <w:t>EGFR</w:t>
      </w:r>
      <w:r w:rsidRPr="00A12194">
        <w:rPr>
          <w:b/>
        </w:rPr>
        <w:tab/>
        <w:t>:</w:t>
      </w:r>
      <w:r>
        <w:t xml:space="preserve"> Epidermal Büyüme Faktörü Reseptörü</w:t>
      </w:r>
    </w:p>
    <w:p w:rsidR="00CC6091" w:rsidRDefault="00CC6091" w:rsidP="00CC6091">
      <w:pPr>
        <w:tabs>
          <w:tab w:val="left" w:pos="1134"/>
        </w:tabs>
        <w:ind w:right="537" w:firstLine="0"/>
      </w:pPr>
      <w:r w:rsidRPr="00A12194">
        <w:rPr>
          <w:b/>
        </w:rPr>
        <w:t>EPO</w:t>
      </w:r>
      <w:r w:rsidRPr="00A12194">
        <w:rPr>
          <w:b/>
        </w:rPr>
        <w:tab/>
        <w:t>:</w:t>
      </w:r>
      <w:r>
        <w:t xml:space="preserve"> Eritropoetin</w:t>
      </w:r>
    </w:p>
    <w:p w:rsidR="00CC6091" w:rsidRDefault="00CC6091" w:rsidP="00CC6091">
      <w:pPr>
        <w:tabs>
          <w:tab w:val="left" w:pos="1134"/>
        </w:tabs>
        <w:ind w:right="537" w:firstLine="0"/>
      </w:pPr>
      <w:r w:rsidRPr="00A12194">
        <w:rPr>
          <w:b/>
        </w:rPr>
        <w:t>ESR</w:t>
      </w:r>
      <w:r w:rsidRPr="00A12194">
        <w:rPr>
          <w:b/>
        </w:rPr>
        <w:tab/>
        <w:t>:</w:t>
      </w:r>
      <w:r>
        <w:t xml:space="preserve"> Eritrosit sedimantasyon hızı</w:t>
      </w:r>
    </w:p>
    <w:p w:rsidR="00CC6091" w:rsidRDefault="00CC6091" w:rsidP="00CC6091">
      <w:pPr>
        <w:tabs>
          <w:tab w:val="left" w:pos="1134"/>
        </w:tabs>
        <w:ind w:right="537" w:firstLine="0"/>
      </w:pPr>
      <w:r w:rsidRPr="00A12194">
        <w:rPr>
          <w:b/>
        </w:rPr>
        <w:t>ET</w:t>
      </w:r>
      <w:r w:rsidRPr="00A12194">
        <w:rPr>
          <w:b/>
        </w:rPr>
        <w:tab/>
        <w:t>:</w:t>
      </w:r>
      <w:r>
        <w:t xml:space="preserve"> Esansiyel trombositemi </w:t>
      </w:r>
    </w:p>
    <w:p w:rsidR="00CC6091" w:rsidRDefault="00CC6091" w:rsidP="00CC6091">
      <w:pPr>
        <w:tabs>
          <w:tab w:val="left" w:pos="1134"/>
        </w:tabs>
        <w:ind w:right="537" w:firstLine="0"/>
      </w:pPr>
      <w:r w:rsidRPr="00A12194">
        <w:rPr>
          <w:b/>
        </w:rPr>
        <w:t>fL</w:t>
      </w:r>
      <w:r w:rsidRPr="00A12194">
        <w:rPr>
          <w:b/>
        </w:rPr>
        <w:tab/>
        <w:t>:</w:t>
      </w:r>
      <w:r>
        <w:t xml:space="preserve"> Femtolitre    </w:t>
      </w:r>
    </w:p>
    <w:p w:rsidR="00CC6091" w:rsidRDefault="00CC6091" w:rsidP="00CC6091">
      <w:pPr>
        <w:tabs>
          <w:tab w:val="left" w:pos="1134"/>
        </w:tabs>
        <w:ind w:right="537" w:firstLine="0"/>
      </w:pPr>
      <w:r w:rsidRPr="00A12194">
        <w:rPr>
          <w:b/>
        </w:rPr>
        <w:t>Hb</w:t>
      </w:r>
      <w:r w:rsidRPr="00A12194">
        <w:rPr>
          <w:b/>
        </w:rPr>
        <w:tab/>
        <w:t>:</w:t>
      </w:r>
      <w:r>
        <w:t xml:space="preserve"> Hemoglobin</w:t>
      </w:r>
    </w:p>
    <w:p w:rsidR="00CC6091" w:rsidRDefault="00CC6091" w:rsidP="00CC6091">
      <w:pPr>
        <w:tabs>
          <w:tab w:val="left" w:pos="1134"/>
        </w:tabs>
        <w:ind w:right="537" w:firstLine="0"/>
      </w:pPr>
      <w:r w:rsidRPr="00A12194">
        <w:rPr>
          <w:b/>
        </w:rPr>
        <w:t>HSC</w:t>
      </w:r>
      <w:r w:rsidRPr="00A12194">
        <w:rPr>
          <w:b/>
        </w:rPr>
        <w:tab/>
        <w:t>:</w:t>
      </w:r>
      <w:r>
        <w:t xml:space="preserve"> Hematopoietik kök hücre </w:t>
      </w:r>
    </w:p>
    <w:p w:rsidR="00CC6091" w:rsidRPr="00421DB7" w:rsidRDefault="00CC6091" w:rsidP="00CC6091">
      <w:pPr>
        <w:tabs>
          <w:tab w:val="left" w:pos="1134"/>
        </w:tabs>
        <w:ind w:right="537" w:firstLine="0"/>
      </w:pPr>
      <w:r w:rsidRPr="00A12194">
        <w:rPr>
          <w:b/>
        </w:rPr>
        <w:t>JAK2</w:t>
      </w:r>
      <w:r w:rsidRPr="00A12194">
        <w:rPr>
          <w:b/>
        </w:rPr>
        <w:tab/>
        <w:t>:</w:t>
      </w:r>
      <w:r>
        <w:t xml:space="preserve"> Janus Kinaz 2</w:t>
      </w:r>
    </w:p>
    <w:p w:rsidR="00CC6091" w:rsidRPr="0032657C" w:rsidRDefault="00CC6091" w:rsidP="00CC6091">
      <w:pPr>
        <w:tabs>
          <w:tab w:val="left" w:pos="1134"/>
        </w:tabs>
        <w:ind w:right="537" w:firstLine="0"/>
      </w:pPr>
      <w:r w:rsidRPr="00A12194">
        <w:rPr>
          <w:b/>
        </w:rPr>
        <w:t>JH</w:t>
      </w:r>
      <w:r w:rsidRPr="00A12194">
        <w:rPr>
          <w:b/>
        </w:rPr>
        <w:tab/>
        <w:t>:</w:t>
      </w:r>
      <w:r w:rsidRPr="0032657C">
        <w:t xml:space="preserve">Janus homoloji </w:t>
      </w:r>
    </w:p>
    <w:p w:rsidR="00CC6091" w:rsidRDefault="00CC6091" w:rsidP="00CC6091">
      <w:pPr>
        <w:tabs>
          <w:tab w:val="left" w:pos="1134"/>
        </w:tabs>
        <w:ind w:right="537" w:firstLine="0"/>
      </w:pPr>
      <w:r w:rsidRPr="00A12194">
        <w:rPr>
          <w:b/>
        </w:rPr>
        <w:t>KML</w:t>
      </w:r>
      <w:r w:rsidRPr="00A12194">
        <w:rPr>
          <w:b/>
        </w:rPr>
        <w:tab/>
        <w:t>:</w:t>
      </w:r>
      <w:r>
        <w:t xml:space="preserve"> Kronik myeloid lösemi </w:t>
      </w:r>
    </w:p>
    <w:p w:rsidR="00CC6091" w:rsidRDefault="00CC6091" w:rsidP="00CC6091">
      <w:pPr>
        <w:tabs>
          <w:tab w:val="left" w:pos="1134"/>
        </w:tabs>
        <w:ind w:right="537" w:firstLine="0"/>
      </w:pPr>
      <w:r w:rsidRPr="00A12194">
        <w:rPr>
          <w:b/>
        </w:rPr>
        <w:t>MDS</w:t>
      </w:r>
      <w:r w:rsidRPr="00A12194">
        <w:rPr>
          <w:b/>
        </w:rPr>
        <w:tab/>
        <w:t>:</w:t>
      </w:r>
      <w:r>
        <w:t xml:space="preserve"> Miyelodisplastik </w:t>
      </w:r>
      <w:proofErr w:type="gramStart"/>
      <w:r>
        <w:t>sendrom</w:t>
      </w:r>
      <w:proofErr w:type="gramEnd"/>
    </w:p>
    <w:p w:rsidR="00CC6091" w:rsidRPr="006A67DB" w:rsidRDefault="00CC6091" w:rsidP="00CC6091">
      <w:pPr>
        <w:tabs>
          <w:tab w:val="left" w:pos="1134"/>
        </w:tabs>
        <w:ind w:right="537" w:firstLine="0"/>
      </w:pPr>
      <w:r w:rsidRPr="00A12194">
        <w:rPr>
          <w:b/>
        </w:rPr>
        <w:t>MPB</w:t>
      </w:r>
      <w:r w:rsidRPr="00A12194">
        <w:rPr>
          <w:b/>
        </w:rPr>
        <w:tab/>
        <w:t>:</w:t>
      </w:r>
      <w:r w:rsidRPr="00506222">
        <w:t>M</w:t>
      </w:r>
      <w:r>
        <w:t xml:space="preserve">iyeloproliferatif </w:t>
      </w:r>
      <w:r w:rsidRPr="00506222">
        <w:t xml:space="preserve">bozukluklar </w:t>
      </w:r>
    </w:p>
    <w:p w:rsidR="00CC6091" w:rsidRDefault="00CC6091" w:rsidP="00CC6091">
      <w:pPr>
        <w:tabs>
          <w:tab w:val="left" w:pos="1134"/>
        </w:tabs>
        <w:ind w:right="537" w:firstLine="0"/>
      </w:pPr>
      <w:r w:rsidRPr="00A12194">
        <w:rPr>
          <w:b/>
        </w:rPr>
        <w:t>MPH</w:t>
      </w:r>
      <w:r w:rsidRPr="00A12194">
        <w:rPr>
          <w:b/>
        </w:rPr>
        <w:tab/>
        <w:t>:</w:t>
      </w:r>
      <w:r>
        <w:t xml:space="preserve"> Miyeloproliferatif hastalıklar </w:t>
      </w:r>
    </w:p>
    <w:p w:rsidR="00CC6091" w:rsidRDefault="00CC6091" w:rsidP="00CC6091">
      <w:pPr>
        <w:tabs>
          <w:tab w:val="left" w:pos="1134"/>
        </w:tabs>
        <w:ind w:right="537" w:firstLine="0"/>
      </w:pPr>
      <w:r w:rsidRPr="00A12194">
        <w:rPr>
          <w:b/>
        </w:rPr>
        <w:t>MPL</w:t>
      </w:r>
      <w:r w:rsidRPr="00A12194">
        <w:rPr>
          <w:b/>
        </w:rPr>
        <w:tab/>
        <w:t>:</w:t>
      </w:r>
      <w:r>
        <w:t xml:space="preserve"> Miyeloproliferatif lösemi virüs onkogeni </w:t>
      </w:r>
    </w:p>
    <w:p w:rsidR="00CC6091" w:rsidRDefault="00CC6091" w:rsidP="00CC6091">
      <w:pPr>
        <w:tabs>
          <w:tab w:val="left" w:pos="1134"/>
        </w:tabs>
        <w:ind w:right="537" w:firstLine="0"/>
      </w:pPr>
      <w:r w:rsidRPr="00A12194">
        <w:rPr>
          <w:b/>
        </w:rPr>
        <w:t>MPN</w:t>
      </w:r>
      <w:r w:rsidRPr="00A12194">
        <w:rPr>
          <w:b/>
        </w:rPr>
        <w:tab/>
        <w:t>:</w:t>
      </w:r>
      <w:r>
        <w:t xml:space="preserve"> Miyeloproliferatif neoplazm </w:t>
      </w:r>
    </w:p>
    <w:p w:rsidR="00CC6091" w:rsidRDefault="00CC6091" w:rsidP="00CC6091">
      <w:pPr>
        <w:tabs>
          <w:tab w:val="left" w:pos="1134"/>
        </w:tabs>
        <w:ind w:right="537" w:firstLine="0"/>
      </w:pPr>
      <w:r w:rsidRPr="00A12194">
        <w:rPr>
          <w:b/>
        </w:rPr>
        <w:t>MPV</w:t>
      </w:r>
      <w:r w:rsidRPr="00A12194">
        <w:rPr>
          <w:b/>
        </w:rPr>
        <w:tab/>
        <w:t>:</w:t>
      </w:r>
      <w:r>
        <w:t xml:space="preserve"> Ortalama trombosit hacmi</w:t>
      </w:r>
    </w:p>
    <w:p w:rsidR="00CC6091" w:rsidRDefault="00CC6091" w:rsidP="00CC6091">
      <w:pPr>
        <w:tabs>
          <w:tab w:val="left" w:pos="1134"/>
        </w:tabs>
        <w:ind w:right="537" w:firstLine="0"/>
      </w:pPr>
      <w:r w:rsidRPr="00A12194">
        <w:rPr>
          <w:b/>
        </w:rPr>
        <w:t>NK</w:t>
      </w:r>
      <w:r w:rsidRPr="00A12194">
        <w:rPr>
          <w:b/>
        </w:rPr>
        <w:tab/>
        <w:t>:</w:t>
      </w:r>
      <w:r>
        <w:t xml:space="preserve"> Natural </w:t>
      </w:r>
      <w:proofErr w:type="gramStart"/>
      <w:r>
        <w:t>killer:doğal</w:t>
      </w:r>
      <w:proofErr w:type="gramEnd"/>
      <w:r>
        <w:t xml:space="preserve"> öldürücü</w:t>
      </w:r>
    </w:p>
    <w:p w:rsidR="00CC6091" w:rsidRPr="00506222" w:rsidRDefault="00CC6091" w:rsidP="00CC6091">
      <w:pPr>
        <w:tabs>
          <w:tab w:val="left" w:pos="1134"/>
        </w:tabs>
        <w:ind w:right="537" w:firstLine="0"/>
      </w:pPr>
      <w:r w:rsidRPr="00A12194">
        <w:rPr>
          <w:b/>
        </w:rPr>
        <w:t>PCR</w:t>
      </w:r>
      <w:r w:rsidRPr="00A12194">
        <w:rPr>
          <w:b/>
        </w:rPr>
        <w:tab/>
        <w:t>:</w:t>
      </w:r>
      <w:r w:rsidRPr="00506222">
        <w:t xml:space="preserve">Polimeraz zincir reaksiyonu </w:t>
      </w:r>
    </w:p>
    <w:p w:rsidR="00CC6091" w:rsidRPr="00506222" w:rsidRDefault="00CC6091" w:rsidP="00CC6091">
      <w:pPr>
        <w:tabs>
          <w:tab w:val="left" w:pos="1134"/>
        </w:tabs>
        <w:ind w:right="537" w:firstLine="0"/>
      </w:pPr>
      <w:r w:rsidRPr="00A12194">
        <w:rPr>
          <w:b/>
        </w:rPr>
        <w:t>Ph</w:t>
      </w:r>
      <w:r w:rsidRPr="00A12194">
        <w:rPr>
          <w:b/>
        </w:rPr>
        <w:tab/>
        <w:t>:</w:t>
      </w:r>
      <w:r w:rsidRPr="00506222">
        <w:t>Philedelphia</w:t>
      </w:r>
    </w:p>
    <w:p w:rsidR="00CC6091" w:rsidRPr="00506222" w:rsidRDefault="00CC6091" w:rsidP="00CC6091">
      <w:pPr>
        <w:tabs>
          <w:tab w:val="left" w:pos="1134"/>
        </w:tabs>
        <w:ind w:right="537" w:firstLine="0"/>
      </w:pPr>
      <w:r w:rsidRPr="00A12194">
        <w:rPr>
          <w:b/>
        </w:rPr>
        <w:t>PMF</w:t>
      </w:r>
      <w:r w:rsidRPr="00A12194">
        <w:rPr>
          <w:b/>
        </w:rPr>
        <w:tab/>
        <w:t>:</w:t>
      </w:r>
      <w:r w:rsidRPr="00506222">
        <w:t xml:space="preserve">Primer miyelofibrozis </w:t>
      </w:r>
    </w:p>
    <w:p w:rsidR="00CC6091" w:rsidRPr="00506222" w:rsidRDefault="00CC6091" w:rsidP="00CC6091">
      <w:pPr>
        <w:tabs>
          <w:tab w:val="left" w:pos="1134"/>
        </w:tabs>
        <w:ind w:right="537" w:firstLine="0"/>
      </w:pPr>
      <w:r w:rsidRPr="00A12194">
        <w:rPr>
          <w:b/>
        </w:rPr>
        <w:t>PRV</w:t>
      </w:r>
      <w:r w:rsidRPr="00A12194">
        <w:rPr>
          <w:b/>
        </w:rPr>
        <w:tab/>
        <w:t>:</w:t>
      </w:r>
      <w:r w:rsidRPr="00506222">
        <w:t xml:space="preserve">Polistemia rubra vera-1 </w:t>
      </w:r>
    </w:p>
    <w:p w:rsidR="00CC6091" w:rsidRPr="00506222" w:rsidRDefault="00CC6091" w:rsidP="00CC6091">
      <w:pPr>
        <w:tabs>
          <w:tab w:val="left" w:pos="1134"/>
        </w:tabs>
        <w:ind w:right="537" w:firstLine="0"/>
      </w:pPr>
      <w:r w:rsidRPr="00A12194">
        <w:rPr>
          <w:b/>
        </w:rPr>
        <w:t>PV</w:t>
      </w:r>
      <w:r w:rsidRPr="00A12194">
        <w:rPr>
          <w:b/>
        </w:rPr>
        <w:tab/>
        <w:t>:</w:t>
      </w:r>
      <w:r w:rsidRPr="00506222">
        <w:t xml:space="preserve">Polistemia vera </w:t>
      </w:r>
    </w:p>
    <w:p w:rsidR="00CC6091" w:rsidRPr="00506222" w:rsidRDefault="00CC6091" w:rsidP="00CC6091">
      <w:pPr>
        <w:tabs>
          <w:tab w:val="left" w:pos="1134"/>
        </w:tabs>
        <w:ind w:right="537" w:firstLine="0"/>
      </w:pPr>
      <w:r w:rsidRPr="00A12194">
        <w:rPr>
          <w:b/>
        </w:rPr>
        <w:t>PVSG</w:t>
      </w:r>
      <w:r w:rsidRPr="00A12194">
        <w:rPr>
          <w:b/>
        </w:rPr>
        <w:tab/>
        <w:t>:</w:t>
      </w:r>
      <w:r w:rsidRPr="00506222">
        <w:t xml:space="preserve">Polistemia vera çalışma gurubu </w:t>
      </w:r>
    </w:p>
    <w:p w:rsidR="00CC6091" w:rsidRPr="006D0188" w:rsidRDefault="00CC6091" w:rsidP="00CC6091">
      <w:pPr>
        <w:tabs>
          <w:tab w:val="left" w:pos="1134"/>
        </w:tabs>
        <w:ind w:right="537" w:firstLine="0"/>
      </w:pPr>
      <w:r w:rsidRPr="00A12194">
        <w:rPr>
          <w:b/>
        </w:rPr>
        <w:t>Rpm</w:t>
      </w:r>
      <w:r w:rsidRPr="00A12194">
        <w:rPr>
          <w:b/>
        </w:rPr>
        <w:tab/>
        <w:t xml:space="preserve">: </w:t>
      </w:r>
      <w:r w:rsidRPr="006D0188">
        <w:t>Devir/dakika</w:t>
      </w:r>
    </w:p>
    <w:p w:rsidR="00CC6091" w:rsidRPr="00506222" w:rsidRDefault="00CC6091" w:rsidP="00CC6091">
      <w:pPr>
        <w:tabs>
          <w:tab w:val="left" w:pos="1134"/>
        </w:tabs>
        <w:ind w:right="537" w:firstLine="0"/>
      </w:pPr>
      <w:r w:rsidRPr="00A12194">
        <w:rPr>
          <w:b/>
        </w:rPr>
        <w:lastRenderedPageBreak/>
        <w:t>RT</w:t>
      </w:r>
      <w:r w:rsidRPr="00A12194">
        <w:rPr>
          <w:b/>
        </w:rPr>
        <w:tab/>
        <w:t>:</w:t>
      </w:r>
      <w:r w:rsidRPr="00506222">
        <w:t xml:space="preserve">Reaktiftrombositoz </w:t>
      </w:r>
    </w:p>
    <w:p w:rsidR="00CC6091" w:rsidRDefault="00CC6091" w:rsidP="00CC6091">
      <w:pPr>
        <w:tabs>
          <w:tab w:val="left" w:pos="1134"/>
        </w:tabs>
        <w:ind w:right="537" w:firstLine="0"/>
      </w:pPr>
      <w:r w:rsidRPr="00A12194">
        <w:rPr>
          <w:b/>
        </w:rPr>
        <w:t>RT-PCR</w:t>
      </w:r>
      <w:r w:rsidRPr="00A12194">
        <w:rPr>
          <w:b/>
        </w:rPr>
        <w:tab/>
        <w:t>:</w:t>
      </w:r>
      <w:r>
        <w:t xml:space="preserve"> Gerçek zamanlı polimeraz zincir reaksiyonu</w:t>
      </w:r>
    </w:p>
    <w:p w:rsidR="00CC6091" w:rsidRDefault="00CC6091" w:rsidP="00CC6091">
      <w:pPr>
        <w:tabs>
          <w:tab w:val="left" w:pos="1134"/>
        </w:tabs>
        <w:ind w:right="537" w:firstLine="0"/>
        <w:rPr>
          <w:b/>
        </w:rPr>
      </w:pPr>
      <w:r w:rsidRPr="00A12194">
        <w:rPr>
          <w:b/>
        </w:rPr>
        <w:t>STAT</w:t>
      </w:r>
      <w:r w:rsidRPr="00A12194">
        <w:rPr>
          <w:b/>
        </w:rPr>
        <w:tab/>
        <w:t>:</w:t>
      </w:r>
      <w:r>
        <w:t xml:space="preserve"> Sinyal Transdüserleri ve Transkripsiyon Aktivatörleri</w:t>
      </w:r>
    </w:p>
    <w:p w:rsidR="00CC6091" w:rsidRPr="00506222" w:rsidRDefault="00CC6091" w:rsidP="00CC6091">
      <w:pPr>
        <w:tabs>
          <w:tab w:val="left" w:pos="1134"/>
        </w:tabs>
        <w:ind w:right="537" w:firstLine="0"/>
      </w:pPr>
      <w:r w:rsidRPr="00A12194">
        <w:rPr>
          <w:b/>
        </w:rPr>
        <w:t>TPO</w:t>
      </w:r>
      <w:r w:rsidRPr="00A12194">
        <w:rPr>
          <w:b/>
        </w:rPr>
        <w:tab/>
        <w:t>:</w:t>
      </w:r>
      <w:r w:rsidRPr="00506222">
        <w:t>Trombopoietin</w:t>
      </w:r>
    </w:p>
    <w:p w:rsidR="00CC6091" w:rsidRPr="00CC6B9E" w:rsidRDefault="00CC6091" w:rsidP="00CC6091">
      <w:pPr>
        <w:tabs>
          <w:tab w:val="left" w:pos="1134"/>
        </w:tabs>
        <w:ind w:right="537" w:firstLine="0"/>
      </w:pPr>
      <w:r w:rsidRPr="00A12194">
        <w:rPr>
          <w:b/>
        </w:rPr>
        <w:t>TYK2</w:t>
      </w:r>
      <w:r w:rsidRPr="00A12194">
        <w:rPr>
          <w:b/>
        </w:rPr>
        <w:tab/>
        <w:t>:</w:t>
      </w:r>
      <w:r w:rsidRPr="00CC6B9E">
        <w:t>Tirozin kinaz 2</w:t>
      </w:r>
    </w:p>
    <w:p w:rsidR="00CC6091" w:rsidRDefault="00CC6091" w:rsidP="00CC6091">
      <w:pPr>
        <w:tabs>
          <w:tab w:val="left" w:pos="1134"/>
        </w:tabs>
        <w:ind w:right="537" w:firstLine="0"/>
      </w:pPr>
      <w:r w:rsidRPr="00A12194">
        <w:rPr>
          <w:b/>
        </w:rPr>
        <w:t>WBC</w:t>
      </w:r>
      <w:r w:rsidRPr="00A12194">
        <w:rPr>
          <w:b/>
        </w:rPr>
        <w:tab/>
        <w:t>:</w:t>
      </w:r>
      <w:r>
        <w:t xml:space="preserve"> Beyaz kan hücreleri</w:t>
      </w:r>
    </w:p>
    <w:p w:rsidR="00CC6091" w:rsidRDefault="00CC6091" w:rsidP="00CC6091">
      <w:pPr>
        <w:tabs>
          <w:tab w:val="left" w:pos="1134"/>
        </w:tabs>
        <w:ind w:right="537" w:firstLine="0"/>
      </w:pPr>
    </w:p>
    <w:p w:rsidR="00CC6091" w:rsidRDefault="00CC6091" w:rsidP="00CC6091">
      <w:pPr>
        <w:tabs>
          <w:tab w:val="left" w:pos="1134"/>
        </w:tabs>
        <w:ind w:right="537" w:firstLine="0"/>
      </w:pPr>
    </w:p>
    <w:p w:rsidR="00CC6091" w:rsidRDefault="00CC6091" w:rsidP="00CC6091">
      <w:pPr>
        <w:spacing w:after="200" w:line="276" w:lineRule="auto"/>
        <w:ind w:right="537" w:firstLine="0"/>
        <w:jc w:val="left"/>
      </w:pPr>
      <w:r>
        <w:br w:type="page"/>
      </w:r>
    </w:p>
    <w:bookmarkEnd w:id="3"/>
    <w:p w:rsidR="00CC6091" w:rsidRPr="00540E08" w:rsidRDefault="00CC6091" w:rsidP="00CC6091">
      <w:pPr>
        <w:ind w:right="537" w:firstLine="0"/>
        <w:jc w:val="center"/>
        <w:rPr>
          <w:b/>
          <w:sz w:val="28"/>
          <w:szCs w:val="28"/>
        </w:rPr>
      </w:pPr>
      <w:r w:rsidRPr="00540E08">
        <w:rPr>
          <w:b/>
          <w:sz w:val="28"/>
          <w:szCs w:val="28"/>
        </w:rPr>
        <w:lastRenderedPageBreak/>
        <w:t>ŞEKİLLER DİZİNİ</w:t>
      </w:r>
    </w:p>
    <w:p w:rsidR="00CC6091" w:rsidRDefault="00CC6091" w:rsidP="00CC6091">
      <w:pPr>
        <w:ind w:right="537" w:firstLine="0"/>
        <w:jc w:val="center"/>
      </w:pPr>
    </w:p>
    <w:p w:rsidR="00CC6091" w:rsidRDefault="00CC6091" w:rsidP="00CC6091">
      <w:pPr>
        <w:ind w:right="537" w:firstLine="0"/>
        <w:jc w:val="center"/>
      </w:pPr>
    </w:p>
    <w:p w:rsidR="00CC6091" w:rsidRPr="00EC6553" w:rsidRDefault="00CC6091" w:rsidP="00CC6091">
      <w:pPr>
        <w:tabs>
          <w:tab w:val="right" w:leader="dot" w:pos="8891"/>
        </w:tabs>
        <w:ind w:left="709" w:right="821" w:hanging="709"/>
        <w:rPr>
          <w:lang w:bidi="tr-TR"/>
        </w:rPr>
      </w:pPr>
      <w:r w:rsidRPr="009932BB">
        <w:rPr>
          <w:b/>
          <w:lang w:bidi="tr-TR"/>
        </w:rPr>
        <w:t>Şekil 1.</w:t>
      </w:r>
      <w:r w:rsidRPr="00EC6553">
        <w:rPr>
          <w:lang w:bidi="tr-TR"/>
        </w:rPr>
        <w:t xml:space="preserve"> Hematolojik malignansiler</w:t>
      </w:r>
      <w:r w:rsidRPr="00EC6553">
        <w:rPr>
          <w:webHidden/>
          <w:lang w:bidi="tr-TR"/>
        </w:rPr>
        <w:tab/>
      </w:r>
      <w:r>
        <w:rPr>
          <w:webHidden/>
          <w:lang w:bidi="tr-TR"/>
        </w:rPr>
        <w:t>4</w:t>
      </w:r>
    </w:p>
    <w:p w:rsidR="00CC6091" w:rsidRPr="00EC6553" w:rsidRDefault="00CC6091" w:rsidP="00CC6091">
      <w:pPr>
        <w:tabs>
          <w:tab w:val="right" w:leader="dot" w:pos="8891"/>
        </w:tabs>
        <w:ind w:left="709" w:right="821" w:hanging="709"/>
        <w:rPr>
          <w:lang w:bidi="tr-TR"/>
        </w:rPr>
      </w:pPr>
      <w:r w:rsidRPr="009932BB">
        <w:rPr>
          <w:b/>
          <w:lang w:bidi="tr-TR"/>
        </w:rPr>
        <w:t>Şekil 2.</w:t>
      </w:r>
      <w:r w:rsidRPr="00EC6553">
        <w:rPr>
          <w:lang w:bidi="tr-TR"/>
        </w:rPr>
        <w:t xml:space="preserve"> Janus; Mitolojik Roma Tanrısı. Kapı giriş ve çıkışını sembolize eden başlangıç ve bitiş gibi iki farklı yüzü ve Janus’tan esinlenerek adlandırılmıştır</w:t>
      </w:r>
      <w:r w:rsidRPr="00EC6553">
        <w:rPr>
          <w:webHidden/>
          <w:lang w:bidi="tr-TR"/>
        </w:rPr>
        <w:tab/>
        <w:t>11</w:t>
      </w:r>
    </w:p>
    <w:p w:rsidR="00CC6091" w:rsidRPr="00EC6553" w:rsidRDefault="00CC6091" w:rsidP="00CC6091">
      <w:pPr>
        <w:tabs>
          <w:tab w:val="right" w:leader="dot" w:pos="8891"/>
        </w:tabs>
        <w:ind w:left="709" w:right="821" w:hanging="709"/>
        <w:rPr>
          <w:lang w:bidi="tr-TR"/>
        </w:rPr>
      </w:pPr>
      <w:r w:rsidRPr="009932BB">
        <w:rPr>
          <w:b/>
          <w:lang w:bidi="tr-TR"/>
        </w:rPr>
        <w:t>Şekil 3.</w:t>
      </w:r>
      <w:r w:rsidRPr="00EC6553">
        <w:rPr>
          <w:lang w:bidi="tr-TR"/>
        </w:rPr>
        <w:t xml:space="preserve"> Janus kinazların domain yapısı JH: JAK homoloji domain</w:t>
      </w:r>
      <w:r w:rsidRPr="00EC6553">
        <w:rPr>
          <w:webHidden/>
          <w:lang w:bidi="tr-TR"/>
        </w:rPr>
        <w:tab/>
        <w:t>12</w:t>
      </w:r>
    </w:p>
    <w:p w:rsidR="00CC6091" w:rsidRPr="00EC6553" w:rsidRDefault="00CC6091" w:rsidP="00CC6091">
      <w:pPr>
        <w:tabs>
          <w:tab w:val="right" w:leader="dot" w:pos="8891"/>
        </w:tabs>
        <w:ind w:left="709" w:right="821" w:hanging="709"/>
        <w:rPr>
          <w:lang w:bidi="tr-TR"/>
        </w:rPr>
      </w:pPr>
      <w:r w:rsidRPr="009932BB">
        <w:rPr>
          <w:b/>
          <w:lang w:bidi="tr-TR"/>
        </w:rPr>
        <w:t>Şekil 4.</w:t>
      </w:r>
      <w:r w:rsidRPr="00EC6553">
        <w:rPr>
          <w:lang w:bidi="tr-TR"/>
        </w:rPr>
        <w:t xml:space="preserve"> JAK-STAT yolağındaki temel basamaklar</w:t>
      </w:r>
      <w:r w:rsidRPr="00EC6553">
        <w:rPr>
          <w:webHidden/>
          <w:lang w:bidi="tr-TR"/>
        </w:rPr>
        <w:tab/>
        <w:t>13</w:t>
      </w:r>
    </w:p>
    <w:p w:rsidR="00CC6091" w:rsidRPr="00EC6553" w:rsidRDefault="00CC6091" w:rsidP="00CC6091">
      <w:pPr>
        <w:tabs>
          <w:tab w:val="right" w:leader="dot" w:pos="8891"/>
        </w:tabs>
        <w:ind w:left="709" w:right="821" w:hanging="709"/>
        <w:rPr>
          <w:lang w:bidi="tr-TR"/>
        </w:rPr>
      </w:pPr>
      <w:r w:rsidRPr="009932BB">
        <w:rPr>
          <w:b/>
          <w:lang w:bidi="tr-TR"/>
        </w:rPr>
        <w:t>Şekil 5.</w:t>
      </w:r>
      <w:r w:rsidRPr="00EC6553">
        <w:rPr>
          <w:lang w:bidi="tr-TR"/>
        </w:rPr>
        <w:t xml:space="preserve"> JAK 2 geni 14. ekzon mutasyon bölgesi</w:t>
      </w:r>
      <w:r w:rsidRPr="00EC6553">
        <w:rPr>
          <w:webHidden/>
          <w:lang w:bidi="tr-TR"/>
        </w:rPr>
        <w:tab/>
        <w:t>2</w:t>
      </w:r>
      <w:r>
        <w:rPr>
          <w:webHidden/>
          <w:lang w:bidi="tr-TR"/>
        </w:rPr>
        <w:t>0</w:t>
      </w:r>
    </w:p>
    <w:p w:rsidR="00CC6091" w:rsidRPr="00EC6553" w:rsidRDefault="00CC6091" w:rsidP="00CC6091">
      <w:pPr>
        <w:tabs>
          <w:tab w:val="right" w:leader="dot" w:pos="8891"/>
        </w:tabs>
        <w:ind w:left="709" w:right="821" w:hanging="709"/>
        <w:rPr>
          <w:lang w:bidi="tr-TR"/>
        </w:rPr>
      </w:pPr>
      <w:r w:rsidRPr="009932BB">
        <w:rPr>
          <w:b/>
          <w:lang w:bidi="tr-TR"/>
        </w:rPr>
        <w:t xml:space="preserve">Şekil 6. </w:t>
      </w:r>
      <w:r w:rsidRPr="00EC6553">
        <w:rPr>
          <w:lang w:bidi="tr-TR"/>
        </w:rPr>
        <w:t>Rotor (72) üzerinde örnek dizilim.</w:t>
      </w:r>
      <w:r w:rsidRPr="00EC6553">
        <w:rPr>
          <w:webHidden/>
          <w:lang w:bidi="tr-TR"/>
        </w:rPr>
        <w:tab/>
        <w:t>2</w:t>
      </w:r>
      <w:r>
        <w:rPr>
          <w:webHidden/>
          <w:lang w:bidi="tr-TR"/>
        </w:rPr>
        <w:t>2</w:t>
      </w:r>
    </w:p>
    <w:p w:rsidR="00CC6091" w:rsidRPr="00EC6553" w:rsidRDefault="00CC6091" w:rsidP="00CC6091">
      <w:pPr>
        <w:tabs>
          <w:tab w:val="right" w:leader="dot" w:pos="8891"/>
        </w:tabs>
        <w:ind w:left="709" w:right="821" w:hanging="709"/>
        <w:rPr>
          <w:lang w:bidi="tr-TR"/>
        </w:rPr>
      </w:pPr>
      <w:r w:rsidRPr="009932BB">
        <w:rPr>
          <w:b/>
          <w:lang w:bidi="tr-TR"/>
        </w:rPr>
        <w:t>Şekil 7.</w:t>
      </w:r>
      <w:r w:rsidRPr="00EC6553">
        <w:rPr>
          <w:lang w:bidi="tr-TR"/>
        </w:rPr>
        <w:t xml:space="preserve"> Jak2 mutant ve mutant olmayan olarak oluşturulan iki ayrı grup</w:t>
      </w:r>
      <w:r w:rsidRPr="00EC6553">
        <w:rPr>
          <w:webHidden/>
          <w:lang w:bidi="tr-TR"/>
        </w:rPr>
        <w:tab/>
        <w:t>2</w:t>
      </w:r>
      <w:r>
        <w:rPr>
          <w:webHidden/>
          <w:lang w:bidi="tr-TR"/>
        </w:rPr>
        <w:t>6</w:t>
      </w:r>
    </w:p>
    <w:p w:rsidR="00CC6091" w:rsidRPr="00EC6553" w:rsidRDefault="00CC6091" w:rsidP="00CC6091">
      <w:pPr>
        <w:tabs>
          <w:tab w:val="right" w:leader="dot" w:pos="8891"/>
        </w:tabs>
        <w:ind w:left="709" w:right="821" w:hanging="709"/>
        <w:rPr>
          <w:lang w:bidi="tr-TR"/>
        </w:rPr>
      </w:pPr>
      <w:r w:rsidRPr="009932BB">
        <w:rPr>
          <w:b/>
          <w:lang w:bidi="tr-TR"/>
        </w:rPr>
        <w:t>Şekil 8.</w:t>
      </w:r>
      <w:r w:rsidRPr="00EC6553">
        <w:rPr>
          <w:lang w:bidi="tr-TR"/>
        </w:rPr>
        <w:t xml:space="preserve"> Jak2-WT ve Jak2-VF için oluşturulan standartlar</w:t>
      </w:r>
      <w:r w:rsidRPr="00EC6553">
        <w:rPr>
          <w:webHidden/>
          <w:lang w:bidi="tr-TR"/>
        </w:rPr>
        <w:tab/>
        <w:t>2</w:t>
      </w:r>
      <w:r>
        <w:rPr>
          <w:webHidden/>
          <w:lang w:bidi="tr-TR"/>
        </w:rPr>
        <w:t>7</w:t>
      </w:r>
    </w:p>
    <w:p w:rsidR="00CC6091" w:rsidRPr="00EC6553" w:rsidRDefault="00CC6091" w:rsidP="00CC6091">
      <w:pPr>
        <w:tabs>
          <w:tab w:val="right" w:leader="dot" w:pos="8891"/>
        </w:tabs>
        <w:ind w:left="709" w:right="821" w:hanging="709"/>
        <w:rPr>
          <w:lang w:bidi="tr-TR"/>
        </w:rPr>
      </w:pPr>
      <w:r w:rsidRPr="009932BB">
        <w:rPr>
          <w:b/>
          <w:lang w:bidi="tr-TR"/>
        </w:rPr>
        <w:t>Şekil 9.</w:t>
      </w:r>
      <w:r w:rsidRPr="00EC6553">
        <w:rPr>
          <w:lang w:bidi="tr-TR"/>
        </w:rPr>
        <w:t xml:space="preserve"> Pozitif kontrol, negatif kontrol ve hastaların yüzde JAK2 mutasyonları</w:t>
      </w:r>
      <w:r w:rsidRPr="00EC6553">
        <w:rPr>
          <w:webHidden/>
          <w:lang w:bidi="tr-TR"/>
        </w:rPr>
        <w:tab/>
        <w:t>2</w:t>
      </w:r>
      <w:r>
        <w:rPr>
          <w:webHidden/>
          <w:lang w:bidi="tr-TR"/>
        </w:rPr>
        <w:t>7</w:t>
      </w:r>
    </w:p>
    <w:p w:rsidR="00CC6091" w:rsidRDefault="00CC6091" w:rsidP="00CC6091">
      <w:pPr>
        <w:ind w:right="537" w:firstLine="0"/>
        <w:jc w:val="center"/>
      </w:pPr>
    </w:p>
    <w:p w:rsidR="00CC6091" w:rsidRDefault="00CC6091" w:rsidP="00CC6091">
      <w:pPr>
        <w:ind w:right="537" w:firstLine="0"/>
        <w:jc w:val="center"/>
      </w:pPr>
    </w:p>
    <w:p w:rsidR="00CC6091" w:rsidRDefault="00CC6091" w:rsidP="00CC6091">
      <w:pPr>
        <w:ind w:right="537" w:firstLine="0"/>
        <w:jc w:val="center"/>
      </w:pPr>
    </w:p>
    <w:p w:rsidR="00CC6091" w:rsidRDefault="00CC6091" w:rsidP="00CC6091">
      <w:pPr>
        <w:ind w:right="537" w:firstLine="0"/>
        <w:jc w:val="center"/>
      </w:pPr>
    </w:p>
    <w:p w:rsidR="00CC6091" w:rsidRDefault="00CC6091" w:rsidP="00CC6091">
      <w:pPr>
        <w:ind w:right="537" w:firstLine="0"/>
        <w:jc w:val="center"/>
      </w:pPr>
    </w:p>
    <w:p w:rsidR="00CC6091" w:rsidRDefault="00CC6091" w:rsidP="00CC6091">
      <w:pPr>
        <w:ind w:right="537" w:firstLine="0"/>
        <w:jc w:val="center"/>
      </w:pPr>
    </w:p>
    <w:p w:rsidR="00CC6091" w:rsidRDefault="00CC6091" w:rsidP="00CC6091">
      <w:pPr>
        <w:ind w:right="537" w:firstLine="0"/>
        <w:jc w:val="center"/>
      </w:pPr>
    </w:p>
    <w:p w:rsidR="00CC6091" w:rsidRDefault="00CC6091" w:rsidP="00CC6091">
      <w:pPr>
        <w:ind w:right="537" w:firstLine="0"/>
        <w:jc w:val="center"/>
      </w:pPr>
    </w:p>
    <w:p w:rsidR="00CC6091" w:rsidRDefault="00CC6091" w:rsidP="00CC6091">
      <w:pPr>
        <w:ind w:right="537" w:firstLine="0"/>
        <w:jc w:val="center"/>
      </w:pPr>
    </w:p>
    <w:p w:rsidR="00CC6091" w:rsidRDefault="00CC6091" w:rsidP="00CC6091">
      <w:pPr>
        <w:ind w:right="537" w:firstLine="0"/>
        <w:jc w:val="center"/>
      </w:pPr>
    </w:p>
    <w:p w:rsidR="00CC6091" w:rsidRDefault="00CC6091" w:rsidP="00CC6091">
      <w:pPr>
        <w:ind w:right="537" w:firstLine="0"/>
        <w:jc w:val="center"/>
      </w:pPr>
    </w:p>
    <w:p w:rsidR="00CC6091" w:rsidRDefault="00CC6091" w:rsidP="00CC6091">
      <w:pPr>
        <w:ind w:right="537" w:firstLine="0"/>
        <w:jc w:val="center"/>
      </w:pPr>
    </w:p>
    <w:p w:rsidR="00CC6091" w:rsidRDefault="00CC6091" w:rsidP="00CC6091">
      <w:pPr>
        <w:spacing w:after="200" w:line="276" w:lineRule="auto"/>
        <w:ind w:right="537" w:firstLine="0"/>
        <w:jc w:val="left"/>
      </w:pPr>
      <w:r>
        <w:br w:type="page"/>
      </w:r>
    </w:p>
    <w:p w:rsidR="00CC6091" w:rsidRDefault="00CC6091" w:rsidP="00CC6091">
      <w:pPr>
        <w:ind w:right="537" w:firstLine="0"/>
        <w:jc w:val="center"/>
        <w:rPr>
          <w:b/>
          <w:sz w:val="28"/>
        </w:rPr>
      </w:pPr>
      <w:bookmarkStart w:id="5" w:name="_Toc488176617"/>
      <w:r w:rsidRPr="007441D4">
        <w:rPr>
          <w:b/>
          <w:sz w:val="28"/>
        </w:rPr>
        <w:lastRenderedPageBreak/>
        <w:t>RESİMLER DİZİNİ</w:t>
      </w:r>
    </w:p>
    <w:p w:rsidR="00CC6091" w:rsidRDefault="00CC6091" w:rsidP="00CC6091">
      <w:pPr>
        <w:ind w:right="537" w:firstLine="0"/>
        <w:jc w:val="center"/>
        <w:rPr>
          <w:b/>
        </w:rPr>
      </w:pPr>
    </w:p>
    <w:p w:rsidR="00CC6091" w:rsidRDefault="00CC6091" w:rsidP="00CC6091">
      <w:pPr>
        <w:ind w:right="537" w:firstLine="0"/>
        <w:jc w:val="center"/>
        <w:rPr>
          <w:b/>
        </w:rPr>
      </w:pPr>
    </w:p>
    <w:p w:rsidR="00CC6091" w:rsidRPr="00EC6553" w:rsidRDefault="00CC6091" w:rsidP="00CC6091">
      <w:pPr>
        <w:tabs>
          <w:tab w:val="right" w:leader="dot" w:pos="8891"/>
        </w:tabs>
        <w:ind w:left="709" w:right="537" w:hanging="709"/>
        <w:rPr>
          <w:lang w:bidi="tr-TR"/>
        </w:rPr>
      </w:pPr>
      <w:r w:rsidRPr="009932BB">
        <w:rPr>
          <w:b/>
          <w:lang w:bidi="tr-TR"/>
        </w:rPr>
        <w:t>Resim 1.</w:t>
      </w:r>
      <w:r w:rsidRPr="00EC6553">
        <w:rPr>
          <w:lang w:bidi="tr-TR"/>
        </w:rPr>
        <w:t xml:space="preserve"> RT-PCR cihazı</w:t>
      </w:r>
      <w:r w:rsidRPr="00EC6553">
        <w:rPr>
          <w:webHidden/>
          <w:lang w:bidi="tr-TR"/>
        </w:rPr>
        <w:tab/>
        <w:t>17</w:t>
      </w:r>
    </w:p>
    <w:p w:rsidR="00CC6091" w:rsidRPr="00EC6553" w:rsidRDefault="00CC6091" w:rsidP="00CC6091">
      <w:pPr>
        <w:tabs>
          <w:tab w:val="right" w:leader="dot" w:pos="8891"/>
        </w:tabs>
        <w:ind w:left="709" w:right="537" w:hanging="709"/>
        <w:rPr>
          <w:lang w:bidi="tr-TR"/>
        </w:rPr>
      </w:pPr>
      <w:r w:rsidRPr="009932BB">
        <w:rPr>
          <w:b/>
          <w:lang w:bidi="tr-TR"/>
        </w:rPr>
        <w:t>Resim 2.</w:t>
      </w:r>
      <w:r w:rsidRPr="00EC6553">
        <w:rPr>
          <w:lang w:bidi="tr-TR"/>
        </w:rPr>
        <w:t xml:space="preserve"> Vortex cihazı</w:t>
      </w:r>
      <w:r w:rsidRPr="00EC6553">
        <w:rPr>
          <w:webHidden/>
          <w:lang w:bidi="tr-TR"/>
        </w:rPr>
        <w:tab/>
        <w:t>17</w:t>
      </w:r>
    </w:p>
    <w:p w:rsidR="00CC6091" w:rsidRPr="00EC6553" w:rsidRDefault="00CC6091" w:rsidP="00CC6091">
      <w:pPr>
        <w:tabs>
          <w:tab w:val="right" w:leader="dot" w:pos="8891"/>
        </w:tabs>
        <w:ind w:left="709" w:right="537" w:hanging="709"/>
        <w:rPr>
          <w:lang w:bidi="tr-TR"/>
        </w:rPr>
      </w:pPr>
      <w:r w:rsidRPr="009932BB">
        <w:rPr>
          <w:b/>
          <w:lang w:bidi="tr-TR"/>
        </w:rPr>
        <w:t>Resim 3.</w:t>
      </w:r>
      <w:r w:rsidRPr="00EC6553">
        <w:rPr>
          <w:lang w:bidi="tr-TR"/>
        </w:rPr>
        <w:t xml:space="preserve"> Isı bloğu</w:t>
      </w:r>
      <w:r w:rsidRPr="00EC6553">
        <w:rPr>
          <w:webHidden/>
          <w:lang w:bidi="tr-TR"/>
        </w:rPr>
        <w:tab/>
        <w:t>1</w:t>
      </w:r>
      <w:r>
        <w:rPr>
          <w:webHidden/>
          <w:lang w:bidi="tr-TR"/>
        </w:rPr>
        <w:t>7</w:t>
      </w:r>
    </w:p>
    <w:p w:rsidR="00CC6091" w:rsidRPr="00EC6553" w:rsidRDefault="00CC6091" w:rsidP="00CC6091">
      <w:pPr>
        <w:tabs>
          <w:tab w:val="right" w:leader="dot" w:pos="8891"/>
        </w:tabs>
        <w:ind w:left="709" w:right="537" w:hanging="709"/>
        <w:rPr>
          <w:lang w:bidi="tr-TR"/>
        </w:rPr>
      </w:pPr>
      <w:r w:rsidRPr="009932BB">
        <w:rPr>
          <w:b/>
          <w:lang w:bidi="tr-TR"/>
        </w:rPr>
        <w:t>Resim 4.</w:t>
      </w:r>
      <w:r w:rsidRPr="00EC6553">
        <w:rPr>
          <w:lang w:bidi="tr-TR"/>
        </w:rPr>
        <w:t xml:space="preserve"> Hemogram cihazı</w:t>
      </w:r>
      <w:r w:rsidRPr="00EC6553">
        <w:rPr>
          <w:webHidden/>
          <w:lang w:bidi="tr-TR"/>
        </w:rPr>
        <w:tab/>
        <w:t>1</w:t>
      </w:r>
      <w:r>
        <w:rPr>
          <w:webHidden/>
          <w:lang w:bidi="tr-TR"/>
        </w:rPr>
        <w:t>7</w:t>
      </w:r>
    </w:p>
    <w:p w:rsidR="00CC6091" w:rsidRPr="00EC6553" w:rsidRDefault="00CC6091" w:rsidP="00CC6091">
      <w:pPr>
        <w:tabs>
          <w:tab w:val="right" w:leader="dot" w:pos="8891"/>
        </w:tabs>
        <w:ind w:left="709" w:right="537" w:hanging="709"/>
        <w:rPr>
          <w:lang w:bidi="tr-TR"/>
        </w:rPr>
      </w:pPr>
      <w:r w:rsidRPr="009932BB">
        <w:rPr>
          <w:b/>
          <w:lang w:bidi="tr-TR"/>
        </w:rPr>
        <w:t>Resim 5.</w:t>
      </w:r>
      <w:r w:rsidRPr="00EC6553">
        <w:rPr>
          <w:lang w:bidi="tr-TR"/>
        </w:rPr>
        <w:t xml:space="preserve"> Koagülasyon cihazı</w:t>
      </w:r>
      <w:r w:rsidRPr="00EC6553">
        <w:rPr>
          <w:webHidden/>
          <w:lang w:bidi="tr-TR"/>
        </w:rPr>
        <w:tab/>
        <w:t>1</w:t>
      </w:r>
      <w:r>
        <w:rPr>
          <w:webHidden/>
          <w:lang w:bidi="tr-TR"/>
        </w:rPr>
        <w:t>7</w:t>
      </w:r>
    </w:p>
    <w:p w:rsidR="00CC6091" w:rsidRPr="00EC6553" w:rsidRDefault="00CC6091" w:rsidP="00CC6091">
      <w:pPr>
        <w:tabs>
          <w:tab w:val="right" w:leader="dot" w:pos="8891"/>
        </w:tabs>
        <w:ind w:left="709" w:right="537" w:hanging="709"/>
        <w:rPr>
          <w:lang w:bidi="tr-TR"/>
        </w:rPr>
      </w:pPr>
      <w:r w:rsidRPr="009932BB">
        <w:rPr>
          <w:b/>
          <w:lang w:bidi="tr-TR"/>
        </w:rPr>
        <w:t>Resim 6.</w:t>
      </w:r>
      <w:r w:rsidRPr="00EC6553">
        <w:rPr>
          <w:lang w:bidi="tr-TR"/>
        </w:rPr>
        <w:t xml:space="preserve"> Otomatikleştirilmiş kimya analizörü</w:t>
      </w:r>
      <w:r w:rsidRPr="00EC6553">
        <w:rPr>
          <w:webHidden/>
          <w:lang w:bidi="tr-TR"/>
        </w:rPr>
        <w:tab/>
        <w:t>1</w:t>
      </w:r>
      <w:r>
        <w:rPr>
          <w:webHidden/>
          <w:lang w:bidi="tr-TR"/>
        </w:rPr>
        <w:t>7</w:t>
      </w:r>
    </w:p>
    <w:p w:rsidR="00CC6091" w:rsidRPr="00EC6553" w:rsidRDefault="00CC6091" w:rsidP="00CC6091">
      <w:pPr>
        <w:tabs>
          <w:tab w:val="right" w:leader="dot" w:pos="8891"/>
        </w:tabs>
        <w:ind w:left="709" w:right="537" w:hanging="709"/>
        <w:rPr>
          <w:lang w:bidi="tr-TR"/>
        </w:rPr>
      </w:pPr>
      <w:r w:rsidRPr="009932BB">
        <w:rPr>
          <w:b/>
          <w:lang w:bidi="tr-TR"/>
        </w:rPr>
        <w:t>Resim 7.</w:t>
      </w:r>
      <w:r w:rsidRPr="00EC6553">
        <w:rPr>
          <w:lang w:bidi="tr-TR"/>
        </w:rPr>
        <w:t xml:space="preserve"> ESR cihazı</w:t>
      </w:r>
      <w:r w:rsidRPr="00EC6553">
        <w:rPr>
          <w:webHidden/>
          <w:lang w:bidi="tr-TR"/>
        </w:rPr>
        <w:tab/>
        <w:t>18</w:t>
      </w:r>
    </w:p>
    <w:p w:rsidR="00CC6091" w:rsidRDefault="00CC6091" w:rsidP="00CC6091">
      <w:pPr>
        <w:ind w:right="537" w:firstLine="0"/>
        <w:jc w:val="center"/>
        <w:rPr>
          <w:b/>
        </w:rPr>
      </w:pPr>
    </w:p>
    <w:p w:rsidR="00CC6091" w:rsidRDefault="00CC6091" w:rsidP="00CC6091">
      <w:pPr>
        <w:ind w:right="537" w:firstLine="0"/>
        <w:jc w:val="center"/>
        <w:rPr>
          <w:b/>
        </w:rPr>
      </w:pPr>
    </w:p>
    <w:p w:rsidR="00CC6091" w:rsidRDefault="00CC6091" w:rsidP="00CC6091">
      <w:pPr>
        <w:ind w:right="537" w:firstLine="0"/>
        <w:jc w:val="center"/>
        <w:rPr>
          <w:b/>
        </w:rPr>
      </w:pPr>
    </w:p>
    <w:p w:rsidR="00CC6091" w:rsidRDefault="00CC6091" w:rsidP="00CC6091">
      <w:pPr>
        <w:ind w:right="537" w:firstLine="0"/>
        <w:jc w:val="center"/>
        <w:rPr>
          <w:b/>
        </w:rPr>
      </w:pPr>
    </w:p>
    <w:p w:rsidR="00CC6091" w:rsidRDefault="00CC6091" w:rsidP="00CC6091">
      <w:pPr>
        <w:ind w:right="537" w:firstLine="0"/>
        <w:jc w:val="center"/>
        <w:rPr>
          <w:b/>
        </w:rPr>
      </w:pPr>
    </w:p>
    <w:p w:rsidR="00CC6091" w:rsidRDefault="00CC6091" w:rsidP="00CC6091">
      <w:pPr>
        <w:ind w:right="537" w:firstLine="0"/>
        <w:jc w:val="center"/>
        <w:rPr>
          <w:b/>
        </w:rPr>
      </w:pPr>
    </w:p>
    <w:p w:rsidR="00CC6091" w:rsidRDefault="00CC6091" w:rsidP="00CC6091">
      <w:pPr>
        <w:ind w:right="537" w:firstLine="0"/>
        <w:jc w:val="center"/>
        <w:rPr>
          <w:b/>
        </w:rPr>
      </w:pPr>
    </w:p>
    <w:p w:rsidR="00CC6091" w:rsidRDefault="00CC6091" w:rsidP="00CC6091">
      <w:pPr>
        <w:ind w:right="537" w:firstLine="0"/>
        <w:jc w:val="center"/>
        <w:rPr>
          <w:b/>
        </w:rPr>
      </w:pPr>
    </w:p>
    <w:p w:rsidR="00CC6091" w:rsidRDefault="00CC6091" w:rsidP="00CC6091">
      <w:pPr>
        <w:ind w:right="537" w:firstLine="0"/>
        <w:jc w:val="center"/>
        <w:rPr>
          <w:b/>
        </w:rPr>
      </w:pPr>
    </w:p>
    <w:p w:rsidR="00CC6091" w:rsidRDefault="00CC6091" w:rsidP="00CC6091">
      <w:pPr>
        <w:ind w:right="537" w:firstLine="0"/>
        <w:jc w:val="center"/>
        <w:rPr>
          <w:b/>
        </w:rPr>
      </w:pPr>
    </w:p>
    <w:p w:rsidR="00CC6091" w:rsidRDefault="00CC6091" w:rsidP="00CC6091">
      <w:pPr>
        <w:ind w:right="537" w:firstLine="0"/>
        <w:jc w:val="center"/>
        <w:rPr>
          <w:b/>
        </w:rPr>
      </w:pPr>
    </w:p>
    <w:p w:rsidR="00CC6091" w:rsidRDefault="00CC6091" w:rsidP="00CC6091">
      <w:pPr>
        <w:spacing w:after="200" w:line="276" w:lineRule="auto"/>
        <w:ind w:right="537" w:firstLine="0"/>
        <w:jc w:val="left"/>
        <w:rPr>
          <w:b/>
        </w:rPr>
      </w:pPr>
      <w:r>
        <w:rPr>
          <w:b/>
        </w:rPr>
        <w:br w:type="page"/>
      </w:r>
    </w:p>
    <w:p w:rsidR="00CC6091" w:rsidRPr="0071787F" w:rsidRDefault="00CC6091" w:rsidP="00CC6091">
      <w:pPr>
        <w:ind w:right="537" w:firstLine="0"/>
        <w:jc w:val="center"/>
        <w:rPr>
          <w:b/>
          <w:sz w:val="28"/>
        </w:rPr>
      </w:pPr>
      <w:r w:rsidRPr="0071787F">
        <w:rPr>
          <w:b/>
          <w:sz w:val="28"/>
        </w:rPr>
        <w:lastRenderedPageBreak/>
        <w:t>TABLOLAR DİZİNİ</w:t>
      </w:r>
    </w:p>
    <w:p w:rsidR="00CC6091" w:rsidRPr="00A855AC" w:rsidRDefault="00CC6091" w:rsidP="00CC6091">
      <w:pPr>
        <w:pStyle w:val="T1"/>
        <w:ind w:right="537"/>
        <w:jc w:val="center"/>
        <w:rPr>
          <w:sz w:val="24"/>
        </w:rPr>
      </w:pPr>
    </w:p>
    <w:p w:rsidR="00CC6091" w:rsidRPr="00A855AC" w:rsidRDefault="00CC6091" w:rsidP="00CC6091">
      <w:pPr>
        <w:ind w:right="537" w:firstLine="0"/>
        <w:jc w:val="center"/>
        <w:rPr>
          <w:sz w:val="28"/>
        </w:rPr>
      </w:pPr>
    </w:p>
    <w:p w:rsidR="00CC6091" w:rsidRPr="00EC6553" w:rsidRDefault="00CC6091" w:rsidP="00CC6091">
      <w:pPr>
        <w:tabs>
          <w:tab w:val="right" w:leader="dot" w:pos="8891"/>
        </w:tabs>
        <w:ind w:left="709" w:right="537" w:hanging="709"/>
        <w:rPr>
          <w:lang w:bidi="tr-TR"/>
        </w:rPr>
      </w:pPr>
      <w:r w:rsidRPr="009932BB">
        <w:rPr>
          <w:b/>
          <w:lang w:bidi="tr-TR"/>
        </w:rPr>
        <w:t>Tablo 1.</w:t>
      </w:r>
      <w:r w:rsidRPr="00EC6553">
        <w:rPr>
          <w:lang w:bidi="tr-TR"/>
        </w:rPr>
        <w:t xml:space="preserve"> Esansiyel trombositoz için tanı </w:t>
      </w:r>
      <w:proofErr w:type="gramStart"/>
      <w:r w:rsidRPr="00EC6553">
        <w:rPr>
          <w:lang w:bidi="tr-TR"/>
        </w:rPr>
        <w:t>kriterleri</w:t>
      </w:r>
      <w:proofErr w:type="gramEnd"/>
      <w:r w:rsidRPr="00EC6553">
        <w:rPr>
          <w:webHidden/>
          <w:lang w:bidi="tr-TR"/>
        </w:rPr>
        <w:tab/>
        <w:t>8</w:t>
      </w:r>
    </w:p>
    <w:p w:rsidR="00CC6091" w:rsidRPr="00EC6553" w:rsidRDefault="00CC6091" w:rsidP="00CC6091">
      <w:pPr>
        <w:tabs>
          <w:tab w:val="right" w:leader="dot" w:pos="8891"/>
        </w:tabs>
        <w:ind w:left="709" w:right="537" w:hanging="709"/>
        <w:rPr>
          <w:lang w:bidi="tr-TR"/>
        </w:rPr>
      </w:pPr>
      <w:r w:rsidRPr="009932BB">
        <w:rPr>
          <w:b/>
          <w:lang w:bidi="tr-TR"/>
        </w:rPr>
        <w:t>Tablo 2.</w:t>
      </w:r>
      <w:r w:rsidRPr="00EC6553">
        <w:rPr>
          <w:lang w:bidi="tr-TR"/>
        </w:rPr>
        <w:t xml:space="preserve"> Çocukluk çağında primer ve sekonder trombositozun özellikleri</w:t>
      </w:r>
      <w:r w:rsidRPr="00EC6553">
        <w:rPr>
          <w:webHidden/>
          <w:lang w:bidi="tr-TR"/>
        </w:rPr>
        <w:tab/>
        <w:t>9</w:t>
      </w:r>
    </w:p>
    <w:p w:rsidR="00CC6091" w:rsidRPr="00EC6553" w:rsidRDefault="00CC6091" w:rsidP="00CC6091">
      <w:pPr>
        <w:tabs>
          <w:tab w:val="right" w:leader="dot" w:pos="8891"/>
        </w:tabs>
        <w:ind w:left="709" w:right="537" w:hanging="709"/>
        <w:rPr>
          <w:lang w:bidi="tr-TR"/>
        </w:rPr>
      </w:pPr>
      <w:r w:rsidRPr="009932BB">
        <w:rPr>
          <w:b/>
          <w:lang w:bidi="tr-TR"/>
        </w:rPr>
        <w:t>Tablo 3.</w:t>
      </w:r>
      <w:r w:rsidRPr="00EC6553">
        <w:rPr>
          <w:lang w:bidi="tr-TR"/>
        </w:rPr>
        <w:t xml:space="preserve"> Primer trombositozda tedavi algoritması</w:t>
      </w:r>
      <w:r w:rsidRPr="00EC6553">
        <w:rPr>
          <w:webHidden/>
          <w:lang w:bidi="tr-TR"/>
        </w:rPr>
        <w:tab/>
        <w:t>10</w:t>
      </w:r>
    </w:p>
    <w:p w:rsidR="00CC6091" w:rsidRPr="00EC6553" w:rsidRDefault="00CC6091" w:rsidP="00CC6091">
      <w:pPr>
        <w:tabs>
          <w:tab w:val="right" w:leader="dot" w:pos="8891"/>
        </w:tabs>
        <w:ind w:left="709" w:right="537" w:hanging="709"/>
        <w:rPr>
          <w:lang w:bidi="tr-TR"/>
        </w:rPr>
      </w:pPr>
      <w:r w:rsidRPr="009932BB">
        <w:rPr>
          <w:b/>
          <w:lang w:bidi="tr-TR"/>
        </w:rPr>
        <w:t xml:space="preserve">Tablo 4. </w:t>
      </w:r>
      <w:r w:rsidRPr="00EC6553">
        <w:rPr>
          <w:lang w:bidi="tr-TR"/>
        </w:rPr>
        <w:t>Olgularının yaş, cinsiyet ve laboratuvar bulguları</w:t>
      </w:r>
      <w:r w:rsidRPr="00EC6553">
        <w:rPr>
          <w:webHidden/>
          <w:lang w:bidi="tr-TR"/>
        </w:rPr>
        <w:tab/>
        <w:t>2</w:t>
      </w:r>
      <w:r>
        <w:rPr>
          <w:webHidden/>
          <w:lang w:bidi="tr-TR"/>
        </w:rPr>
        <w:t>5</w:t>
      </w:r>
    </w:p>
    <w:p w:rsidR="00CC6091" w:rsidRPr="00EC6553" w:rsidRDefault="00CC6091" w:rsidP="00CC6091">
      <w:pPr>
        <w:tabs>
          <w:tab w:val="right" w:leader="dot" w:pos="8891"/>
        </w:tabs>
        <w:ind w:left="709" w:right="537" w:hanging="709"/>
        <w:rPr>
          <w:lang w:bidi="tr-TR"/>
        </w:rPr>
      </w:pPr>
      <w:r w:rsidRPr="009932BB">
        <w:rPr>
          <w:b/>
          <w:lang w:bidi="tr-TR"/>
        </w:rPr>
        <w:t>Tablo 5.</w:t>
      </w:r>
      <w:r w:rsidRPr="00EC6553">
        <w:rPr>
          <w:lang w:bidi="tr-TR"/>
        </w:rPr>
        <w:t xml:space="preserve"> Tüm hastaların tam kan sayımının (CBC) laboratuvar sonuçları (n=21).</w:t>
      </w:r>
      <w:r w:rsidRPr="00EC6553">
        <w:rPr>
          <w:webHidden/>
          <w:lang w:bidi="tr-TR"/>
        </w:rPr>
        <w:tab/>
        <w:t>2</w:t>
      </w:r>
      <w:r>
        <w:rPr>
          <w:webHidden/>
          <w:lang w:bidi="tr-TR"/>
        </w:rPr>
        <w:t>6</w:t>
      </w:r>
    </w:p>
    <w:p w:rsidR="00CC6091" w:rsidRPr="0071787F" w:rsidRDefault="00CC6091" w:rsidP="00CC6091">
      <w:pPr>
        <w:ind w:right="537"/>
      </w:pPr>
    </w:p>
    <w:p w:rsidR="00CC6091" w:rsidRDefault="00CC6091" w:rsidP="00CC6091">
      <w:pPr>
        <w:ind w:right="537"/>
      </w:pPr>
    </w:p>
    <w:bookmarkEnd w:id="5"/>
    <w:p w:rsidR="00CC6091" w:rsidRPr="00633770" w:rsidRDefault="00CC6091" w:rsidP="00CC6091">
      <w:pPr>
        <w:pStyle w:val="T1"/>
        <w:ind w:right="537"/>
        <w:rPr>
          <w:color w:val="000000" w:themeColor="text1"/>
        </w:rPr>
      </w:pPr>
      <w:r>
        <w:br w:type="page"/>
      </w:r>
    </w:p>
    <w:p w:rsidR="005B77DC" w:rsidRDefault="004F6C22">
      <w:pPr>
        <w:pStyle w:val="Normal1"/>
        <w:ind w:firstLine="0"/>
        <w:jc w:val="center"/>
        <w:rPr>
          <w:b/>
          <w:sz w:val="28"/>
          <w:szCs w:val="28"/>
        </w:rPr>
      </w:pPr>
      <w:r>
        <w:rPr>
          <w:b/>
          <w:sz w:val="28"/>
          <w:szCs w:val="28"/>
        </w:rPr>
        <w:lastRenderedPageBreak/>
        <w:t>ÖZET</w:t>
      </w:r>
    </w:p>
    <w:p w:rsidR="005B77DC" w:rsidRDefault="005B77DC">
      <w:pPr>
        <w:pStyle w:val="Normal1"/>
        <w:ind w:firstLine="0"/>
        <w:jc w:val="center"/>
        <w:rPr>
          <w:b/>
        </w:rPr>
      </w:pPr>
    </w:p>
    <w:p w:rsidR="005B77DC" w:rsidRDefault="005B77DC">
      <w:pPr>
        <w:pStyle w:val="Normal1"/>
        <w:ind w:firstLine="0"/>
        <w:jc w:val="center"/>
        <w:rPr>
          <w:b/>
        </w:rPr>
      </w:pPr>
    </w:p>
    <w:p w:rsidR="005B77DC" w:rsidRDefault="004F6C22">
      <w:pPr>
        <w:pStyle w:val="Normal1"/>
        <w:ind w:firstLine="0"/>
        <w:jc w:val="center"/>
        <w:rPr>
          <w:b/>
          <w:smallCaps/>
          <w:color w:val="000000"/>
        </w:rPr>
      </w:pPr>
      <w:r>
        <w:rPr>
          <w:b/>
          <w:smallCaps/>
          <w:color w:val="000000"/>
        </w:rPr>
        <w:t>PRİMER TROMBOSİTOZ DÜŞÜNÜLEN ÇOCUKLARDA JAK2 MUTASYON VARLIĞININ DEĞERLENDİRİLMESİ</w:t>
      </w:r>
    </w:p>
    <w:p w:rsidR="005B77DC" w:rsidRDefault="005B77DC">
      <w:pPr>
        <w:pStyle w:val="Normal1"/>
        <w:ind w:firstLine="0"/>
        <w:jc w:val="center"/>
        <w:rPr>
          <w:b/>
        </w:rPr>
      </w:pPr>
    </w:p>
    <w:p w:rsidR="005B77DC" w:rsidRDefault="004F6C22">
      <w:pPr>
        <w:pStyle w:val="Normal1"/>
        <w:ind w:firstLine="0"/>
        <w:rPr>
          <w:b/>
        </w:rPr>
      </w:pPr>
      <w:bookmarkStart w:id="6" w:name="_3dy6vkm" w:colFirst="0" w:colLast="0"/>
      <w:bookmarkEnd w:id="6"/>
      <w:r>
        <w:rPr>
          <w:b/>
        </w:rPr>
        <w:t>Uyar A. Aydın Adnan Menderes Üniversitesi Sağlık Bilimleri Enstitüsü Kök Hücre ve Rejeneratif Tıp Programı, Yüksek Lisans Tezi, Aydın, 2020.</w:t>
      </w:r>
    </w:p>
    <w:p w:rsidR="005B77DC" w:rsidRDefault="005B77DC">
      <w:pPr>
        <w:pStyle w:val="Normal1"/>
        <w:ind w:firstLine="0"/>
        <w:jc w:val="center"/>
      </w:pPr>
    </w:p>
    <w:p w:rsidR="005B77DC" w:rsidRPr="004F35E3" w:rsidRDefault="004F6C22" w:rsidP="00CC6091">
      <w:pPr>
        <w:pStyle w:val="Normal1"/>
        <w:ind w:firstLine="0"/>
      </w:pPr>
      <w:r w:rsidRPr="004F35E3">
        <w:t>Trombositoz, primer</w:t>
      </w:r>
      <w:r w:rsidR="00682482" w:rsidRPr="004F35E3">
        <w:t xml:space="preserve"> (esansiyel)</w:t>
      </w:r>
      <w:r w:rsidRPr="004F35E3">
        <w:t xml:space="preserve"> ve sekonder (reaktif) olmak üzere ikiye ayrılır. Primer trombositoz, hematopoietik hücrelerin monoklonal veya poliklonal anormalliklerinden veya TPO biyolojisindeki anormalliklerden kaynaklanan miyeloproliferatif bir hastalıktır. Bu çalışmada amacımız primer trombositoz düşünülen çocuklarda JAK2 mutasyon sıklığını belirlemektir. Adnan Menderes Üniversitesi Tıp Fakültesi Çocuk Sağlığı ve Hastalıkları Polikliniği’ne 01 Ocak 2017-31 Temmuz 2018 tarihleri arasında</w:t>
      </w:r>
      <w:r w:rsidR="00415BEF" w:rsidRPr="004F35E3">
        <w:t xml:space="preserve"> başvuran ve trombosit sayısı &gt;5</w:t>
      </w:r>
      <w:r w:rsidRPr="004F35E3">
        <w:t xml:space="preserve">00.000/μL olan 150 çocuğun ailesi telefonla aranarak kontrol değerlendirme için çağrıldı. Elli çocuk, kontrol değerlendirme için aileleri tarafından getirilmedi. Elli çocuk ise trombosit sayısı normal saptandığı, 20 çocuk demir eksikliği anemisi tanısı aldığı ve 9 çocuk </w:t>
      </w:r>
      <w:proofErr w:type="gramStart"/>
      <w:r w:rsidRPr="004F35E3">
        <w:t>enfeksiyon</w:t>
      </w:r>
      <w:proofErr w:type="gramEnd"/>
      <w:r w:rsidRPr="004F35E3">
        <w:t xml:space="preserve"> ya da enflamasyona sekonder trombositoz düşünüldüğü için çalışmaya alınmadı. Primer trombositoz düşünülen 13’ü e</w:t>
      </w:r>
      <w:r w:rsidR="00744E43" w:rsidRPr="004F35E3">
        <w:t xml:space="preserve">rkek (%61,9), 21 olgu çalışmaya </w:t>
      </w:r>
      <w:proofErr w:type="gramStart"/>
      <w:r w:rsidRPr="004F35E3">
        <w:t>dahil</w:t>
      </w:r>
      <w:proofErr w:type="gramEnd"/>
      <w:r w:rsidRPr="004F35E3">
        <w:t xml:space="preserve"> edildi. Ayrıntılı öykü ve fiziksel incelemenin yanı sıra tüm hastalarda hemogram, ESR, CRP, fibrinojen ve ferritin düzeyleri, serum demiri ve total serum demir bağlama kapasitelerine bakıldı. JAK2 V617F mutasyon analizi, “İpsogen® JAK2 RGQ PCR Kiti” (Qiagen, Almanya) ile test edilerek, Real Time-PCR yöntemi ile gerçekleştirildi. Hastaların yaş ortalaması 6,76±2,94 yıl (dağılım 3-13 yıl) idi. Öykü, fiziksel muayene, hemogram ve periferik kan yayma incelemesinde miyeloproliferatif hastalık düşündürecek bulguya rastlanmadı. Ortalama ferritin düzeyi 28,38±11,48 ng/mL, serum demir düzeyi 67,52±22,62 μg/dL, serum demir bağlama kapasitesi 269,4±52,26 μg/dL, fibrinojen düzeyi 288,0±43,40 mg/dL olarak saptandı. Tüm hastalarda CRP negatif ve ESR normaldi. Hastaların ortalama hemoglobin düzeyi 12,28±0,95 gr/dL, ortalama lökosit sayısı 9,120±950/μL, ortalama trombosit sayısı 613,000±96,820/μL (dağılım 504-830,000/μL) olarak bulundu. JAK2 V617F mutasyonu hiçbir hastada saptanmadı. Miyeloproliferatif hastalık düşündürecek öykü, fiziksel muayene ve/veya tam kan sayımı ve periferik kan yayma bulgusu olmayan primer trombositozlu çocuklarda JAK2 mutasyonu bakılmasının gerekli olmadığını düşünüyoruz.</w:t>
      </w:r>
    </w:p>
    <w:p w:rsidR="004F35E3" w:rsidRPr="00CC6091" w:rsidRDefault="004F35E3" w:rsidP="00CC6091">
      <w:pPr>
        <w:pStyle w:val="Normal1"/>
        <w:ind w:firstLine="0"/>
        <w:rPr>
          <w:color w:val="000000"/>
          <w:sz w:val="22"/>
          <w:szCs w:val="22"/>
          <w:highlight w:val="white"/>
        </w:rPr>
      </w:pPr>
    </w:p>
    <w:p w:rsidR="005B77DC" w:rsidRDefault="004F6C22">
      <w:pPr>
        <w:pStyle w:val="Normal1"/>
        <w:tabs>
          <w:tab w:val="left" w:pos="567"/>
        </w:tabs>
        <w:ind w:firstLine="0"/>
      </w:pPr>
      <w:r>
        <w:rPr>
          <w:b/>
        </w:rPr>
        <w:lastRenderedPageBreak/>
        <w:t xml:space="preserve">Anahtar kelimeler: </w:t>
      </w:r>
      <w:r>
        <w:t>Çocu</w:t>
      </w:r>
      <w:r w:rsidR="00465E37">
        <w:t xml:space="preserve">k, hematopoetik kök hücre, JAK2 </w:t>
      </w:r>
      <w:r>
        <w:t>V617F mutasyonu, primer trombositoz.</w:t>
      </w:r>
      <w:r>
        <w:br w:type="page"/>
      </w:r>
    </w:p>
    <w:p w:rsidR="005B77DC" w:rsidRDefault="004F6C22">
      <w:pPr>
        <w:pStyle w:val="Normal1"/>
        <w:tabs>
          <w:tab w:val="left" w:pos="1708"/>
        </w:tabs>
        <w:ind w:firstLine="0"/>
        <w:jc w:val="center"/>
        <w:rPr>
          <w:b/>
          <w:sz w:val="28"/>
          <w:szCs w:val="28"/>
        </w:rPr>
      </w:pPr>
      <w:r>
        <w:rPr>
          <w:b/>
          <w:sz w:val="28"/>
          <w:szCs w:val="28"/>
        </w:rPr>
        <w:lastRenderedPageBreak/>
        <w:t>ABSTRACT</w:t>
      </w:r>
    </w:p>
    <w:p w:rsidR="005B77DC" w:rsidRDefault="005B77DC">
      <w:pPr>
        <w:pStyle w:val="Normal1"/>
        <w:tabs>
          <w:tab w:val="left" w:pos="1708"/>
        </w:tabs>
        <w:ind w:firstLine="0"/>
        <w:jc w:val="center"/>
        <w:rPr>
          <w:b/>
        </w:rPr>
      </w:pPr>
    </w:p>
    <w:p w:rsidR="005B77DC" w:rsidRDefault="005B77DC">
      <w:pPr>
        <w:pStyle w:val="Normal1"/>
        <w:tabs>
          <w:tab w:val="left" w:pos="1708"/>
        </w:tabs>
        <w:ind w:firstLine="0"/>
        <w:jc w:val="center"/>
        <w:rPr>
          <w:b/>
        </w:rPr>
      </w:pPr>
    </w:p>
    <w:p w:rsidR="005B77DC" w:rsidRDefault="004F6C22">
      <w:pPr>
        <w:pStyle w:val="Normal1"/>
        <w:ind w:firstLine="0"/>
        <w:jc w:val="center"/>
        <w:rPr>
          <w:b/>
        </w:rPr>
      </w:pPr>
      <w:r>
        <w:rPr>
          <w:b/>
        </w:rPr>
        <w:t>EVALUATION OF JAK2 MUTATION PRESENCE IN CHILDREN THINKED FOR PRIMARY THROMBOCYTOSIS</w:t>
      </w:r>
    </w:p>
    <w:p w:rsidR="005B77DC" w:rsidRDefault="005B77DC" w:rsidP="004F35E3">
      <w:pPr>
        <w:pStyle w:val="Normal1"/>
        <w:ind w:firstLine="0"/>
        <w:jc w:val="center"/>
      </w:pPr>
    </w:p>
    <w:p w:rsidR="005B77DC" w:rsidRDefault="004F6C22">
      <w:pPr>
        <w:pStyle w:val="Normal1"/>
        <w:ind w:firstLine="0"/>
        <w:rPr>
          <w:b/>
        </w:rPr>
      </w:pPr>
      <w:r>
        <w:rPr>
          <w:b/>
        </w:rPr>
        <w:t xml:space="preserve">Uyar A. Aydin Adnan Menderes University Health Sciences Institute of Health Sciences Stem Cell and Regenerative Medicine Program,Master’s Thesis, Aydin, 2020. </w:t>
      </w:r>
    </w:p>
    <w:p w:rsidR="005B77DC" w:rsidRDefault="005B77DC" w:rsidP="004F35E3">
      <w:pPr>
        <w:pStyle w:val="Normal1"/>
        <w:ind w:firstLine="0"/>
        <w:jc w:val="center"/>
        <w:rPr>
          <w:shd w:val="clear" w:color="auto" w:fill="F5F5F5"/>
        </w:rPr>
      </w:pPr>
    </w:p>
    <w:p w:rsidR="004F35E3" w:rsidRPr="004F35E3" w:rsidRDefault="004F35E3">
      <w:pPr>
        <w:pStyle w:val="Normal1"/>
        <w:ind w:firstLine="0"/>
      </w:pPr>
      <w:r w:rsidRPr="004F35E3">
        <w:t>Thrombocytosis is divided into two as primary and secondary (reactive). Primary thrombocytosis is amyeloproliferative disease caused by monoclonal or polyclonal abnormalities of hematopoietic cells or abnormalities in TPO biology. Our aim in this study is to determine the frequency of JAK2 mutation in children with primary thrombocytosis. The families of 150 children who applied to Adnan Menderes University Faculty of Medicine Child Health and Diseases Policlinic between 01 January 2017 and 31 July 2018 and whose platelet counts &gt;</w:t>
      </w:r>
      <w:r w:rsidR="00A753B1">
        <w:t>5</w:t>
      </w:r>
      <w:r w:rsidRPr="004F35E3">
        <w:t xml:space="preserve">00.000/μL were called by phone and were called for control evaluation. Fifty children were not brought by their families for control evaluation. Fifty children were excluded from the study because the number of platelets was normal, 20 children were diagnosed with iron deficiency anemia and 9 children were considered thrombocytosis secondary to infection or inflammation. Thirteen male (%61.9) and 21 cases with primary thrombocytosis were included in the study. Hemogram, ESR, CRP, fibrinogen and ferritin levels, serum iron and total serum iron binding capacities were examined. The JAK2 V617F mutation analysis was performed with the Real Time-PCR method by testing with the "Ipsogen® JAK2 RGQ PCR Kit" (Qiagen, Germany). The mean age of the patients was 6,76±2,94 years (range 3-13 years). There were no findings suggesting myeloproliferative disease in history, physical examination, hemogram and peripheral blood smear examination. Average ferritin level 28,38±11,48 ng/mL, serum iron level 67,52±22,62 μg/dL, serum iron binding capacity 269,4±52,26 μg/dL, fibrinogen level was 288,0±43,40 mg/dL. CRP was negative and ESR was normal in all patients. The mean hemoglobin level of the patients was 12,28±0,95 g/dL, the mean number of leukocytes was 9,120±950/μL, the average number of platelets was 613,000±96,820/μL (range 504-830,000/μL). The JAK2 V617F mutation was not detected in any patient. We think that it is not necessary to look for a JAK2 mutation in children with primary thrombocytosis without a history, physical </w:t>
      </w:r>
      <w:r w:rsidRPr="004F35E3">
        <w:lastRenderedPageBreak/>
        <w:t>examination and / or complete blood count and peripheral blood smear findings suggesting myeloproliferative disease.</w:t>
      </w:r>
    </w:p>
    <w:p w:rsidR="005B77DC" w:rsidRDefault="005B77DC">
      <w:pPr>
        <w:pStyle w:val="Normal1"/>
        <w:ind w:firstLine="0"/>
        <w:rPr>
          <w:highlight w:val="white"/>
        </w:rPr>
      </w:pPr>
    </w:p>
    <w:p w:rsidR="005B77DC" w:rsidRDefault="004F6C22">
      <w:pPr>
        <w:pStyle w:val="Normal1"/>
        <w:ind w:firstLine="0"/>
        <w:rPr>
          <w:highlight w:val="white"/>
        </w:rPr>
      </w:pPr>
      <w:r>
        <w:rPr>
          <w:b/>
          <w:highlight w:val="white"/>
        </w:rPr>
        <w:t xml:space="preserve">Keywords: </w:t>
      </w:r>
      <w:r>
        <w:rPr>
          <w:highlight w:val="white"/>
        </w:rPr>
        <w:t>Children, hematopoietic stem cell, JAK2 V617F mutation, primary trombocytosis.</w:t>
      </w:r>
    </w:p>
    <w:p w:rsidR="005B77DC" w:rsidRDefault="005B77DC">
      <w:pPr>
        <w:pStyle w:val="Normal1"/>
        <w:ind w:firstLine="0"/>
        <w:rPr>
          <w:highlight w:val="white"/>
        </w:rPr>
      </w:pPr>
    </w:p>
    <w:p w:rsidR="005B77DC" w:rsidRDefault="005B77DC">
      <w:pPr>
        <w:pStyle w:val="Normal1"/>
        <w:ind w:firstLine="0"/>
        <w:rPr>
          <w:highlight w:val="white"/>
        </w:rPr>
      </w:pPr>
      <w:bookmarkStart w:id="7" w:name="_1t3h5sf" w:colFirst="0" w:colLast="0"/>
      <w:bookmarkEnd w:id="7"/>
    </w:p>
    <w:p w:rsidR="005B77DC" w:rsidRDefault="005B77DC">
      <w:pPr>
        <w:pStyle w:val="Normal1"/>
        <w:ind w:firstLine="0"/>
        <w:rPr>
          <w:b/>
        </w:rPr>
      </w:pPr>
    </w:p>
    <w:p w:rsidR="005B77DC" w:rsidRDefault="005B77DC">
      <w:pPr>
        <w:pStyle w:val="Normal1"/>
        <w:ind w:firstLine="0"/>
        <w:rPr>
          <w:b/>
        </w:rPr>
      </w:pPr>
    </w:p>
    <w:p w:rsidR="005B77DC" w:rsidRDefault="005B77DC">
      <w:pPr>
        <w:pStyle w:val="Normal1"/>
        <w:ind w:firstLine="0"/>
        <w:rPr>
          <w:b/>
        </w:rPr>
      </w:pPr>
    </w:p>
    <w:p w:rsidR="005B77DC" w:rsidRDefault="005B77DC">
      <w:pPr>
        <w:pStyle w:val="Normal1"/>
        <w:ind w:firstLine="0"/>
        <w:rPr>
          <w:b/>
        </w:rPr>
      </w:pPr>
    </w:p>
    <w:p w:rsidR="005B77DC" w:rsidRDefault="005B77DC">
      <w:pPr>
        <w:pStyle w:val="Normal1"/>
        <w:ind w:firstLine="0"/>
        <w:rPr>
          <w:b/>
        </w:rPr>
      </w:pPr>
    </w:p>
    <w:p w:rsidR="005B77DC" w:rsidRDefault="005B77DC">
      <w:pPr>
        <w:pStyle w:val="Normal1"/>
        <w:ind w:firstLine="0"/>
        <w:rPr>
          <w:b/>
        </w:rPr>
      </w:pPr>
    </w:p>
    <w:p w:rsidR="005B77DC" w:rsidRDefault="005B77DC">
      <w:pPr>
        <w:pStyle w:val="Normal1"/>
        <w:ind w:firstLine="0"/>
        <w:rPr>
          <w:b/>
        </w:rPr>
      </w:pPr>
    </w:p>
    <w:p w:rsidR="005B77DC" w:rsidRDefault="005B77DC">
      <w:pPr>
        <w:pStyle w:val="Normal1"/>
        <w:ind w:firstLine="0"/>
        <w:rPr>
          <w:b/>
        </w:rPr>
      </w:pPr>
    </w:p>
    <w:p w:rsidR="005B77DC" w:rsidRDefault="005B77DC">
      <w:pPr>
        <w:pStyle w:val="Normal1"/>
        <w:ind w:firstLine="0"/>
        <w:rPr>
          <w:b/>
        </w:rPr>
      </w:pPr>
    </w:p>
    <w:p w:rsidR="005B77DC" w:rsidRDefault="005B77DC">
      <w:pPr>
        <w:pStyle w:val="Normal1"/>
        <w:ind w:firstLine="0"/>
        <w:rPr>
          <w:b/>
          <w:sz w:val="28"/>
          <w:szCs w:val="28"/>
        </w:rPr>
        <w:sectPr w:rsidR="005B77DC" w:rsidSect="00C973A4">
          <w:footerReference w:type="default" r:id="rId8"/>
          <w:pgSz w:w="11906" w:h="16838"/>
          <w:pgMar w:top="1418" w:right="1304" w:bottom="1418" w:left="1701" w:header="850" w:footer="850" w:gutter="0"/>
          <w:pgNumType w:fmt="lowerRoman" w:start="1"/>
          <w:cols w:space="708" w:equalWidth="0">
            <w:col w:w="9406"/>
          </w:cols>
        </w:sectPr>
      </w:pPr>
    </w:p>
    <w:p w:rsidR="005B77DC" w:rsidRDefault="004F6C22">
      <w:pPr>
        <w:pStyle w:val="Normal1"/>
        <w:ind w:firstLine="0"/>
        <w:jc w:val="center"/>
        <w:rPr>
          <w:b/>
          <w:sz w:val="28"/>
          <w:szCs w:val="28"/>
        </w:rPr>
      </w:pPr>
      <w:r>
        <w:rPr>
          <w:b/>
          <w:sz w:val="28"/>
          <w:szCs w:val="28"/>
        </w:rPr>
        <w:lastRenderedPageBreak/>
        <w:t>1. GİRİŞ</w:t>
      </w:r>
    </w:p>
    <w:p w:rsidR="005B77DC" w:rsidRDefault="005B77DC">
      <w:pPr>
        <w:pStyle w:val="Normal1"/>
        <w:ind w:firstLine="0"/>
        <w:jc w:val="center"/>
      </w:pPr>
    </w:p>
    <w:p w:rsidR="005B77DC" w:rsidRDefault="005B77DC">
      <w:pPr>
        <w:pStyle w:val="Normal1"/>
        <w:ind w:firstLine="0"/>
        <w:jc w:val="center"/>
      </w:pPr>
    </w:p>
    <w:p w:rsidR="005B77DC" w:rsidRDefault="004F6C22">
      <w:pPr>
        <w:pStyle w:val="Normal1"/>
        <w:ind w:firstLine="709"/>
      </w:pPr>
      <w:bookmarkStart w:id="8" w:name="_4d34og8" w:colFirst="0" w:colLast="0"/>
      <w:bookmarkEnd w:id="8"/>
      <w:r>
        <w:t>Sağlıklı çocuklarda olması gereken normal trombosit sayısı 150-450.000/μL arasında değişmektedir. Platelet (PLT) sayısına göre trombositoz sınıflandırılması şöyledir; 450-700.000/μL olması hafif, 700-900.000/μL olması orta, 900-1.000.000/μL olması ağır ve &gt;1.000.000/μL’nin üzerinde olması çok ağır trombositoz olarak kabul edilir (Bareford D ve ark, 2010).</w:t>
      </w:r>
    </w:p>
    <w:p w:rsidR="005B77DC" w:rsidRDefault="004F6C22">
      <w:pPr>
        <w:pStyle w:val="Normal1"/>
        <w:ind w:firstLine="709"/>
      </w:pPr>
      <w:r>
        <w:t>Miyeloproliferatif hastalıklardan olan esansiyel trombositemi, çocuk yaşlarda nadir görülen bir hastalık olup daha çok hayatın ikinci on yılında görülür. Trombositoz, hematopoetik kök hücrelerin (HSC) monoklonal veya poliklonal anormallikleri veya trombopoietin (TPO) biyolojisindeki anormallikler nedeniyle gelişir (Sutor AH ve ark, 1999).</w:t>
      </w:r>
    </w:p>
    <w:p w:rsidR="005B77DC" w:rsidRDefault="004F6C22">
      <w:pPr>
        <w:pStyle w:val="Normal1"/>
        <w:ind w:firstLine="709"/>
      </w:pPr>
      <w:r>
        <w:t xml:space="preserve">Trombositoz, altta yatan nedene göre primer (esansiyel) ve sekonder (reaktif) olarak sınıflandırılır. Primer trombositozda, kemik iliğini etkileyen klonal bir hastalık söz konusu olup platelet üretiminin artmasına neden olan genetik mutasyonlar sonucunda meydana gelir. Reaktif trombositoz ise altta yatan medikal ve enflamatuvar nedenlere sekonder olarak ortaya çıkmaktadır. İki durumun birbirinden ayırt edilmesi tanı, tedavi ve prognoz açısından önem taşır. Tromboembolik </w:t>
      </w:r>
      <w:proofErr w:type="gramStart"/>
      <w:r>
        <w:t>komplikasyonlar</w:t>
      </w:r>
      <w:proofErr w:type="gramEnd"/>
      <w:r>
        <w:t xml:space="preserve">, reaktif trombositozlu olgularda çok nadir görülürken, primer trombositozlu olgularda daha sık ortaya çıkmaktadır. Reaktif trombositozda, platelet sayısından daha çok altta yatan hastalığın tedavi edilmesi önem taşır. Primer trombositozda, tedavi genellikle platelet sayısı 1.000.000/μL’nin üzerinde olan hastalarda tromboembolik </w:t>
      </w:r>
      <w:proofErr w:type="gramStart"/>
      <w:r>
        <w:t>komplikasyonları</w:t>
      </w:r>
      <w:proofErr w:type="gramEnd"/>
      <w:r>
        <w:t xml:space="preserve"> önlemek için veya öyküsünde daha önce trombohemorajik olay olan hastalar için önerilir. Yapılan çalışmalara rağmen, halen çocukluk çağı trombositozunda tedavi konusunda fikir birliği yoktur.</w:t>
      </w:r>
    </w:p>
    <w:p w:rsidR="005B77DC" w:rsidRDefault="004F6C22">
      <w:pPr>
        <w:pStyle w:val="Normal1"/>
        <w:ind w:firstLine="709"/>
      </w:pPr>
      <w:r>
        <w:t>Miyeloproliferatif hastalıklar (MPH), pluripotent kök hücredeki bozukluk nedeni ile meydana gelen, hematopoetik kök hücre dizi öncü hücrelerinin düzensiz çoğalması sonucu lökosit, eritrosit veya platelet sayısında artış ile birlikte sıklıkla sekonder miyelofibrozis ve nadiren de lösemik dönüşümle karakterize edilen klonal hematolojik hastalıklardır (Lichtman MA ve ark, 2001).</w:t>
      </w:r>
    </w:p>
    <w:p w:rsidR="005B77DC" w:rsidRDefault="004F6C22">
      <w:pPr>
        <w:pStyle w:val="Normal1"/>
        <w:ind w:firstLine="709"/>
      </w:pPr>
      <w:r>
        <w:t xml:space="preserve">William Dameshek, ilk olarak 1951’de miyeloproliferatif hastalıkları tanımladı. Bu gruptaki hastalıklar esansiyel trombositoz (ET), kronik miyeloid lösemi (KML), primer miyelofibrozis (PMF), polisitemia vera (PV) ve eritrolösemi (Di Guglielmo </w:t>
      </w:r>
      <w:proofErr w:type="gramStart"/>
      <w:r>
        <w:t>sendromu</w:t>
      </w:r>
      <w:proofErr w:type="gramEnd"/>
      <w:r>
        <w:t xml:space="preserve">) olarak değerlendirildi (Dameshek W, 1951). Yıllar geçtikçe eritrolösemi, akut eritroid lösemi veya onun </w:t>
      </w:r>
      <w:r>
        <w:lastRenderedPageBreak/>
        <w:t>varyantları olarak tekrar tanımlanmıştır. Böylece diğer 4 hastalığa klasik miyeloproliferatif hastalıklar</w:t>
      </w:r>
      <w:r w:rsidR="00E13C7E">
        <w:t xml:space="preserve"> (KMPH)</w:t>
      </w:r>
      <w:r>
        <w:t xml:space="preserve"> adı verildi (Vardiman JW ve ark, 2002).</w:t>
      </w:r>
    </w:p>
    <w:p w:rsidR="005B77DC" w:rsidRDefault="004F6C22">
      <w:pPr>
        <w:pStyle w:val="Normal1"/>
        <w:ind w:firstLine="709"/>
        <w:rPr>
          <w:color w:val="000000"/>
          <w:highlight w:val="white"/>
        </w:rPr>
      </w:pPr>
      <w:r>
        <w:rPr>
          <w:color w:val="000000"/>
          <w:highlight w:val="white"/>
        </w:rPr>
        <w:t>2008 yılında yapılan DSÖ (Dünya Sağlık Örgütü) sınıflandırılmasında kronik miyeloid neoplazmlar gözden geçirilmiş olup ‘hastalık’ terimi, MPH’da ‘neoplazm’ tanımı ile yer değiştirmiştir. Başka bir deyişle ‘MPH’ günümüzde miyeloproliferatif neoplazm (MPN) olarak kabul edilir (Tefferi A ve ark, 2008). Ayrıca, Philadelphia (Ph) kromozomu ve bcr/abl translokasyonu ve ayırt edici klinik özellikleriyle KML ayrı bir hastalık olarak nitelendirilmiştir (Goldman JM ve ark, 1995).</w:t>
      </w:r>
    </w:p>
    <w:p w:rsidR="005B77DC" w:rsidRDefault="004F6C22">
      <w:pPr>
        <w:pStyle w:val="Normal1"/>
        <w:ind w:firstLine="709"/>
        <w:rPr>
          <w:color w:val="000000"/>
          <w:highlight w:val="white"/>
        </w:rPr>
      </w:pPr>
      <w:r>
        <w:rPr>
          <w:color w:val="000000"/>
          <w:highlight w:val="white"/>
        </w:rPr>
        <w:t xml:space="preserve">MPN’ler, bir veya daha fazla miyeloeritroid hücrenin kemik iliğinde kontrolsüz çoğalması, periferik kanda olgun ve olgunlaşmamış hücrelerin sayısının artmasıyla hemostaz ve tromboz </w:t>
      </w:r>
      <w:proofErr w:type="gramStart"/>
      <w:r>
        <w:rPr>
          <w:color w:val="000000"/>
          <w:highlight w:val="white"/>
        </w:rPr>
        <w:t>anomalileri</w:t>
      </w:r>
      <w:proofErr w:type="gramEnd"/>
      <w:r>
        <w:rPr>
          <w:color w:val="000000"/>
          <w:highlight w:val="white"/>
        </w:rPr>
        <w:t xml:space="preserve"> görülen ve akut lösemiye ilerleme gösterebilen klonal hastalıklardır. Miyeloproliferatif sendromlardan biri olan ET, primitif multipotansiyel hematopoetik kök hücreden köken alan, reaktif bir neden veya PV, KML, PMF, miyelodisplastik </w:t>
      </w:r>
      <w:proofErr w:type="gramStart"/>
      <w:r>
        <w:rPr>
          <w:color w:val="000000"/>
          <w:highlight w:val="white"/>
        </w:rPr>
        <w:t>sendrom</w:t>
      </w:r>
      <w:proofErr w:type="gramEnd"/>
      <w:r>
        <w:rPr>
          <w:color w:val="000000"/>
          <w:highlight w:val="white"/>
        </w:rPr>
        <w:t xml:space="preserve"> (MDS) gibi tanımlanmış kronik miyeloid bir hastalık olmaksızın platelet sayısında artış ile adlandırılan klonal bir hastalıktır (Cervantes F ve ark, 2010).</w:t>
      </w:r>
    </w:p>
    <w:p w:rsidR="005B77DC" w:rsidRDefault="004F6C22">
      <w:pPr>
        <w:pStyle w:val="Normal1"/>
        <w:ind w:firstLine="709"/>
        <w:rPr>
          <w:color w:val="000000"/>
          <w:highlight w:val="white"/>
        </w:rPr>
      </w:pPr>
      <w:r>
        <w:rPr>
          <w:color w:val="000000"/>
          <w:highlight w:val="white"/>
        </w:rPr>
        <w:t>Primer trombositozun çocuklarda sıklığı yaklaşık 1/1.000.000 olup, oldukça nadir görülür (Dame C ve</w:t>
      </w:r>
      <w:r w:rsidR="00FE5909">
        <w:rPr>
          <w:color w:val="000000"/>
          <w:highlight w:val="white"/>
        </w:rPr>
        <w:t xml:space="preserve"> ark, 2005). Primer trombositoz</w:t>
      </w:r>
      <w:r>
        <w:rPr>
          <w:color w:val="000000"/>
          <w:highlight w:val="white"/>
        </w:rPr>
        <w:t>, familyal ve non-familyal olmak üzere iki gruba ayrılır. Familyal trombositoz, TPO veya trombopoietin reseptör (MPL) geninde meydana gelen mutasyonlar sonucunda gelişir. Heterojen bir hastalık grubudur ve kalıtım şekilleri değişkendir. TPO, gen mutasyonu olan olguların büyük çoğunluğunda otozomal dominant kalıtımla geçiş söz konusudur. Bazı olgularda otozomal resesif geçiş, bir ailede ise X’e bağlı geçiş tanımlanmıştır (Tayama T ve ark, 1995; Ahmed MA ve ark, 2001). TPO gen mutasyonları çeşitli mekanizmalar ile TPO üretiminde artış ile sonuçlanır. MPL mutasyonları ise megakaryosit proliferasyonu için sürekli sinyal iletimine sebep olmaktadır. Poliklonal olarak platelet üretimi gerçekleşir. Diğer hücre serileri normaldir (Kucine N ve ark, 2014). Kalıtsal forma sahip bu hastaların kanama veya tromboz riskinin yanı sıra splenomegali, kemik iliği fibrozu ve lösemi dönüşümü riski taşıdığı bildirilmektedir (Jacob FA ve ark, 2010; Teofili L ve ark, 2011).</w:t>
      </w:r>
    </w:p>
    <w:p w:rsidR="005B77DC" w:rsidRDefault="004F6C22">
      <w:pPr>
        <w:pStyle w:val="Normal1"/>
        <w:ind w:firstLine="709"/>
        <w:rPr>
          <w:color w:val="000000"/>
          <w:highlight w:val="white"/>
        </w:rPr>
      </w:pPr>
      <w:r>
        <w:rPr>
          <w:color w:val="000000"/>
          <w:highlight w:val="white"/>
        </w:rPr>
        <w:t xml:space="preserve">Non familyal trombositoz yani esansiyel trombositoz, miyeloproliferatif hastalıkların (miyelofibrozis, polisitemia vera, kronik miyeloid lösemi gibi) bir alt tipidir. Fizyolojik geri bildirim (feed-back) mekanizmaları ile düzenlenemeyen, otonom şekilde trombosit üretimi söz konusudur. Hematopoez monoklonaldir. JAK2-V617F, kalretikülin (CALR), polisitemia rubra vera-1 (PRV-1) genindeki mutasyonlar nedeni ile oluşur (Teofili L ve ark, 2010; Martini M ve ark, 2006). JAK2-V617F mutasyonu aktifleştirici bir mutasyon olup JAK/STAT yolağını açar ve sürekli sinyal iletimine yol açarak hücre proliferasyonuna neden olur. Bu mutasyon polisitemia </w:t>
      </w:r>
      <w:r>
        <w:rPr>
          <w:color w:val="000000"/>
          <w:highlight w:val="white"/>
        </w:rPr>
        <w:lastRenderedPageBreak/>
        <w:t>verası olan erişkinlerin yaklaşık %95’inde, esansiyel trombositoz veya miyelofibrozisi olan erişkinlerin yaklaşık %50’sinde bulunmaktadır (Hoffman R ve ark, 2007; Pikman Y ve ark, 2006). Primer trombositozu olan pediatrik olguların yaklaşık olarak %30’unda JAK2-V617F mutasyonu tespit edilmiştir (Kucine N ve ark, 2014).</w:t>
      </w:r>
    </w:p>
    <w:p w:rsidR="005B77DC" w:rsidRDefault="004F6C22">
      <w:pPr>
        <w:pStyle w:val="Normal1"/>
        <w:ind w:firstLine="709"/>
        <w:rPr>
          <w:color w:val="000000"/>
          <w:highlight w:val="white"/>
        </w:rPr>
      </w:pPr>
      <w:r>
        <w:rPr>
          <w:color w:val="000000"/>
          <w:highlight w:val="white"/>
        </w:rPr>
        <w:t xml:space="preserve">Dünya Sağlık Örgütünün erişkinlerde esansiyel trombositemi için belirlediği </w:t>
      </w:r>
      <w:proofErr w:type="gramStart"/>
      <w:r>
        <w:rPr>
          <w:color w:val="000000"/>
          <w:highlight w:val="white"/>
        </w:rPr>
        <w:t>kriterlerin</w:t>
      </w:r>
      <w:proofErr w:type="gramEnd"/>
      <w:r>
        <w:rPr>
          <w:color w:val="000000"/>
          <w:highlight w:val="white"/>
        </w:rPr>
        <w:t xml:space="preserve"> çocuk hastalar için kullanılması önerilmemektedir. Çünkü erişkinlerin aksine esansiyel trombositemili çocukların büyük çoğunluğunda hastalık poliklonaldir, spontan koloni oluşturma kapasiteleri ve JAK2 mutasyon pozitifliği düşüktür (Barbui T, 2012).</w:t>
      </w:r>
    </w:p>
    <w:p w:rsidR="005B77DC" w:rsidRDefault="004F6C22">
      <w:pPr>
        <w:pStyle w:val="Normal1"/>
        <w:ind w:firstLine="709"/>
        <w:rPr>
          <w:color w:val="000000"/>
          <w:highlight w:val="white"/>
        </w:rPr>
      </w:pPr>
      <w:r>
        <w:rPr>
          <w:color w:val="000000"/>
          <w:highlight w:val="white"/>
        </w:rPr>
        <w:t xml:space="preserve">Ancak primer trombositozda trombosit sayısının artış mekanizması tam olarak aydınlatılamamıştır. Tüm yaşlarda olduğu gibi, çocuklarda da en sık sekonder trombositoz görülür. Sekonder trombositoz özellikle </w:t>
      </w:r>
      <w:proofErr w:type="gramStart"/>
      <w:r>
        <w:rPr>
          <w:color w:val="000000"/>
          <w:highlight w:val="white"/>
        </w:rPr>
        <w:t>enfeksiyon</w:t>
      </w:r>
      <w:proofErr w:type="gramEnd"/>
      <w:r>
        <w:rPr>
          <w:color w:val="000000"/>
          <w:highlight w:val="white"/>
        </w:rPr>
        <w:t>, kronik inflamatuvar hastalıklar, maligniteler, anemiler gibi altta yatan çeşitli patolojilere cevap olarak salınan çeşitli sitokinlerin etkisiyle ortaya çıkar.</w:t>
      </w:r>
    </w:p>
    <w:p w:rsidR="005B77DC" w:rsidRDefault="004F6C22">
      <w:pPr>
        <w:pStyle w:val="Normal1"/>
        <w:ind w:firstLine="709"/>
      </w:pPr>
      <w:r>
        <w:t xml:space="preserve">Büyük çaplı epidemiyolojik araştırmalar yapılamadığından primer trombositozun insidansı kesin olarak bilinmemektedir. Primer ve sekonder trombositozda </w:t>
      </w:r>
      <w:proofErr w:type="gramStart"/>
      <w:r>
        <w:t>komplikasyonlar</w:t>
      </w:r>
      <w:proofErr w:type="gramEnd"/>
      <w:r>
        <w:t xml:space="preserve"> çok nadir olarak görülmektedir. Özellikle trombotik veya hemorajik </w:t>
      </w:r>
      <w:proofErr w:type="gramStart"/>
      <w:r>
        <w:t>komplikasyonlar</w:t>
      </w:r>
      <w:proofErr w:type="gramEnd"/>
      <w:r>
        <w:t xml:space="preserve"> izlenir. Trombosit sayısının yüksekliği ile </w:t>
      </w:r>
      <w:proofErr w:type="gramStart"/>
      <w:r>
        <w:t>komplikasyon</w:t>
      </w:r>
      <w:proofErr w:type="gramEnd"/>
      <w:r>
        <w:t xml:space="preserve"> gelişimi arasında ise herhangi bir ilişki gösterilememiştir.</w:t>
      </w:r>
    </w:p>
    <w:p w:rsidR="005B77DC" w:rsidRDefault="004F6C22">
      <w:pPr>
        <w:pStyle w:val="Normal1"/>
        <w:ind w:firstLine="709"/>
      </w:pPr>
      <w:r>
        <w:t>Bu çalışmada, primer trombositoz düşünülen çocuklarda JAK2 mutasyon sıklığını bulmayı amaçladık.</w:t>
      </w:r>
    </w:p>
    <w:p w:rsidR="005B77DC" w:rsidRDefault="005B77DC">
      <w:pPr>
        <w:pStyle w:val="Normal1"/>
        <w:ind w:firstLine="709"/>
      </w:pPr>
    </w:p>
    <w:p w:rsidR="005B77DC" w:rsidRDefault="005B77DC">
      <w:pPr>
        <w:pStyle w:val="Normal1"/>
        <w:ind w:firstLine="709"/>
      </w:pPr>
    </w:p>
    <w:p w:rsidR="005B77DC" w:rsidRDefault="005B77DC">
      <w:pPr>
        <w:pStyle w:val="Normal1"/>
        <w:ind w:firstLine="709"/>
      </w:pPr>
    </w:p>
    <w:p w:rsidR="005B77DC" w:rsidRDefault="005B77DC">
      <w:pPr>
        <w:pStyle w:val="Normal1"/>
        <w:ind w:firstLine="709"/>
      </w:pPr>
    </w:p>
    <w:p w:rsidR="005B77DC" w:rsidRDefault="005B77DC">
      <w:pPr>
        <w:pStyle w:val="Normal1"/>
        <w:ind w:firstLine="709"/>
        <w:rPr>
          <w:color w:val="000000"/>
          <w:highlight w:val="white"/>
        </w:rPr>
      </w:pPr>
    </w:p>
    <w:p w:rsidR="005B77DC" w:rsidRDefault="005B77DC">
      <w:pPr>
        <w:pStyle w:val="Normal1"/>
        <w:ind w:firstLine="709"/>
        <w:rPr>
          <w:color w:val="000000"/>
          <w:highlight w:val="white"/>
        </w:rPr>
      </w:pPr>
    </w:p>
    <w:p w:rsidR="005B77DC" w:rsidRDefault="005B77DC">
      <w:pPr>
        <w:pStyle w:val="Normal1"/>
        <w:ind w:firstLine="709"/>
        <w:rPr>
          <w:b/>
        </w:rPr>
      </w:pPr>
    </w:p>
    <w:p w:rsidR="005B77DC" w:rsidRDefault="005B77DC">
      <w:pPr>
        <w:pStyle w:val="Normal1"/>
        <w:ind w:firstLine="709"/>
        <w:rPr>
          <w:b/>
        </w:rPr>
      </w:pPr>
    </w:p>
    <w:p w:rsidR="005B77DC" w:rsidRDefault="004F6C22">
      <w:pPr>
        <w:pStyle w:val="Normal1"/>
        <w:spacing w:after="200" w:line="276" w:lineRule="auto"/>
        <w:ind w:firstLine="0"/>
        <w:jc w:val="left"/>
        <w:rPr>
          <w:b/>
        </w:rPr>
      </w:pPr>
      <w:r>
        <w:br w:type="page"/>
      </w:r>
    </w:p>
    <w:p w:rsidR="005B77DC" w:rsidRDefault="004F6C22">
      <w:pPr>
        <w:pStyle w:val="Normal1"/>
        <w:ind w:firstLine="0"/>
        <w:jc w:val="center"/>
        <w:rPr>
          <w:sz w:val="28"/>
          <w:szCs w:val="28"/>
        </w:rPr>
      </w:pPr>
      <w:bookmarkStart w:id="9" w:name="_2s8eyo1" w:colFirst="0" w:colLast="0"/>
      <w:bookmarkEnd w:id="9"/>
      <w:r>
        <w:rPr>
          <w:b/>
          <w:sz w:val="28"/>
          <w:szCs w:val="28"/>
        </w:rPr>
        <w:lastRenderedPageBreak/>
        <w:t>2. GENEL BİLGİLER</w:t>
      </w:r>
    </w:p>
    <w:p w:rsidR="005B77DC" w:rsidRDefault="005B77DC">
      <w:pPr>
        <w:pStyle w:val="Normal1"/>
        <w:ind w:firstLine="0"/>
        <w:jc w:val="center"/>
        <w:rPr>
          <w:b/>
        </w:rPr>
      </w:pPr>
    </w:p>
    <w:p w:rsidR="005B77DC" w:rsidRDefault="005B77DC">
      <w:pPr>
        <w:pStyle w:val="Normal1"/>
        <w:ind w:firstLine="0"/>
        <w:jc w:val="center"/>
        <w:rPr>
          <w:b/>
        </w:rPr>
      </w:pPr>
    </w:p>
    <w:p w:rsidR="005B77DC" w:rsidRDefault="004F6C22">
      <w:pPr>
        <w:pStyle w:val="Normal1"/>
        <w:ind w:firstLine="0"/>
        <w:rPr>
          <w:b/>
        </w:rPr>
      </w:pPr>
      <w:r>
        <w:rPr>
          <w:b/>
        </w:rPr>
        <w:t>2.1. Miyeloproliferatif Hastalıklara Genel Bakış</w:t>
      </w:r>
    </w:p>
    <w:p w:rsidR="005B77DC" w:rsidRDefault="005B77DC">
      <w:pPr>
        <w:pStyle w:val="Normal1"/>
        <w:ind w:firstLine="0"/>
      </w:pPr>
    </w:p>
    <w:p w:rsidR="005B77DC" w:rsidRDefault="004F6C22">
      <w:pPr>
        <w:pStyle w:val="Normal1"/>
        <w:ind w:firstLine="709"/>
      </w:pPr>
      <w:r>
        <w:t>Hematopoetik pluripotent kök hücre kendi kendini yenileyebilir ve farklılaştırabilir. Etkili hematopoez için büyüme faktörleri ve reseptör etkileşimlerinin sağlıklı olduğu bir mikroçevre gereklidir (McCulloch EA, 1993).</w:t>
      </w:r>
    </w:p>
    <w:p w:rsidR="005B77DC" w:rsidRDefault="004F6C22">
      <w:pPr>
        <w:pStyle w:val="Normal1"/>
        <w:ind w:firstLine="709"/>
      </w:pPr>
      <w:r>
        <w:t>Hematolojik kaynaklı malign hastalıklar hücre doğasına göre miyeloid ve lenfoid, kemik iliğindeki blast (olgunlaşmamış öncü hücre) oranına göre kronik ve akut olarak sınıflandırılmaktadır (Şekil 1).</w:t>
      </w:r>
    </w:p>
    <w:p w:rsidR="005B77DC" w:rsidRDefault="004F6C22">
      <w:pPr>
        <w:pStyle w:val="Normal1"/>
        <w:ind w:firstLine="0"/>
        <w:jc w:val="center"/>
      </w:pPr>
      <w:r>
        <w:rPr>
          <w:noProof/>
        </w:rPr>
        <w:drawing>
          <wp:inline distT="0" distB="0" distL="0" distR="0">
            <wp:extent cx="4356000" cy="5428376"/>
            <wp:effectExtent l="0" t="0" r="0" b="0"/>
            <wp:docPr id="3"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9"/>
                    <a:srcRect l="25020" t="1151" r="19544" b="4877"/>
                    <a:stretch>
                      <a:fillRect/>
                    </a:stretch>
                  </pic:blipFill>
                  <pic:spPr>
                    <a:xfrm>
                      <a:off x="0" y="0"/>
                      <a:ext cx="4356000" cy="5428376"/>
                    </a:xfrm>
                    <a:prstGeom prst="rect">
                      <a:avLst/>
                    </a:prstGeom>
                    <a:ln/>
                  </pic:spPr>
                </pic:pic>
              </a:graphicData>
            </a:graphic>
          </wp:inline>
        </w:drawing>
      </w:r>
    </w:p>
    <w:p w:rsidR="005B77DC" w:rsidRDefault="005B77DC">
      <w:pPr>
        <w:pStyle w:val="Normal1"/>
        <w:ind w:firstLine="0"/>
        <w:rPr>
          <w:b/>
        </w:rPr>
      </w:pPr>
    </w:p>
    <w:p w:rsidR="005B77DC" w:rsidRDefault="004F6C22">
      <w:pPr>
        <w:pStyle w:val="Normal1"/>
        <w:ind w:firstLine="0"/>
        <w:jc w:val="center"/>
      </w:pPr>
      <w:r>
        <w:rPr>
          <w:b/>
        </w:rPr>
        <w:t>Şekil 1.</w:t>
      </w:r>
      <w:r>
        <w:t xml:space="preserve"> Hematolojik malignansiler.</w:t>
      </w:r>
    </w:p>
    <w:p w:rsidR="005B77DC" w:rsidRDefault="004F6C22">
      <w:pPr>
        <w:pStyle w:val="Normal1"/>
        <w:ind w:firstLine="709"/>
      </w:pPr>
      <w:r>
        <w:lastRenderedPageBreak/>
        <w:t>ET, klonal kök hücre hastalıklarından biri olup PV ve PMF ile birlikte klasik BCR-ABL negatif kronik miyeloproliferatif bozukluklar (MPB) arasında yer almaktadır.</w:t>
      </w:r>
    </w:p>
    <w:p w:rsidR="005B77DC" w:rsidRDefault="005B77DC">
      <w:pPr>
        <w:pStyle w:val="Normal1"/>
        <w:ind w:firstLine="709"/>
      </w:pPr>
    </w:p>
    <w:p w:rsidR="005B77DC" w:rsidRDefault="005B77DC">
      <w:pPr>
        <w:pStyle w:val="Normal1"/>
        <w:ind w:firstLine="709"/>
      </w:pPr>
    </w:p>
    <w:p w:rsidR="005B77DC" w:rsidRDefault="004F6C22">
      <w:pPr>
        <w:pStyle w:val="Normal1"/>
        <w:ind w:firstLine="0"/>
        <w:rPr>
          <w:b/>
        </w:rPr>
      </w:pPr>
      <w:bookmarkStart w:id="10" w:name="_17dp8vu" w:colFirst="0" w:colLast="0"/>
      <w:bookmarkEnd w:id="10"/>
      <w:r>
        <w:rPr>
          <w:b/>
        </w:rPr>
        <w:t>2.2. Esansiyel (Primer) Trombositoz</w:t>
      </w:r>
    </w:p>
    <w:p w:rsidR="005B77DC" w:rsidRDefault="005B77DC">
      <w:pPr>
        <w:pStyle w:val="Normal1"/>
        <w:ind w:firstLine="709"/>
        <w:rPr>
          <w:b/>
        </w:rPr>
      </w:pPr>
    </w:p>
    <w:p w:rsidR="005B77DC" w:rsidRDefault="004F6C22">
      <w:pPr>
        <w:pStyle w:val="Normal1"/>
        <w:ind w:firstLine="709"/>
      </w:pPr>
      <w:r>
        <w:t xml:space="preserve">ET, PV ve PMF klasik BCR-ABL negatif kronik miyeloproliferatif bozuklukları (MPB) oluşturur. Primer trombositoz, KML, PV ve PMF gibi klonal kök hücre bozukluklarından biri olup kendini izole trombositoz ve trombohemorajik </w:t>
      </w:r>
      <w:proofErr w:type="gramStart"/>
      <w:r>
        <w:t>komplikasyonlarla</w:t>
      </w:r>
      <w:proofErr w:type="gramEnd"/>
      <w:r>
        <w:t xml:space="preserve"> göstermektedir. Onlardan farklı olarak primer trombositoz sitogenetik veya morfolojik olarak çok iyi tanımlanamayıp tanısı hala büyük ölçüde diğer hastalıkların dışlanmasına dayanmaktadır (Tefferi A, 1998; Harrison CN, 2002).</w:t>
      </w:r>
    </w:p>
    <w:p w:rsidR="005B77DC" w:rsidRDefault="004F6C22">
      <w:pPr>
        <w:pStyle w:val="Normal1"/>
        <w:ind w:firstLine="709"/>
      </w:pPr>
      <w:r>
        <w:t xml:space="preserve">Kısacası primer trombositoz, kronik ve reaktif olmayan bir trombositozda diğer kronik miyeloproliferatif bozuklukların dışlanmasıyla tanımlanır. Primer trombositoz, ilk kez 1930’larda </w:t>
      </w:r>
      <w:proofErr w:type="gramStart"/>
      <w:r>
        <w:t>spesifik</w:t>
      </w:r>
      <w:proofErr w:type="gramEnd"/>
      <w:r>
        <w:t xml:space="preserve"> bir klinik tablo olarak tanımlanmış olmasına rağmen, yakın zamana kadar hastalığın patogenezi h</w:t>
      </w:r>
      <w:r w:rsidR="00FE5909">
        <w:t xml:space="preserve">akkında çok az şey biliniyordu. </w:t>
      </w:r>
      <w:proofErr w:type="gramStart"/>
      <w:r w:rsidR="00DF5395">
        <w:t xml:space="preserve">2005 yılında, </w:t>
      </w:r>
      <w:r>
        <w:t xml:space="preserve">primer trombositoz ve </w:t>
      </w:r>
      <w:r w:rsidR="00FE5909">
        <w:t xml:space="preserve">primer miyelofibrozlu </w:t>
      </w:r>
      <w:r>
        <w:t>vakaların yaklaşık yarısında JAK2’de edinilmiş bir mutasyon (V617F) bildirilmiştir; bu vakaların %</w:t>
      </w:r>
      <w:r w:rsidR="00FE5909">
        <w:t xml:space="preserve">4’ünde MPL’de mutasyon bulundu; </w:t>
      </w:r>
      <w:r>
        <w:t>buna ek olarak TET2 mutasyonları, JAK2 V617F pozitif ve negatif primer trombositozlu hastalarının yanı sıra diğer miyeloid malignitelerde de bulunabilir (Levine RL ve ark, 2007; Delhommeau F ve ark, 2009).</w:t>
      </w:r>
      <w:proofErr w:type="gramEnd"/>
    </w:p>
    <w:p w:rsidR="005B77DC" w:rsidRDefault="004F6C22">
      <w:pPr>
        <w:pStyle w:val="Normal1"/>
        <w:ind w:firstLine="709"/>
        <w:rPr>
          <w:b/>
        </w:rPr>
      </w:pPr>
      <w:r>
        <w:t>Günümüzde MPB’de bu üç mutasyon dışında, klinik önemleri tam olarak bilinmeyen başka birçok mutasyon (ASXL1, CBL, IDH ve IKZF1 gibi) bulunmuştur ve böylece moleküler patoloji daha iyi anlaşılmıştır (Tefferi A, 2010; Klco JM, 2010). Moleküler belirteçler artık primer trombositoz sınıflandırılmasını ve tanımını ve dolayısıyla tedavi stratejisini etkilemektedir (Harrison C, 2010).</w:t>
      </w:r>
    </w:p>
    <w:p w:rsidR="005B77DC" w:rsidRDefault="005B77DC">
      <w:pPr>
        <w:pStyle w:val="Normal1"/>
        <w:ind w:firstLine="709"/>
        <w:rPr>
          <w:b/>
        </w:rPr>
      </w:pPr>
      <w:bookmarkStart w:id="11" w:name="_3rdcrjn" w:colFirst="0" w:colLast="0"/>
      <w:bookmarkEnd w:id="11"/>
    </w:p>
    <w:p w:rsidR="005B77DC" w:rsidRDefault="005B77DC">
      <w:pPr>
        <w:pStyle w:val="Normal1"/>
        <w:ind w:firstLine="709"/>
        <w:rPr>
          <w:b/>
        </w:rPr>
      </w:pPr>
    </w:p>
    <w:p w:rsidR="005B77DC" w:rsidRDefault="004F6C22">
      <w:pPr>
        <w:pStyle w:val="Normal1"/>
        <w:ind w:firstLine="0"/>
        <w:rPr>
          <w:b/>
        </w:rPr>
      </w:pPr>
      <w:r>
        <w:rPr>
          <w:b/>
        </w:rPr>
        <w:t>2.2.1. Epidemiyoloji</w:t>
      </w:r>
    </w:p>
    <w:p w:rsidR="005B77DC" w:rsidRDefault="005B77DC">
      <w:pPr>
        <w:pStyle w:val="Normal1"/>
        <w:ind w:firstLine="709"/>
        <w:rPr>
          <w:b/>
        </w:rPr>
      </w:pPr>
    </w:p>
    <w:p w:rsidR="005B77DC" w:rsidRDefault="004F6C22">
      <w:pPr>
        <w:pStyle w:val="Normal1"/>
        <w:tabs>
          <w:tab w:val="left" w:pos="567"/>
        </w:tabs>
        <w:ind w:firstLine="709"/>
      </w:pPr>
      <w:r>
        <w:t>Primer trombositozun yıllık insidansı 100.000 kişi başına 1-2.5’dur; yani bu hastalığın tanı yaşı geniş bir aralıkta değişmektedir ve 50-70 yaş arasında zirve yapmaktadır (McNally RJ, 1997; Mesa RA, 1999).</w:t>
      </w:r>
    </w:p>
    <w:p w:rsidR="005B77DC" w:rsidRDefault="004F6C22">
      <w:pPr>
        <w:pStyle w:val="Normal1"/>
        <w:tabs>
          <w:tab w:val="left" w:pos="567"/>
        </w:tabs>
        <w:ind w:firstLine="709"/>
      </w:pPr>
      <w:r>
        <w:t xml:space="preserve">Otomatik kan sayım (CBC) yani hemogram cihazlarının yaygın kullanımının genellikle bu asemptomatik ve sinsi hastalığın tanınmasını arttırdığı düşünülmektedir. Çocuklarda oldukça </w:t>
      </w:r>
      <w:r>
        <w:lastRenderedPageBreak/>
        <w:t>nadir görülmektedir. Bu vakaların bazıları TPO veya reseptörün (c-MPL) “ailesel” mutasyonlarından kaynaklanmaktadır. Bununla birlikte, çocuklarda klonalite ve JAK2 mutasyonu çalışmalarında yetişkinlerdekine benzer iyi tanımlanmış v</w:t>
      </w:r>
      <w:r w:rsidR="00FE5909">
        <w:t xml:space="preserve">akalar da vardır (Mesa RA, 1999; </w:t>
      </w:r>
      <w:r>
        <w:t>Tefili L, 2007).</w:t>
      </w:r>
    </w:p>
    <w:p w:rsidR="005B77DC" w:rsidRDefault="005B77DC">
      <w:pPr>
        <w:pStyle w:val="Normal1"/>
        <w:ind w:firstLine="709"/>
        <w:rPr>
          <w:b/>
        </w:rPr>
      </w:pPr>
      <w:bookmarkStart w:id="12" w:name="_26in1rg" w:colFirst="0" w:colLast="0"/>
      <w:bookmarkEnd w:id="12"/>
    </w:p>
    <w:p w:rsidR="005B77DC" w:rsidRDefault="005B77DC">
      <w:pPr>
        <w:pStyle w:val="Normal1"/>
        <w:ind w:firstLine="709"/>
      </w:pPr>
    </w:p>
    <w:p w:rsidR="005B77DC" w:rsidRDefault="004F6C22">
      <w:pPr>
        <w:pStyle w:val="Normal1"/>
        <w:ind w:firstLine="0"/>
        <w:rPr>
          <w:b/>
          <w:color w:val="000000"/>
        </w:rPr>
      </w:pPr>
      <w:r>
        <w:rPr>
          <w:b/>
          <w:color w:val="000000"/>
        </w:rPr>
        <w:t>2.2.2. Patogenez</w:t>
      </w:r>
    </w:p>
    <w:p w:rsidR="005B77DC" w:rsidRDefault="005B77DC">
      <w:pPr>
        <w:pStyle w:val="Normal1"/>
        <w:ind w:firstLine="709"/>
        <w:rPr>
          <w:b/>
          <w:color w:val="000000"/>
        </w:rPr>
      </w:pPr>
    </w:p>
    <w:p w:rsidR="005B77DC" w:rsidRDefault="004F6C22">
      <w:pPr>
        <w:pStyle w:val="Normal1"/>
        <w:ind w:firstLine="709"/>
      </w:pPr>
      <w:r>
        <w:t>Primer trombositozda platelet yani kan pulcuklarının ömrü normal ya da normale yakın olup megakaryositler ise sayıca artmıştır ve çekirdekleri hiperlobulatlanmıştır. Sonuç olarak, trombositoz, normalin on katına yakın olan etkili bir trombosit üretiminden kaynaklanmaktadır (Jacobson S ve ark, 1996).</w:t>
      </w:r>
    </w:p>
    <w:p w:rsidR="005B77DC" w:rsidRDefault="004F6C22">
      <w:pPr>
        <w:pStyle w:val="Normal1"/>
        <w:ind w:firstLine="709"/>
      </w:pPr>
      <w:r>
        <w:t>TPO ve c-MPL patogenezde önemli bir role sahip değildir. Endojen megakaryosit koloni gelişimi trombopoietini ilgilendiren otokrin uyaranından kaynaklanmaz. Serum trombopoietin düzeyleri uygunsuz olarak normal ya da biraz yüksek bulunmaktadır. Bunun nedeni, kemik iliği stromasında TPO üretiminin artması ya da plateletlerde artan c-MPL ekspresyonu nedeniyle azalan ligand klerensi olabilir (Taksin AL ve ark, 1999; Hashimato K ve ark, 1997).</w:t>
      </w:r>
    </w:p>
    <w:p w:rsidR="005B77DC" w:rsidRDefault="004F6C22">
      <w:pPr>
        <w:pStyle w:val="Normal1"/>
        <w:ind w:firstLine="709"/>
      </w:pPr>
      <w:r>
        <w:t>Bu hastalığın asıl etiyolojik sebebi hakkında çok az şey biliniyor. Çevresel faktörler arasında saç boyalarına uzun süreli maruz kalma, gama ışınlaması ve potansiyel risk faktörleri olarak radon bulunmaktadır (Mele A ve ark, 1996; Falcetta R ve ark, 2003).</w:t>
      </w:r>
    </w:p>
    <w:p w:rsidR="005B77DC" w:rsidRDefault="004F6C22">
      <w:pPr>
        <w:pStyle w:val="Normal1"/>
        <w:ind w:firstLine="709"/>
      </w:pPr>
      <w:r>
        <w:t xml:space="preserve">Polisitemia vera ve primer miyelofibrozda olduğu gibi primer trombositozda da ailesel yatkınlık vardır ve bu yatkınlık kısmen JAK2 geni içeren </w:t>
      </w:r>
      <w:proofErr w:type="gramStart"/>
      <w:r>
        <w:t>spesifik</w:t>
      </w:r>
      <w:proofErr w:type="gramEnd"/>
      <w:r>
        <w:t xml:space="preserve"> bir haplotipin kalıtımı ile ilgilidir (Landgren O ve ark, 2008; Jones AV ve ark, 2009).</w:t>
      </w:r>
    </w:p>
    <w:p w:rsidR="005B77DC" w:rsidRDefault="004F6C22">
      <w:pPr>
        <w:pStyle w:val="Normal1"/>
        <w:ind w:firstLine="709"/>
        <w:rPr>
          <w:color w:val="000000"/>
        </w:rPr>
      </w:pPr>
      <w:r>
        <w:t xml:space="preserve">Primer trombositozun yirmi yıldır klonal bir hastalık olduğu bilinmesine rağmen moleküler patogenezi ancak yakın zamanda JAK2 genine edinilmiş mutasyonların (JAK2V617F) sokulmasıyla anlaşılmıştır. JAK2, sitoplazmik tirozin kinaz ailesinin bir üyesi olup eritropoetin (EPO) ve TPO reseptörleri yoluyla sinyal iletiminde temel bir rol oynamaktadır. Doğal olarak, EPO bağlanması JAK2-reseptör </w:t>
      </w:r>
      <w:proofErr w:type="gramStart"/>
      <w:r>
        <w:t>kompleksinde</w:t>
      </w:r>
      <w:proofErr w:type="gramEnd"/>
      <w:r>
        <w:t xml:space="preserve"> konformasyonel değişikliğe yol açıp JAK2 kinaz aktivitesine neden olmaktadır. JAK2 V617F mutasyonu, otoinhibitör psödokinaz (JH2) bölgesinde değişikliğe yol açmaktadır. Sonuç olarak JAK2-reseptör </w:t>
      </w:r>
      <w:proofErr w:type="gramStart"/>
      <w:r>
        <w:t>kompleksinin</w:t>
      </w:r>
      <w:proofErr w:type="gramEnd"/>
      <w:r>
        <w:t xml:space="preserve"> temel aktivitesi artmaktadır (Tefferi A ve ark, 2007).</w:t>
      </w:r>
    </w:p>
    <w:p w:rsidR="005B77DC" w:rsidRDefault="005B77DC">
      <w:pPr>
        <w:pStyle w:val="Normal1"/>
        <w:ind w:firstLine="0"/>
        <w:rPr>
          <w:b/>
          <w:color w:val="000000"/>
        </w:rPr>
      </w:pPr>
    </w:p>
    <w:p w:rsidR="00F3699A" w:rsidRDefault="00F3699A">
      <w:pPr>
        <w:pStyle w:val="Normal1"/>
        <w:ind w:firstLine="0"/>
        <w:rPr>
          <w:b/>
        </w:rPr>
      </w:pPr>
    </w:p>
    <w:p w:rsidR="00F3699A" w:rsidRDefault="00F3699A">
      <w:pPr>
        <w:pStyle w:val="Normal1"/>
        <w:ind w:firstLine="0"/>
        <w:rPr>
          <w:b/>
        </w:rPr>
      </w:pPr>
    </w:p>
    <w:p w:rsidR="005B77DC" w:rsidRDefault="004F6C22">
      <w:pPr>
        <w:pStyle w:val="Normal1"/>
        <w:ind w:firstLine="0"/>
        <w:rPr>
          <w:b/>
        </w:rPr>
      </w:pPr>
      <w:r>
        <w:rPr>
          <w:b/>
        </w:rPr>
        <w:lastRenderedPageBreak/>
        <w:t>2.2.3. Tanı</w:t>
      </w:r>
    </w:p>
    <w:p w:rsidR="005B77DC" w:rsidRDefault="005B77DC">
      <w:pPr>
        <w:pStyle w:val="Normal1"/>
        <w:ind w:firstLine="709"/>
        <w:rPr>
          <w:b/>
        </w:rPr>
      </w:pPr>
    </w:p>
    <w:p w:rsidR="005B77DC" w:rsidRDefault="004F6C22">
      <w:pPr>
        <w:pStyle w:val="Normal1"/>
        <w:ind w:firstLine="709"/>
      </w:pPr>
      <w:r>
        <w:t>Primer trombositoz, diğer kronik miyeloproliferatif bozukluklardan farklı olacak şekilde bir dışlama tanısı olarak dikkati çekmektedir. Böylece reaktif veya klonal sebep olmaksızın kalıcı trombositoz varlığında primer trombositoz hakkında konuşmak mümkündür (Harrison CN, 2002). Bu anlamda, primer trombositozdan mutlaka ayrımı yapılması gereken hastalıklar PV, PMF, KML, MDS ve sekonder trombositoz olarak sıralanmaktadır (Harrison CN, 2002; Schafer AI, 2006). Sekonder trombositoza neden olan faktörler hariç tutulduktan sonra, primer trombositozun sebepleri araştırılmalıdır.</w:t>
      </w:r>
    </w:p>
    <w:p w:rsidR="005B77DC" w:rsidRDefault="004F6C22">
      <w:pPr>
        <w:pStyle w:val="Normal1"/>
        <w:ind w:firstLine="709"/>
      </w:pPr>
      <w:r>
        <w:t>Sekonder trombositoz, hematolojik veya hematolojik olmayan sebeplere bağlı olarak trombosit yani kan pulcuklarının üretiminin uyarılması ile gelişmektedir. Trombositoz, bu duruma sebep olan nedenin kontrolü ve tedavisi ile gerilemektedir (Bleeker JS ve ark, 2011).</w:t>
      </w:r>
    </w:p>
    <w:p w:rsidR="005B77DC" w:rsidRDefault="004F6C22">
      <w:pPr>
        <w:pStyle w:val="Normal1"/>
        <w:ind w:firstLine="709"/>
      </w:pPr>
      <w:r>
        <w:t xml:space="preserve">Sekonder trombositozun sıklığı yetişkinlerde %88-97 iken, çocuk hastalarda ise %100 olarak bilinir (Bangerter M ve ark, 1999; Matsubara K ve ark, 2004). Sekonder trombositoz hastanedeki çocukların %6-15’inde görülmektedir (Sutor AH, 1999; Matsubara K ve ark, 2004). Çocuk yaştaki reaktif trombositoz, en sık ilk iki yaşta görülür. Trombositoz sıklığı yenidoğan döneminde %36 olarak bildirilmiş ve çoğunun düşük doğum ağırlıklı ve/veya </w:t>
      </w:r>
      <w:proofErr w:type="gramStart"/>
      <w:r>
        <w:t>enfeksiyonlu</w:t>
      </w:r>
      <w:proofErr w:type="gramEnd"/>
      <w:r>
        <w:t xml:space="preserve"> bebekler olduğu bildirilmiştir (Matsubara K ve ark, 2004). Yenidoğan döneminde, çocukluk ve yetişkinliğe göre daha yüksek dolaşımdaki TPO </w:t>
      </w:r>
      <w:proofErr w:type="gramStart"/>
      <w:r>
        <w:t>konsantrasyonu</w:t>
      </w:r>
      <w:proofErr w:type="gramEnd"/>
      <w:r>
        <w:t xml:space="preserve"> ve megakaryosit öncüllerinin dolaşımdaki TPO’ya daha duyarlı olduğu gösterilmiştir. Fetal stres, preeklampsi, </w:t>
      </w:r>
      <w:proofErr w:type="gramStart"/>
      <w:r>
        <w:t>enfeksiyon</w:t>
      </w:r>
      <w:proofErr w:type="gramEnd"/>
      <w:r>
        <w:t xml:space="preserve"> gibi ek risk faktörleri, bu bebeklerde trombositoza sebep olmaktadır (Dame C ve ark, 2002; Sola MC ve ark, 2000). Reaktif insidansı 6-11 aylık dönemde %13 iken 11-15 yaş arasında azalarak %0,6’ya düşmektedir. Sekonder trombositozlu çocuklarda trombosit sayısının 1.000.000/μL’den fazla olma sıklığı %0,5 ile %3 arasında değişir (Fukaya T ve ark, 2004).</w:t>
      </w:r>
    </w:p>
    <w:p w:rsidR="005B77DC" w:rsidRDefault="004F6C22">
      <w:pPr>
        <w:pStyle w:val="Normal1"/>
        <w:ind w:firstLine="709"/>
        <w:rPr>
          <w:b/>
        </w:rPr>
      </w:pPr>
      <w:r>
        <w:t xml:space="preserve">Primer trombositozun çocuklarda sıklığı yaklaşık yılda 1/10.000.000’dur. Çocuklarda primer trombositoz görülme sıklığı, yetişkinlerde görülme sıklığının 60’da biridir (Hasle H, 2000). Primer trombositoz tanısı için Polisitemia Vera Çalışma Grubu (PVSG) tarafından belirlenen modernleştirilmiş tanı </w:t>
      </w:r>
      <w:proofErr w:type="gramStart"/>
      <w:r>
        <w:t>kriterleri</w:t>
      </w:r>
      <w:proofErr w:type="gramEnd"/>
      <w:r>
        <w:t xml:space="preserve"> vardır ve tüm tanı kriterleri gereklidir (Hoagland HC ve ark, 2001; Murphy S ve ark, 1995). DSÖ tarafından yayınlanan </w:t>
      </w:r>
      <w:proofErr w:type="gramStart"/>
      <w:r>
        <w:t>kriterlerde</w:t>
      </w:r>
      <w:proofErr w:type="gramEnd"/>
      <w:r>
        <w:t xml:space="preserve"> benzer özelliklere sahiptir (Tablo 1).</w:t>
      </w:r>
    </w:p>
    <w:p w:rsidR="005B77DC" w:rsidRDefault="005B77DC">
      <w:pPr>
        <w:pStyle w:val="Normal1"/>
        <w:ind w:firstLine="709"/>
        <w:rPr>
          <w:b/>
        </w:rPr>
      </w:pPr>
    </w:p>
    <w:p w:rsidR="006D700E" w:rsidRDefault="006D700E">
      <w:pPr>
        <w:pStyle w:val="Normal1"/>
        <w:ind w:firstLine="0"/>
        <w:rPr>
          <w:b/>
        </w:rPr>
      </w:pPr>
    </w:p>
    <w:p w:rsidR="006D700E" w:rsidRDefault="006D700E">
      <w:pPr>
        <w:pStyle w:val="Normal1"/>
        <w:ind w:firstLine="0"/>
        <w:rPr>
          <w:b/>
        </w:rPr>
      </w:pPr>
    </w:p>
    <w:p w:rsidR="006D700E" w:rsidRDefault="006D700E">
      <w:pPr>
        <w:pStyle w:val="Normal1"/>
        <w:ind w:firstLine="0"/>
        <w:rPr>
          <w:b/>
        </w:rPr>
      </w:pPr>
    </w:p>
    <w:p w:rsidR="005B77DC" w:rsidRDefault="004F6C22">
      <w:pPr>
        <w:pStyle w:val="Normal1"/>
        <w:ind w:firstLine="0"/>
      </w:pPr>
      <w:r>
        <w:rPr>
          <w:b/>
        </w:rPr>
        <w:lastRenderedPageBreak/>
        <w:t>Tablo 1.</w:t>
      </w:r>
      <w:r>
        <w:t xml:space="preserve"> Esansiyel trombositoz için tanı </w:t>
      </w:r>
      <w:proofErr w:type="gramStart"/>
      <w:r>
        <w:t>kriterleri</w:t>
      </w:r>
      <w:proofErr w:type="gramEnd"/>
      <w:r>
        <w:t xml:space="preserve"> (Tefferi A ve ark, 2007).</w:t>
      </w:r>
    </w:p>
    <w:tbl>
      <w:tblPr>
        <w:tblStyle w:val="a0"/>
        <w:tblW w:w="8505" w:type="dxa"/>
        <w:jc w:val="center"/>
        <w:tblInd w:w="0" w:type="dxa"/>
        <w:tblBorders>
          <w:top w:val="single" w:sz="8" w:space="0" w:color="4F81BD"/>
          <w:left w:val="nil"/>
          <w:bottom w:val="single" w:sz="8" w:space="0" w:color="4F81BD"/>
          <w:right w:val="nil"/>
          <w:insideH w:val="single" w:sz="4" w:space="0" w:color="BFBFBF"/>
          <w:insideV w:val="single" w:sz="4" w:space="0" w:color="BFBFBF"/>
        </w:tblBorders>
        <w:tblLayout w:type="fixed"/>
        <w:tblLook w:val="0400"/>
      </w:tblPr>
      <w:tblGrid>
        <w:gridCol w:w="8505"/>
      </w:tblGrid>
      <w:tr w:rsidR="005B77DC">
        <w:trPr>
          <w:trHeight w:val="1158"/>
          <w:jc w:val="center"/>
        </w:trPr>
        <w:tc>
          <w:tcPr>
            <w:tcW w:w="8505" w:type="dxa"/>
          </w:tcPr>
          <w:p w:rsidR="005B77DC" w:rsidRPr="006D700E" w:rsidRDefault="004F6C22">
            <w:pPr>
              <w:pStyle w:val="Normal1"/>
              <w:ind w:left="261" w:hanging="261"/>
              <w:rPr>
                <w:color w:val="auto"/>
                <w:sz w:val="20"/>
                <w:szCs w:val="20"/>
              </w:rPr>
            </w:pPr>
            <w:r w:rsidRPr="006D700E">
              <w:rPr>
                <w:color w:val="auto"/>
                <w:sz w:val="20"/>
                <w:szCs w:val="20"/>
              </w:rPr>
              <w:t>1. Trombosit sayısının &gt;450.000/μL olması gerekir.</w:t>
            </w:r>
          </w:p>
          <w:p w:rsidR="005B77DC" w:rsidRPr="006D700E" w:rsidRDefault="004F6C22">
            <w:pPr>
              <w:pStyle w:val="Normal1"/>
              <w:ind w:left="261" w:hanging="261"/>
              <w:rPr>
                <w:color w:val="auto"/>
                <w:sz w:val="20"/>
                <w:szCs w:val="20"/>
              </w:rPr>
            </w:pPr>
            <w:r w:rsidRPr="006D700E">
              <w:rPr>
                <w:color w:val="auto"/>
                <w:sz w:val="20"/>
                <w:szCs w:val="20"/>
              </w:rPr>
              <w:t>2. Kemik iliği biyopsisinde matür ve büyük morfolojili megakaryositlerin artışı, ancak eritroid ya da miyelositer seride sola kayma olmamasıdır.</w:t>
            </w:r>
          </w:p>
          <w:p w:rsidR="005B77DC" w:rsidRPr="006D700E" w:rsidRDefault="004F6C22">
            <w:pPr>
              <w:pStyle w:val="Normal1"/>
              <w:ind w:left="261" w:hanging="261"/>
              <w:rPr>
                <w:color w:val="auto"/>
                <w:sz w:val="20"/>
                <w:szCs w:val="20"/>
              </w:rPr>
            </w:pPr>
            <w:r w:rsidRPr="006D700E">
              <w:rPr>
                <w:color w:val="auto"/>
                <w:sz w:val="20"/>
                <w:szCs w:val="20"/>
              </w:rPr>
              <w:t xml:space="preserve">3. DSÖ </w:t>
            </w:r>
            <w:proofErr w:type="gramStart"/>
            <w:r w:rsidRPr="006D700E">
              <w:rPr>
                <w:color w:val="auto"/>
                <w:sz w:val="20"/>
                <w:szCs w:val="20"/>
              </w:rPr>
              <w:t>kriterlerine</w:t>
            </w:r>
            <w:proofErr w:type="gramEnd"/>
            <w:r w:rsidRPr="006D700E">
              <w:rPr>
                <w:color w:val="auto"/>
                <w:sz w:val="20"/>
                <w:szCs w:val="20"/>
              </w:rPr>
              <w:t xml:space="preserve"> göre PV, KML, MDS, PMF ve diğer myeloid neoplazilerin olmaması gerekir.</w:t>
            </w:r>
          </w:p>
          <w:p w:rsidR="005B77DC" w:rsidRPr="006D700E" w:rsidRDefault="004F6C22">
            <w:pPr>
              <w:pStyle w:val="Normal1"/>
              <w:ind w:left="261" w:hanging="261"/>
              <w:rPr>
                <w:color w:val="auto"/>
                <w:sz w:val="20"/>
                <w:szCs w:val="20"/>
              </w:rPr>
            </w:pPr>
            <w:r w:rsidRPr="006D700E">
              <w:rPr>
                <w:color w:val="auto"/>
                <w:sz w:val="20"/>
                <w:szCs w:val="20"/>
              </w:rPr>
              <w:t>4. JAK2V617F, MPLW515L/K veya diğer klonal belirteçlerin varlığı, eğer bunlar yoksa demir eksikliği veya diğer sekonder trombositoz nedenlerinin olmamasıdır.</w:t>
            </w:r>
          </w:p>
        </w:tc>
      </w:tr>
    </w:tbl>
    <w:p w:rsidR="005B77DC" w:rsidRDefault="005B77DC">
      <w:pPr>
        <w:pStyle w:val="Normal1"/>
        <w:ind w:firstLine="709"/>
      </w:pPr>
    </w:p>
    <w:p w:rsidR="005B77DC" w:rsidRDefault="004F6C22">
      <w:pPr>
        <w:pStyle w:val="Normal1"/>
        <w:ind w:firstLine="709"/>
      </w:pPr>
      <w:r>
        <w:t xml:space="preserve">İlk kez trombositoz tanılı hastalarda, testi tekrarlamak ve bunu periferik kan yayması ile doğrulamak mümkündür. Böylece ilk olarak psödotrombositoz dışlanmış olur. Yalancı trombositoz karışık kriyoglobulinemide kriyoglobulin </w:t>
      </w:r>
      <w:proofErr w:type="gramStart"/>
      <w:r>
        <w:t>partiküllerine</w:t>
      </w:r>
      <w:proofErr w:type="gramEnd"/>
      <w:r>
        <w:t xml:space="preserve">; lenfoma, lösemi, şiddetli hemoliz ve yanıklarda hücre fragmanlarına bağlı olmaktadır (Harrison CN ve ark, 2010). Bir sonraki adım otonom, sekonder ve klonal trombositoz ile C reaktif protein (CRP), serum ferritin gibi basit laboratuvar testlerini ayırt etmek için ayrıntılı geçmiş ve fiziksel muayeneyi içermektedir. Trombositoz süresi önemli olduğundan eski kayıtlara ulaşılmaya çalışılmalıdır. Son zamanlarda bu hastalığın tanısında cerrahi ya da </w:t>
      </w:r>
      <w:proofErr w:type="gramStart"/>
      <w:r>
        <w:t>travma</w:t>
      </w:r>
      <w:proofErr w:type="gramEnd"/>
      <w:r>
        <w:t>, enfeksiyon ya da inflamasyon varlığı, kanama, tromboz, demir eksikliği, kronik hematolojik bozukluğun ön tanısı, malignite düşündüren semptomlar, ilaç kullanımı ve dalak muayenesi özellikle önem içermektedir.</w:t>
      </w:r>
    </w:p>
    <w:p w:rsidR="005B77DC" w:rsidRDefault="004F6C22">
      <w:pPr>
        <w:pStyle w:val="Normal1"/>
        <w:ind w:firstLine="709"/>
      </w:pPr>
      <w:r>
        <w:t xml:space="preserve">Bir sonraki aşamada primer trombositoz şüphesi olan hastalarda JAK2 V617F mutasyonu aranması ilk bakılacak test olarak düşünülmektedir. Bu mutasyon primer trombositozlu vakaların yaklaşık yarısında bulunduğundan, pozitif olması tanıyı destekleyip, negatif olması ise tanıyı dışlamaz. Primer trombositoz düşünülen ancak JAK2 V617F negatif olan hastalarda MPL mutasyonu bakılması önerilir. İzole trombositoz durumunda, demir eksikliğinin dışlanması (PV maskelenebilir) ve PMF’yi (anemi, splenomegali, lökoeritroblastoz) düşündüren </w:t>
      </w:r>
      <w:proofErr w:type="gramStart"/>
      <w:r>
        <w:t>semptomların</w:t>
      </w:r>
      <w:proofErr w:type="gramEnd"/>
      <w:r>
        <w:t xml:space="preserve"> olmaması genellikle esansiyel trombositemi tanısı için yeterlidir. JAK2 V617F ve MPL mutasyonunun tespit edilmediği durumlarda tanı büyük ölçüde sekonder trombositoz nedenlerinin dışlanmasına ve kemik iliği incelemesine dayanmaktadır.</w:t>
      </w:r>
    </w:p>
    <w:p w:rsidR="005B77DC" w:rsidRDefault="005B77DC">
      <w:pPr>
        <w:pStyle w:val="Normal1"/>
        <w:ind w:firstLine="709"/>
      </w:pPr>
    </w:p>
    <w:p w:rsidR="005B77DC" w:rsidRDefault="005B77DC">
      <w:pPr>
        <w:pStyle w:val="Normal1"/>
        <w:ind w:firstLine="709"/>
      </w:pPr>
    </w:p>
    <w:p w:rsidR="005B77DC" w:rsidRDefault="005B77DC">
      <w:pPr>
        <w:pStyle w:val="Normal1"/>
        <w:ind w:firstLine="709"/>
      </w:pPr>
    </w:p>
    <w:p w:rsidR="005B77DC" w:rsidRDefault="005B77DC">
      <w:pPr>
        <w:pStyle w:val="Normal1"/>
        <w:ind w:firstLine="709"/>
      </w:pPr>
    </w:p>
    <w:p w:rsidR="006D700E" w:rsidRDefault="006D700E">
      <w:pPr>
        <w:pStyle w:val="Normal1"/>
        <w:ind w:left="709" w:hanging="709"/>
        <w:rPr>
          <w:b/>
        </w:rPr>
      </w:pPr>
    </w:p>
    <w:p w:rsidR="006D700E" w:rsidRDefault="006D700E">
      <w:pPr>
        <w:pStyle w:val="Normal1"/>
        <w:ind w:left="709" w:hanging="709"/>
        <w:rPr>
          <w:b/>
        </w:rPr>
      </w:pPr>
    </w:p>
    <w:p w:rsidR="006D700E" w:rsidRDefault="006D700E">
      <w:pPr>
        <w:pStyle w:val="Normal1"/>
        <w:ind w:left="709" w:hanging="709"/>
        <w:rPr>
          <w:b/>
        </w:rPr>
      </w:pPr>
    </w:p>
    <w:p w:rsidR="006D700E" w:rsidRDefault="006D700E">
      <w:pPr>
        <w:pStyle w:val="Normal1"/>
        <w:ind w:left="709" w:hanging="709"/>
        <w:rPr>
          <w:b/>
        </w:rPr>
      </w:pPr>
    </w:p>
    <w:p w:rsidR="005B77DC" w:rsidRDefault="004F6C22">
      <w:pPr>
        <w:pStyle w:val="Normal1"/>
        <w:ind w:left="709" w:hanging="709"/>
      </w:pPr>
      <w:r>
        <w:rPr>
          <w:b/>
        </w:rPr>
        <w:lastRenderedPageBreak/>
        <w:t>Tablo 2.</w:t>
      </w:r>
      <w:r>
        <w:t xml:space="preserve"> Çocukluk çağında primer ve sekonder trombositozun özellikleri (Evim MS ve ark, 2017).</w:t>
      </w:r>
    </w:p>
    <w:p w:rsidR="005B77DC" w:rsidRDefault="004F6C22">
      <w:pPr>
        <w:pStyle w:val="Normal1"/>
        <w:ind w:firstLine="0"/>
        <w:jc w:val="center"/>
      </w:pPr>
      <w:r>
        <w:rPr>
          <w:noProof/>
        </w:rPr>
        <w:drawing>
          <wp:inline distT="0" distB="0" distL="0" distR="0">
            <wp:extent cx="5400000" cy="6063294"/>
            <wp:effectExtent l="0" t="0" r="0" b="0"/>
            <wp:docPr id="5"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0"/>
                    <a:srcRect t="3708" r="4522" b="3348"/>
                    <a:stretch>
                      <a:fillRect/>
                    </a:stretch>
                  </pic:blipFill>
                  <pic:spPr>
                    <a:xfrm>
                      <a:off x="0" y="0"/>
                      <a:ext cx="5400000" cy="6063294"/>
                    </a:xfrm>
                    <a:prstGeom prst="rect">
                      <a:avLst/>
                    </a:prstGeom>
                    <a:ln/>
                  </pic:spPr>
                </pic:pic>
              </a:graphicData>
            </a:graphic>
          </wp:inline>
        </w:drawing>
      </w:r>
    </w:p>
    <w:p w:rsidR="005B77DC" w:rsidRDefault="005B77DC">
      <w:pPr>
        <w:pStyle w:val="Normal1"/>
        <w:ind w:firstLine="709"/>
      </w:pPr>
    </w:p>
    <w:p w:rsidR="005B77DC" w:rsidRDefault="005B77DC">
      <w:pPr>
        <w:pStyle w:val="Normal1"/>
        <w:ind w:firstLine="709"/>
      </w:pPr>
    </w:p>
    <w:p w:rsidR="005B77DC" w:rsidRDefault="004F6C22">
      <w:pPr>
        <w:pStyle w:val="Normal1"/>
        <w:ind w:firstLine="0"/>
        <w:rPr>
          <w:b/>
        </w:rPr>
      </w:pPr>
      <w:r>
        <w:rPr>
          <w:b/>
        </w:rPr>
        <w:t>2.2.4. Tedavi</w:t>
      </w:r>
    </w:p>
    <w:p w:rsidR="005B77DC" w:rsidRDefault="005B77DC">
      <w:pPr>
        <w:pStyle w:val="Normal1"/>
        <w:ind w:firstLine="709"/>
        <w:rPr>
          <w:b/>
        </w:rPr>
      </w:pPr>
    </w:p>
    <w:p w:rsidR="005B77DC" w:rsidRDefault="004F6C22">
      <w:pPr>
        <w:pStyle w:val="Normal1"/>
        <w:ind w:firstLine="709"/>
      </w:pPr>
      <w:r>
        <w:t xml:space="preserve">Erişkinlerde yaş, tromboz öyküsü ve kardiyovasküler risk faktörlerine göre risk sınıflaması yapılarak tedaviye karar verilmektedir. Genel yaklaşım asemptomatik hastalarda gözlem, düşük riskli olup ek olarak trombofilik risk faktörüne sahip hastalarda düşük doz aspirin verilmesi ve çok ciddi trombositozu veya tromboz/kanama </w:t>
      </w:r>
      <w:proofErr w:type="gramStart"/>
      <w:r>
        <w:t>semptomu</w:t>
      </w:r>
      <w:proofErr w:type="gramEnd"/>
      <w:r>
        <w:t xml:space="preserve"> olan yüksek riskli </w:t>
      </w:r>
      <w:r>
        <w:lastRenderedPageBreak/>
        <w:t>hastalarda düşük doz Aspirine ek olarak sitoredüktif tedavi başlanması şeklindedir. Çok ciddi trombositozu olan hastalarda kazanılmış von Willebrand hastalığı (vWF) gelişebileceğinden, böyle hastalarda tedaviye başlamadan önce ristosetin kofaktör bakılması önemli olabilir (Mc Guinn C ve ark, 2016).</w:t>
      </w:r>
    </w:p>
    <w:p w:rsidR="005B77DC" w:rsidRDefault="004F6C22">
      <w:pPr>
        <w:pStyle w:val="Normal1"/>
        <w:ind w:firstLine="709"/>
      </w:pPr>
      <w:r>
        <w:t xml:space="preserve">Primer trombositozlu çocuklarda tedavi konusunda bir fikir birliği yoktur. Avrupa Lösemi Grubu, 12 yaşın altındaki çocuklarda aspirin kullanımı açısından dikkatli olunması ve sitoredüktif tedavinin son çare olarak düşünülmesi gerektiğini vurgulamaktadır (Barbui T ve ark, 2011). Esansiyel trombositozlu çocuklarda sitoredüktif tedaviyi, aspirin tedavisi ile başarısız olunduğunda veya organomegalinin artması durumunda önermekte, familyal trombositozu olan olgularda ise yoğun tedavi önermemektedir (Giona F ve ark, 2012). Klinik semptomlar ve trombotik </w:t>
      </w:r>
      <w:proofErr w:type="gramStart"/>
      <w:r>
        <w:t>komplikasyon</w:t>
      </w:r>
      <w:proofErr w:type="gramEnd"/>
      <w:r>
        <w:t xml:space="preserve"> riskine dayanan bir tedavi algoritması önermişlerdir (Tablo 3).</w:t>
      </w:r>
    </w:p>
    <w:p w:rsidR="005B77DC" w:rsidRDefault="005B77DC">
      <w:pPr>
        <w:pStyle w:val="Normal1"/>
        <w:ind w:firstLine="709"/>
        <w:rPr>
          <w:b/>
        </w:rPr>
      </w:pPr>
    </w:p>
    <w:p w:rsidR="005B77DC" w:rsidRDefault="004F6C22">
      <w:pPr>
        <w:pStyle w:val="Normal1"/>
        <w:ind w:firstLine="0"/>
      </w:pPr>
      <w:r>
        <w:rPr>
          <w:b/>
        </w:rPr>
        <w:t xml:space="preserve">Tablo 3. </w:t>
      </w:r>
      <w:r>
        <w:t>Primer trombositozda tedavi algoritması (Kucine N ve ark, 2014).</w:t>
      </w:r>
    </w:p>
    <w:bookmarkStart w:id="13" w:name="_gjdgxs" w:colFirst="0" w:colLast="0"/>
    <w:bookmarkEnd w:id="13"/>
    <w:p w:rsidR="00465E37" w:rsidRDefault="00325A9D" w:rsidP="00465E37">
      <w:pPr>
        <w:pStyle w:val="Normal1"/>
        <w:ind w:firstLine="0"/>
        <w:jc w:val="center"/>
        <w:rPr>
          <w:noProof/>
        </w:rPr>
      </w:pPr>
      <w:r>
        <w:rPr>
          <w:noProof/>
        </w:rPr>
      </w:r>
      <w:r>
        <w:rPr>
          <w:noProof/>
        </w:rPr>
        <w:pict>
          <v:group id="Grup 1" o:spid="_x0000_s1026" style="width:6in;height:189.5pt;mso-position-horizontal-relative:char;mso-position-vertical-relative:line" coordsize="54864,24066">
            <v:group id="Grup 2" o:spid="_x0000_s1027" style="position:absolute;width:54864;height:24066" coordsize="54864,240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jAbXMQAAADaAAAA&#10;DwAAAAAAAAAAAAAAAACqAgAAZHJzL2Rvd25yZXYueG1sUEsFBgAAAAAEAAQA+gAAAJsDAAAAAA==&#10;">
              <v:rect id="Dikdörtgen 4" o:spid="_x0000_s1028" style="position:absolute;width:54864;height:2406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apmsIA&#10;AADaAAAADwAAAGRycy9kb3ducmV2LnhtbESP0WrCQBRE3wX/YbkF33TTIGJTN6EWhdYnm/QDbrO3&#10;2dDs3TS7avr3XUHwcZiZM8ymGG0nzjT41rGCx0UCgrh2uuVGwWe1n69B+ICssXNMCv7IQ5FPJxvM&#10;tLvwB53L0IgIYZ+hAhNCn0npa0MW/cL1xNH7doPFEOXQSD3gJcJtJ9MkWUmLLccFgz29Gqp/ypNV&#10;cFw6Snep35aNfTLjV3V4/8WVUrOH8eUZRKAx3MO39ptWsITrlXgDZP4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JqmawgAAANoAAAAPAAAAAAAAAAAAAAAAAJgCAABkcnMvZG93&#10;bnJldi54bWxQSwUGAAAAAAQABAD1AAAAhwMAAAAA&#10;" filled="f" stroked="f">
                <v:textbox inset="2.53958mm,2.53958mm,2.53958mm,2.53958mm">
                  <w:txbxContent>
                    <w:p w:rsidR="00790BE4" w:rsidRDefault="00790BE4" w:rsidP="00465E37">
                      <w:pPr>
                        <w:spacing w:line="240" w:lineRule="auto"/>
                        <w:ind w:firstLine="0"/>
                        <w:jc w:val="left"/>
                        <w:textDirection w:val="btLr"/>
                      </w:pPr>
                    </w:p>
                  </w:txbxContent>
                </v:textbox>
              </v:rect>
              <v:rect id="Dikdörtgen 6" o:spid="_x0000_s1029" style="position:absolute;top:18116;width:54864;height:594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k0hcMA&#10;AADaAAAADwAAAGRycy9kb3ducmV2LnhtbESPQYvCMBSE74L/ITxhb5quomg1igiCoB60Lujt0bxt&#10;u9u8lCZb6783grDHYWa+YRar1pSiodoVlhV8DiIQxKnVBWcKLsm2PwXhPLLG0jIpeJCD1bLbWWCs&#10;7Z1P1Jx9JgKEXYwKcu+rWEqX5mTQDWxFHLxvWxv0QdaZ1DXeA9yUchhFE2mw4LCQY0WbnNLf859R&#10;8HPbJOX2IOk6mupxsm+OXxecKfXRa9dzEJ5a/x9+t3dawQReV8INkM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hk0hcMAAADaAAAADwAAAAAAAAAAAAAAAACYAgAAZHJzL2Rv&#10;d25yZXYueG1sUEsFBgAAAAAEAAQA9QAAAIgDAAAAAA==&#10;" fillcolor="#4f81bd [3204]" strokecolor="white [3201]" strokeweight="2pt">
                <v:stroke startarrowwidth="narrow" startarrowlength="short" endarrowwidth="narrow" endarrowlength="short" joinstyle="round"/>
                <v:textbox inset="2.53958mm,2.53958mm,2.53958mm,2.53958mm">
                  <w:txbxContent>
                    <w:p w:rsidR="00790BE4" w:rsidRDefault="00790BE4" w:rsidP="00465E37">
                      <w:pPr>
                        <w:spacing w:line="240" w:lineRule="auto"/>
                        <w:ind w:firstLine="0"/>
                        <w:jc w:val="left"/>
                        <w:textDirection w:val="btLr"/>
                      </w:pPr>
                    </w:p>
                  </w:txbxContent>
                </v:textbox>
              </v:rect>
              <v:shapetype id="_x0000_t202" coordsize="21600,21600" o:spt="202" path="m,l,21600r21600,l21600,xe">
                <v:stroke joinstyle="miter"/>
                <v:path gradientshapeok="t" o:connecttype="rect"/>
              </v:shapetype>
              <v:shape id="Metin Kutusu 7" o:spid="_x0000_s1030" type="#_x0000_t202" style="position:absolute;top:18116;width:54864;height:594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VJ3sMA&#10;AADaAAAADwAAAGRycy9kb3ducmV2LnhtbESP3WrCQBSE7wu+w3IE7+pGK1Wiq2ihoC0o/jzAMXvM&#10;BrNn0+yapG/fLRR6OczMN8xi1dlSNFT7wrGC0TABQZw5XXCu4HJ+f56B8AFZY+mYFHyTh9Wy97TA&#10;VLuWj9ScQi4ihH2KCkwIVSqlzwxZ9ENXEUfv5mqLIco6l7rGNsJtKcdJ8iotFhwXDFb0Zii7nx5W&#10;wfXrMGl3j9FnY9em+njZb1rKjVKDfreegwjUhf/wX3urFUzh90q8AXL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gVJ3sMAAADaAAAADwAAAAAAAAAAAAAAAACYAgAAZHJzL2Rv&#10;d25yZXYueG1sUEsFBgAAAAAEAAQA9QAAAIgDAAAAAA==&#10;" filled="f" stroked="f">
                <v:textbox inset="2.37014mm,2.37014mm,2.37014mm,2.37014mm">
                  <w:txbxContent>
                    <w:p w:rsidR="00790BE4" w:rsidRDefault="00790BE4" w:rsidP="00465E37">
                      <w:pPr>
                        <w:spacing w:line="215" w:lineRule="auto"/>
                        <w:ind w:firstLine="0"/>
                        <w:jc w:val="center"/>
                        <w:textDirection w:val="btLr"/>
                      </w:pPr>
                      <w:r>
                        <w:rPr>
                          <w:rFonts w:ascii="Calibri" w:eastAsia="Calibri" w:hAnsi="Calibri" w:cs="Calibri"/>
                          <w:color w:val="000000"/>
                        </w:rPr>
                        <w:t>Yüksek risk</w:t>
                      </w:r>
                    </w:p>
                    <w:p w:rsidR="00790BE4" w:rsidRDefault="00790BE4" w:rsidP="00465E37">
                      <w:pPr>
                        <w:spacing w:before="83" w:line="215" w:lineRule="auto"/>
                        <w:ind w:firstLine="0"/>
                        <w:jc w:val="center"/>
                        <w:textDirection w:val="btLr"/>
                      </w:pPr>
                      <w:r>
                        <w:rPr>
                          <w:rFonts w:ascii="Calibri" w:eastAsia="Calibri" w:hAnsi="Calibri" w:cs="Calibri"/>
                          <w:color w:val="000000"/>
                        </w:rPr>
                        <w:t>Sitoredüktif tedavi (Hidroksiüre, interferon, anagrelid)</w:t>
                      </w:r>
                    </w:p>
                  </w:txbxContent>
                </v:textbox>
              </v:shape>
              <v:shapetype id="_x0000_t79" coordsize="21600,21600" o:spt="79" adj="7200,5400,3600,8100" path="m0@0l@3@0@3@2@1@2,10800,0@4@2@5@2@5@0,21600@0,21600,21600,,21600xe">
                <v:stroke joinstyle="miter"/>
                <v:formulas>
                  <v:f eqn="val #0"/>
                  <v:f eqn="val #1"/>
                  <v:f eqn="val #2"/>
                  <v:f eqn="val #3"/>
                  <v:f eqn="sum 21600 0 #1"/>
                  <v:f eqn="sum 21600 0 #3"/>
                  <v:f eqn="sum #0 21600 0"/>
                  <v:f eqn="prod @6 1 2"/>
                </v:formulas>
                <v:path o:connecttype="custom" o:connectlocs="10800,0;0,@7;10800,21600;21600,@7" o:connectangles="270,180,90,0" textboxrect="0,@0,21600,21600"/>
                <v:handles>
                  <v:h position="topLeft,#0" yrange="@2,21600"/>
                  <v:h position="#1,topLeft" xrange="0,@3"/>
                  <v:h position="#3,#2" xrange="@1,10800" yrange="0,@0"/>
                </v:handles>
              </v:shapetype>
              <v:shape id="Yukarı Ok Belirtme Çizgisi 8" o:spid="_x0000_s1031" type="#_x0000_t79" style="position:absolute;top:9060;width:54864;height:9145;rotation:18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TGj70A&#10;AADaAAAADwAAAGRycy9kb3ducmV2LnhtbERPy4rCMBTdC/5DuII7TRUUrUYRRXDKbHztL821KTY3&#10;pUm1/v1kIczycN7rbWcr8aLGl44VTMYJCOLc6ZILBbfrcbQA4QOyxsoxKfiQh+2m31tjqt2bz/S6&#10;hELEEPYpKjAh1KmUPjdk0Y9dTRy5h2sshgibQuoG3zHcVnKaJHNpseTYYLCmvaH8eWmtgtn1cMD7&#10;4mSy35/smbVLyedWKjUcdLsViEBd+Bd/3SetIG6NV+INkJs/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OITGj70AAADaAAAADwAAAAAAAAAAAAAAAACYAgAAZHJzL2Rvd25yZXYu&#10;eG1sUEsFBgAAAAAEAAQA9QAAAIIDAAAAAA==&#10;" adj="7565,9900,5400,10350" fillcolor="#4f81bd [3204]" strokecolor="white [3201]" strokeweight="2pt">
                <v:stroke startarrowwidth="narrow" startarrowlength="short" endarrowwidth="narrow" endarrowlength="short" joinstyle="round"/>
                <v:textbox inset="2.53958mm,2.53958mm,2.53958mm,2.53958mm">
                  <w:txbxContent>
                    <w:p w:rsidR="00790BE4" w:rsidRDefault="00790BE4" w:rsidP="00465E37">
                      <w:pPr>
                        <w:spacing w:line="240" w:lineRule="auto"/>
                        <w:ind w:firstLine="0"/>
                        <w:jc w:val="left"/>
                        <w:textDirection w:val="btLr"/>
                      </w:pPr>
                    </w:p>
                  </w:txbxContent>
                </v:textbox>
              </v:shape>
              <v:shape id="Metin Kutusu 9" o:spid="_x0000_s1032" type="#_x0000_t202" style="position:absolute;top:9060;width:54864;height:594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Z4N8MA&#10;AADaAAAADwAAAGRycy9kb3ducmV2LnhtbESP3WrCQBSE7wu+w3IE7+pGK0Wjq2ihoC0o/jzAMXvM&#10;BrNn0+yapG/fLRR6OczMN8xi1dlSNFT7wrGC0TABQZw5XXCu4HJ+f56C8AFZY+mYFHyTh9Wy97TA&#10;VLuWj9ScQi4ihH2KCkwIVSqlzwxZ9ENXEUfv5mqLIco6l7rGNsJtKcdJ8iotFhwXDFb0Zii7nx5W&#10;wfXrMGl3j9FnY9em+njZb1rKjVKDfreegwjUhf/wX3urFczg90q8AXL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NZ4N8MAAADaAAAADwAAAAAAAAAAAAAAAACYAgAAZHJzL2Rv&#10;d25yZXYueG1sUEsFBgAAAAAEAAQA9QAAAIgDAAAAAA==&#10;" filled="f" stroked="f">
                <v:textbox inset="2.37014mm,2.37014mm,2.37014mm,2.37014mm">
                  <w:txbxContent>
                    <w:p w:rsidR="00790BE4" w:rsidRDefault="00790BE4" w:rsidP="00465E37">
                      <w:pPr>
                        <w:spacing w:line="215" w:lineRule="auto"/>
                        <w:ind w:firstLine="0"/>
                        <w:jc w:val="center"/>
                        <w:textDirection w:val="btLr"/>
                      </w:pPr>
                      <w:r>
                        <w:rPr>
                          <w:rFonts w:ascii="Calibri" w:eastAsia="Calibri" w:hAnsi="Calibri" w:cs="Calibri"/>
                          <w:color w:val="000000"/>
                        </w:rPr>
                        <w:t>Düşük risk veya ek trombofili riski olması</w:t>
                      </w:r>
                    </w:p>
                    <w:p w:rsidR="00790BE4" w:rsidRDefault="00790BE4" w:rsidP="00465E37">
                      <w:pPr>
                        <w:spacing w:before="83" w:line="215" w:lineRule="auto"/>
                        <w:ind w:firstLine="0"/>
                        <w:jc w:val="center"/>
                        <w:textDirection w:val="btLr"/>
                      </w:pPr>
                      <w:r>
                        <w:rPr>
                          <w:rFonts w:ascii="Calibri" w:eastAsia="Calibri" w:hAnsi="Calibri" w:cs="Calibri"/>
                          <w:color w:val="000000"/>
                        </w:rPr>
                        <w:t xml:space="preserve">Düşük doz aspirin ve </w:t>
                      </w:r>
                      <w:proofErr w:type="gramStart"/>
                      <w:r>
                        <w:rPr>
                          <w:rFonts w:ascii="Calibri" w:eastAsia="Calibri" w:hAnsi="Calibri" w:cs="Calibri"/>
                          <w:color w:val="000000"/>
                        </w:rPr>
                        <w:t>semptomların</w:t>
                      </w:r>
                      <w:proofErr w:type="gramEnd"/>
                      <w:r>
                        <w:rPr>
                          <w:rFonts w:ascii="Calibri" w:eastAsia="Calibri" w:hAnsi="Calibri" w:cs="Calibri"/>
                          <w:color w:val="000000"/>
                        </w:rPr>
                        <w:t xml:space="preserve"> takibi</w:t>
                      </w:r>
                    </w:p>
                  </w:txbxContent>
                </v:textbox>
              </v:shape>
              <v:shape id="Yukarı Ok Belirtme Çizgisi 10" o:spid="_x0000_s1033" type="#_x0000_t79" style="position:absolute;width:54864;height:9145;rotation:18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wjLcIA&#10;AADbAAAADwAAAGRycy9kb3ducmV2LnhtbESPQWvCQBCF74L/YRmhN91YqGh0FakUbOhFbe9DdswG&#10;s7Mhu9H033cOQm8zvDfvfbPZDb5Rd+piHdjAfJaBIi6Drbky8H35mC5BxYRssQlMBn4pwm47Hm0w&#10;t+HBJ7qfU6UkhGOOBlxKba51LB15jLPQEot2DZ3HJGtXadvhQ8J9o1+zbKE91iwNDlt6d1Tezr03&#10;8HY5HPBneXTF12dxK/qV5lOvjXmZDPs1qERD+jc/r49W8IVefpEB9P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7CMtwgAAANsAAAAPAAAAAAAAAAAAAAAAAJgCAABkcnMvZG93&#10;bnJldi54bWxQSwUGAAAAAAQABAD1AAAAhwMAAAAA&#10;" adj="7565,9900,5400,10350" fillcolor="#4f81bd [3204]" strokecolor="white [3201]" strokeweight="2pt">
                <v:stroke startarrowwidth="narrow" startarrowlength="short" endarrowwidth="narrow" endarrowlength="short" joinstyle="round"/>
                <v:textbox inset="2.53958mm,2.53958mm,2.53958mm,2.53958mm">
                  <w:txbxContent>
                    <w:p w:rsidR="00790BE4" w:rsidRDefault="00790BE4" w:rsidP="00465E37">
                      <w:pPr>
                        <w:spacing w:line="240" w:lineRule="auto"/>
                        <w:ind w:firstLine="0"/>
                        <w:jc w:val="left"/>
                        <w:textDirection w:val="btLr"/>
                      </w:pPr>
                    </w:p>
                  </w:txbxContent>
                </v:textbox>
              </v:shape>
              <v:shape id="Metin Kutusu 11" o:spid="_x0000_s1034" type="#_x0000_t202" style="position:absolute;width:54864;height:594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V77cIA&#10;AADbAAAADwAAAGRycy9kb3ducmV2LnhtbERP3WrCMBS+F/YO4Qy8m2mdyOiM4oTBVFDs9gDH5tiU&#10;NSddE9vu7Rdh4N35+H7PYjXYWnTU+sqxgnSSgCAunK64VPD1+f70AsIHZI21Y1LwSx5Wy4fRAjPt&#10;ej5Rl4dSxBD2GSowITSZlL4wZNFPXEMcuYtrLYYI21LqFvsYbms5TZK5tFhxbDDY0MZQ8Z1frYLz&#10;z3HWb6/pvrNr0+yeD289lUap8eOwfgURaAh38b/7Q8f5Kdx+iQfI5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FXvtwgAAANsAAAAPAAAAAAAAAAAAAAAAAJgCAABkcnMvZG93&#10;bnJldi54bWxQSwUGAAAAAAQABAD1AAAAhwMAAAAA&#10;" filled="f" stroked="f">
                <v:textbox inset="2.37014mm,2.37014mm,2.37014mm,2.37014mm">
                  <w:txbxContent>
                    <w:p w:rsidR="00790BE4" w:rsidRDefault="00790BE4" w:rsidP="00465E37">
                      <w:pPr>
                        <w:spacing w:line="215" w:lineRule="auto"/>
                        <w:ind w:firstLine="0"/>
                        <w:jc w:val="center"/>
                        <w:textDirection w:val="btLr"/>
                      </w:pPr>
                      <w:r>
                        <w:rPr>
                          <w:rFonts w:ascii="Calibri" w:eastAsia="Calibri" w:hAnsi="Calibri" w:cs="Calibri"/>
                          <w:color w:val="000000"/>
                        </w:rPr>
                        <w:t>Asemptomatik</w:t>
                      </w:r>
                    </w:p>
                    <w:p w:rsidR="00790BE4" w:rsidRDefault="00790BE4" w:rsidP="00465E37">
                      <w:pPr>
                        <w:spacing w:before="83" w:line="215" w:lineRule="auto"/>
                        <w:ind w:firstLine="0"/>
                        <w:jc w:val="center"/>
                        <w:textDirection w:val="btLr"/>
                      </w:pPr>
                      <w:r>
                        <w:rPr>
                          <w:rFonts w:ascii="Calibri" w:eastAsia="Calibri" w:hAnsi="Calibri" w:cs="Calibri"/>
                          <w:color w:val="000000"/>
                        </w:rPr>
                        <w:t>Gözlem; 3-6 ayda bir kan sayımı</w:t>
                      </w:r>
                    </w:p>
                  </w:txbxContent>
                </v:textbox>
              </v:shape>
            </v:group>
            <w10:wrap type="none"/>
            <w10:anchorlock/>
          </v:group>
        </w:pict>
      </w:r>
    </w:p>
    <w:p w:rsidR="00465E37" w:rsidRDefault="00465E37" w:rsidP="00465E37">
      <w:pPr>
        <w:pStyle w:val="Normal1"/>
        <w:ind w:firstLine="0"/>
        <w:jc w:val="center"/>
        <w:rPr>
          <w:noProof/>
        </w:rPr>
      </w:pPr>
    </w:p>
    <w:p w:rsidR="00465E37" w:rsidRDefault="00465E37" w:rsidP="00465E37">
      <w:pPr>
        <w:pStyle w:val="Normal1"/>
        <w:ind w:firstLine="0"/>
        <w:jc w:val="center"/>
        <w:rPr>
          <w:noProof/>
        </w:rPr>
      </w:pPr>
    </w:p>
    <w:p w:rsidR="005B77DC" w:rsidRPr="00465E37" w:rsidRDefault="004F6C22" w:rsidP="00465E37">
      <w:r>
        <w:t xml:space="preserve">Bu algoritmaya göre, asemptomatik hastalarda, 3-6 ayda bir kan sayımı takibi önerilmektedir. Eritromelalji ve splenomegali gibi düşük risk </w:t>
      </w:r>
      <w:proofErr w:type="gramStart"/>
      <w:r>
        <w:t>semptomlarına</w:t>
      </w:r>
      <w:proofErr w:type="gramEnd"/>
      <w:r>
        <w:t xml:space="preserve"> sahip hastalar veya baş ağrısı, ek kardiyovasküler ve trombofilik risk faktörlerine (yüksek kolesterol, faktör V Leiden mutasyonu) sahip hastalar için aspirin başlanmasını ve belirtilen takibini önermektedir. Sitoredüktif tedavide ilk seçenek hidroksiüre, daha sonra sırası ile interferon alfa ve anagrelid şeklindedir. Ayrıca Ruksolitinib (Janus Kinaz inhibitörü) birinci basamak tedavide yer almadığını ilerleyen zamanlarda tedavinin önemli bir bileşeni haline gelebileceğini bildirmişlerdir (Kucine N ve ark, 2014).</w:t>
      </w:r>
    </w:p>
    <w:p w:rsidR="005B77DC" w:rsidRDefault="005B77DC">
      <w:pPr>
        <w:pStyle w:val="Normal1"/>
        <w:ind w:firstLine="709"/>
        <w:rPr>
          <w:b/>
        </w:rPr>
      </w:pPr>
    </w:p>
    <w:p w:rsidR="005B77DC" w:rsidRDefault="004F6C22">
      <w:pPr>
        <w:pStyle w:val="Normal1"/>
        <w:ind w:firstLine="0"/>
        <w:rPr>
          <w:b/>
        </w:rPr>
      </w:pPr>
      <w:r>
        <w:rPr>
          <w:b/>
        </w:rPr>
        <w:lastRenderedPageBreak/>
        <w:t>2.3. Janus Kinaz ve Sinyal İletimi</w:t>
      </w:r>
    </w:p>
    <w:p w:rsidR="005B77DC" w:rsidRDefault="005B77DC">
      <w:pPr>
        <w:pStyle w:val="Normal1"/>
        <w:ind w:firstLine="0"/>
        <w:rPr>
          <w:b/>
        </w:rPr>
      </w:pPr>
    </w:p>
    <w:p w:rsidR="005B77DC" w:rsidRDefault="004F6C22">
      <w:pPr>
        <w:pStyle w:val="Normal1"/>
        <w:ind w:firstLine="0"/>
        <w:rPr>
          <w:b/>
        </w:rPr>
      </w:pPr>
      <w:r>
        <w:rPr>
          <w:b/>
        </w:rPr>
        <w:t>2.3.1. Janus Kinaz</w:t>
      </w:r>
    </w:p>
    <w:p w:rsidR="005B77DC" w:rsidRDefault="005B77DC">
      <w:pPr>
        <w:pStyle w:val="Normal1"/>
        <w:ind w:firstLine="0"/>
      </w:pPr>
    </w:p>
    <w:p w:rsidR="005B77DC" w:rsidRDefault="004F6C22">
      <w:pPr>
        <w:pStyle w:val="Normal1"/>
        <w:ind w:firstLine="709"/>
      </w:pPr>
      <w:r>
        <w:t xml:space="preserve">Janus kinaz (JAK) ailesi, sitokin aracılı sinyallerin JAK-STAT sinyal iletimi yoluyla dönüştürülmesini sağlayan hücre içi reseptör olmayan tirozin kinaza verilen addır. Bu sinyal iletiminde transkripsiyon faktörleri ise STAT’lar (Sinyal Transdüserleri ve Transkripsiyon Faktörleri) olarak adlandırılır (Kisseleva, 2002). Janus Kinaz’ların yapısında, iki özdeş fosfat aktarım alanı bulunmaktadır. Bu iki bölgeden biri kinaz aktivitesi gösterirken, ikincisi bu kinaz aktivitesini negatif olarak düzenler (Wilks AF, 1989). JAK’lar, bu iki bölgeli yapılar nedeniyle eski Roma’da kapı ve başlangıç tanrısı </w:t>
      </w:r>
      <w:proofErr w:type="gramStart"/>
      <w:r>
        <w:t>iki yüzlü</w:t>
      </w:r>
      <w:proofErr w:type="gramEnd"/>
      <w:r>
        <w:t xml:space="preserve"> Janus’un adını almıştır (Şekil 2).</w:t>
      </w:r>
    </w:p>
    <w:p w:rsidR="005B77DC" w:rsidRDefault="005B77DC">
      <w:pPr>
        <w:pStyle w:val="Normal1"/>
        <w:ind w:firstLine="709"/>
      </w:pPr>
    </w:p>
    <w:p w:rsidR="005B77DC" w:rsidRDefault="004F6C22">
      <w:pPr>
        <w:pStyle w:val="Normal1"/>
        <w:ind w:firstLine="0"/>
        <w:jc w:val="center"/>
        <w:rPr>
          <w:b/>
        </w:rPr>
      </w:pPr>
      <w:r>
        <w:rPr>
          <w:noProof/>
        </w:rPr>
        <w:drawing>
          <wp:inline distT="0" distB="0" distL="0" distR="0">
            <wp:extent cx="3240000" cy="2200427"/>
            <wp:effectExtent l="0" t="0" r="0" b="0"/>
            <wp:docPr id="4"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1"/>
                    <a:srcRect l="5291" t="5576" r="4761"/>
                    <a:stretch>
                      <a:fillRect/>
                    </a:stretch>
                  </pic:blipFill>
                  <pic:spPr>
                    <a:xfrm>
                      <a:off x="0" y="0"/>
                      <a:ext cx="3240000" cy="2200427"/>
                    </a:xfrm>
                    <a:prstGeom prst="rect">
                      <a:avLst/>
                    </a:prstGeom>
                    <a:ln/>
                  </pic:spPr>
                </pic:pic>
              </a:graphicData>
            </a:graphic>
          </wp:inline>
        </w:drawing>
      </w:r>
    </w:p>
    <w:p w:rsidR="005B77DC" w:rsidRDefault="005B77DC">
      <w:pPr>
        <w:pStyle w:val="Normal1"/>
        <w:ind w:firstLine="709"/>
        <w:rPr>
          <w:b/>
        </w:rPr>
      </w:pPr>
    </w:p>
    <w:p w:rsidR="005B77DC" w:rsidRDefault="004F6C22">
      <w:pPr>
        <w:pStyle w:val="Normal1"/>
        <w:ind w:left="709" w:hanging="709"/>
      </w:pPr>
      <w:r>
        <w:rPr>
          <w:b/>
        </w:rPr>
        <w:t>Şekil 2.</w:t>
      </w:r>
      <w:r>
        <w:t xml:space="preserve"> Janus; Mitolojik Roma Tanrısı. Kapı giriş ve çıkışını sembolize eden başlangıç ve bitiş gibi iki farklı yüzü ve Janus’tan esinlenerek adlandırılmıştır (Janus Roman God of Begginings, 2008).</w:t>
      </w:r>
    </w:p>
    <w:p w:rsidR="005B77DC" w:rsidRDefault="005B77DC">
      <w:pPr>
        <w:pStyle w:val="Normal1"/>
        <w:ind w:firstLine="709"/>
      </w:pPr>
    </w:p>
    <w:p w:rsidR="005B77DC" w:rsidRDefault="004F6C22">
      <w:pPr>
        <w:pStyle w:val="Normal1"/>
        <w:ind w:firstLine="709"/>
      </w:pPr>
      <w:r>
        <w:t>Janus Kinaz ailesi; JAK1, JAK2, JAK3 ve Tirozin kinaz 2 (TYK2) olmak üzere dört üyeden meydana gelir. JAK1 ve JAK2, tip II interferon sinyal yolunda rol oynarken; JAK3 ve TYK2, tip I interferon sinyallenmesi ile ilgilidir (Johnson EM ve ark, 1998). TYK2, doğal öldürücü (NK) fonksiyonlarına aracılık etmektedir (Stoiber D ve ark, 2004).</w:t>
      </w:r>
    </w:p>
    <w:p w:rsidR="005B77DC" w:rsidRDefault="004F6C22">
      <w:pPr>
        <w:pStyle w:val="Normal1"/>
        <w:ind w:firstLine="709"/>
      </w:pPr>
      <w:r>
        <w:t xml:space="preserve">Ayrıca tip I ve tip II sitokin reseptörleri katalitik kinaz aktivitesi göstermez. Bu reseptörler, fosforilasyon ve sinyal iletim yolu için ilerlemiş proteinlerin aktivasyonu için JAK tirozin kinaz ailesini gerektirir. Reseptörler, hücre yüzeyinde polipeptid çiftleri şeklinde yer alıp </w:t>
      </w:r>
      <w:r>
        <w:lastRenderedPageBreak/>
        <w:t>iki intrasellüler sinyal dönüştürücü bölge içerir. Bu bölgelerin prolin açısından zengin, membrana yakın, box1/box2 adı verilen bölümleri JAK’larla etkileşime girer (Kisseleva T ve ark, 2002).</w:t>
      </w:r>
    </w:p>
    <w:p w:rsidR="005B77DC" w:rsidRDefault="004F6C22">
      <w:pPr>
        <w:pStyle w:val="Normal1"/>
        <w:ind w:firstLine="709"/>
      </w:pPr>
      <w:r>
        <w:t xml:space="preserve">Janus Kinazlar, 120-140 kDa arasındadır ve Janus homoloji domain 1-7 (JH 1-7) adı verilen yedi bölge içerir (Şekil 3). JH1, JAK’ın enzimatik aktivitesi için önemli olan kinaz alanıdır, JAK aktivasyonu için gerekli tirozinleri içermektedir (örneğin; JAK1’de Y1038/Y1039, JAK2’de Y1007/Y1008, JAK3’de Y980/Y981 ve TYK2’de Y1054/Y1055). Bu nedenle tirozin kinazın tipik özelliklerini içerir. Bu tirozin çiftlerinin fosforilasyonu JAK proteininde konformasyonel değişikliklere neden olarak substratın bağlanmasını kolaylaştırır. JH2, tirozin kinaza benzer yapıdaki psödokinaz bölgesidir. JH2, normal bir kinaz aktivitesi için gerekli olan, fakat enzimatik aktivitesi olmayan JH1 aktivitesinin düzenlenmesinde rol oynayan kısımdır. V617, JH2’de bulunmaktadır. JAK’ların JH3-JH4 bölgesi Src-homoloji-2 (SH2) bölgelerine benzemektedir. JAK’ların (JH5-JH7) amino terminal ucu (NH2), </w:t>
      </w:r>
      <w:r>
        <w:rPr>
          <w:color w:val="333333"/>
          <w:highlight w:val="white"/>
        </w:rPr>
        <w:t>dört noktalı bir bant, ezrin, radixin, moesin (FERM</w:t>
      </w:r>
      <w:r>
        <w:t xml:space="preserve">) bölgesi olarak bilinir. FERM, JAK’ların sitokin reseptörleri ve diğer kinazlar ile olan ilişkilerinde rol oynamaktadır. Bu protein, fokal adezyon kinaz (FAK) ailesine </w:t>
      </w:r>
      <w:proofErr w:type="gramStart"/>
      <w:r>
        <w:t>dahildir</w:t>
      </w:r>
      <w:proofErr w:type="gramEnd"/>
      <w:r>
        <w:t xml:space="preserve"> (Kisseleva T ve ark, 2002).</w:t>
      </w:r>
    </w:p>
    <w:p w:rsidR="005B77DC" w:rsidRDefault="005B77DC">
      <w:pPr>
        <w:pStyle w:val="Normal1"/>
        <w:ind w:firstLine="709"/>
      </w:pPr>
    </w:p>
    <w:p w:rsidR="005B77DC" w:rsidRDefault="004F6C22">
      <w:pPr>
        <w:pStyle w:val="Normal1"/>
        <w:ind w:firstLine="0"/>
        <w:jc w:val="center"/>
      </w:pPr>
      <w:r>
        <w:rPr>
          <w:noProof/>
          <w:highlight w:val="yellow"/>
        </w:rPr>
        <w:drawing>
          <wp:inline distT="0" distB="0" distL="0" distR="0">
            <wp:extent cx="5220000" cy="444833"/>
            <wp:effectExtent l="0" t="0" r="0" b="0"/>
            <wp:docPr id="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2"/>
                    <a:srcRect t="18747" b="48243"/>
                    <a:stretch>
                      <a:fillRect/>
                    </a:stretch>
                  </pic:blipFill>
                  <pic:spPr>
                    <a:xfrm>
                      <a:off x="0" y="0"/>
                      <a:ext cx="5220000" cy="444833"/>
                    </a:xfrm>
                    <a:prstGeom prst="rect">
                      <a:avLst/>
                    </a:prstGeom>
                    <a:ln/>
                  </pic:spPr>
                </pic:pic>
              </a:graphicData>
            </a:graphic>
          </wp:inline>
        </w:drawing>
      </w:r>
    </w:p>
    <w:p w:rsidR="005B77DC" w:rsidRDefault="005B77DC">
      <w:pPr>
        <w:pStyle w:val="Normal1"/>
        <w:ind w:firstLine="0"/>
        <w:jc w:val="center"/>
        <w:rPr>
          <w:b/>
        </w:rPr>
      </w:pPr>
    </w:p>
    <w:p w:rsidR="005B77DC" w:rsidRDefault="004F6C22">
      <w:pPr>
        <w:pStyle w:val="Normal1"/>
        <w:ind w:firstLine="0"/>
        <w:jc w:val="center"/>
        <w:rPr>
          <w:b/>
        </w:rPr>
      </w:pPr>
      <w:r>
        <w:rPr>
          <w:b/>
        </w:rPr>
        <w:t>Şekil 3.</w:t>
      </w:r>
      <w:r>
        <w:t xml:space="preserve"> Janus kinazların domain yapısı.</w:t>
      </w:r>
    </w:p>
    <w:p w:rsidR="005B77DC" w:rsidRDefault="005B77DC">
      <w:pPr>
        <w:pStyle w:val="Normal1"/>
        <w:ind w:firstLine="0"/>
        <w:rPr>
          <w:b/>
        </w:rPr>
      </w:pPr>
    </w:p>
    <w:p w:rsidR="005B77DC" w:rsidRDefault="005B77DC">
      <w:pPr>
        <w:pStyle w:val="Normal1"/>
        <w:ind w:firstLine="0"/>
        <w:rPr>
          <w:b/>
        </w:rPr>
      </w:pPr>
    </w:p>
    <w:p w:rsidR="005B77DC" w:rsidRDefault="004F6C22">
      <w:pPr>
        <w:pStyle w:val="Normal1"/>
        <w:ind w:firstLine="0"/>
        <w:rPr>
          <w:b/>
        </w:rPr>
      </w:pPr>
      <w:r>
        <w:rPr>
          <w:b/>
        </w:rPr>
        <w:t>2.3.2. Sinyal İletimi</w:t>
      </w:r>
    </w:p>
    <w:p w:rsidR="005B77DC" w:rsidRDefault="005B77DC">
      <w:pPr>
        <w:pStyle w:val="Normal1"/>
        <w:ind w:firstLine="709"/>
        <w:rPr>
          <w:b/>
        </w:rPr>
      </w:pPr>
    </w:p>
    <w:p w:rsidR="005B77DC" w:rsidRDefault="004F6C22">
      <w:pPr>
        <w:pStyle w:val="Normal1"/>
        <w:ind w:firstLine="709"/>
      </w:pPr>
      <w:r>
        <w:t>JAK-STAT sinyal iletim yolu, sitokinlere ve büyüme faktörlerine, hücresel yanıtın düzenlenmesinde görev alıp gen ifadesini düzenler. Başka bir deyişle, aktive edilmiş STAT proteinleri, hücre dışı polipeptidlerde taşınan sinyallerin hücre çekirdeğine dönüşümüne ve iletilmesine izin verir. JAK-STAT sinyal iletim yolu, hematopoez için özellikle önemlidir. Hücrelerde proliferasyon (çoğalma), diferansiyasyon (farklılaşma) ve apoptozisin (programlı hücre ölümü) düzenlenmesini sağlamaktadır (Hebenstreit D ve ark, 2005).</w:t>
      </w:r>
    </w:p>
    <w:p w:rsidR="005B77DC" w:rsidRDefault="004F6C22">
      <w:pPr>
        <w:pStyle w:val="Normal1"/>
        <w:ind w:firstLine="709"/>
      </w:pPr>
      <w:r>
        <w:t xml:space="preserve">Reseptörler, kendi sitokini ile bağlandığında, her iki Jak Kinaz alanını birbirine fosforile ederek dönüştüren konformasyonel bir değişikliğe uğrar. Ligandın reseptöre bağlanması, kinaz aktivitesinde artışa sebep olur. Bu şekilde tirozin tekrarlarıyla fosforile edilir ve reseptörde SH2 bölge içeren proteinlerle etkileşime girebilen bölgeler ortaya çıkar. Bu fosfotirozin tekrarlarına </w:t>
      </w:r>
      <w:r>
        <w:lastRenderedPageBreak/>
        <w:t>bağlanabilen ve SH2 alanlarına sahip olan STAT’lar reseptörde birikir ve bunlar da JAK’lar tarafından tirozin-fosforilasyona tabi tutulur. Hetero ve homodimerler, farklı STAT’lara eklendikçe oluşur. Aktive edilmiş dimerler hücre çekirdeğinde birikerek hedef genlerin transkripsiyonunu harekete geçirir (Şekil 4). STAT’ların doğrudan reseptör tirozin kinazlarla (örneğin epidermal büyüme faktörü reseptörü=EGFR) tiplendirilmesi ve hatta reseptör olmayan tirozin kinazlarla (örneğin c-src) fosforile edilmesi de mümkündür (Hebenstreit D ve ark, 2005).</w:t>
      </w:r>
    </w:p>
    <w:p w:rsidR="005B77DC" w:rsidRDefault="005B77DC">
      <w:pPr>
        <w:pStyle w:val="Normal1"/>
        <w:ind w:firstLine="709"/>
      </w:pPr>
    </w:p>
    <w:p w:rsidR="005B77DC" w:rsidRDefault="004F6C22">
      <w:pPr>
        <w:pStyle w:val="Normal1"/>
        <w:ind w:firstLine="0"/>
        <w:jc w:val="center"/>
      </w:pPr>
      <w:r>
        <w:rPr>
          <w:noProof/>
        </w:rPr>
        <w:drawing>
          <wp:inline distT="0" distB="0" distL="0" distR="0">
            <wp:extent cx="5400000" cy="2258968"/>
            <wp:effectExtent l="0" t="0" r="0" b="0"/>
            <wp:docPr id="6"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13"/>
                    <a:srcRect l="4746" t="7743" r="4915" b="20323"/>
                    <a:stretch>
                      <a:fillRect/>
                    </a:stretch>
                  </pic:blipFill>
                  <pic:spPr>
                    <a:xfrm>
                      <a:off x="0" y="0"/>
                      <a:ext cx="5400000" cy="2258968"/>
                    </a:xfrm>
                    <a:prstGeom prst="rect">
                      <a:avLst/>
                    </a:prstGeom>
                    <a:ln/>
                  </pic:spPr>
                </pic:pic>
              </a:graphicData>
            </a:graphic>
          </wp:inline>
        </w:drawing>
      </w:r>
    </w:p>
    <w:p w:rsidR="005B77DC" w:rsidRDefault="005B77DC">
      <w:pPr>
        <w:pStyle w:val="Normal1"/>
        <w:ind w:firstLine="0"/>
        <w:rPr>
          <w:b/>
        </w:rPr>
      </w:pPr>
    </w:p>
    <w:p w:rsidR="005B77DC" w:rsidRDefault="004F6C22">
      <w:pPr>
        <w:pStyle w:val="Normal1"/>
        <w:ind w:firstLine="0"/>
        <w:jc w:val="center"/>
      </w:pPr>
      <w:r>
        <w:rPr>
          <w:b/>
        </w:rPr>
        <w:t>Şekil 4.</w:t>
      </w:r>
      <w:r>
        <w:t xml:space="preserve"> JAK-STAT yolağındaki temel basamaklar.</w:t>
      </w:r>
    </w:p>
    <w:p w:rsidR="005B77DC" w:rsidRDefault="005B77DC">
      <w:pPr>
        <w:pStyle w:val="Normal1"/>
        <w:ind w:firstLine="0"/>
      </w:pPr>
    </w:p>
    <w:p w:rsidR="005B77DC" w:rsidRDefault="004F6C22">
      <w:pPr>
        <w:pStyle w:val="Normal1"/>
        <w:ind w:firstLine="709"/>
      </w:pPr>
      <w:r>
        <w:t xml:space="preserve">JAK-STAT sinyal iletimi birden çok seviyede negatif yönde düzenlenir. Bunlardan biri olan protein tirozin fosfatazlar, fosfatları hem sitokin reseptörlerinden hem de aktive edilmiş STAT’lardan ayırır (Duschl A ve ark, 2005). Başka bir mekanizma olan SOCS (Sitokin Sinyal Bastırıcıları) sistemi, JAK’ları bağlayarak veya STAT’lar ve reseptör bağlanma sahaları için rekabet ederek STAT fosforilasyonunu inhibe etmektedir (Shuai K, 2006). STAT’lar ayrıca hücre çekirdeğinde PIAS (Aktive STAT’ların Protein İnhibitörleri) adı verilen negatif </w:t>
      </w:r>
      <w:proofErr w:type="gramStart"/>
      <w:r>
        <w:t>regülatörler</w:t>
      </w:r>
      <w:proofErr w:type="gramEnd"/>
      <w:r>
        <w:t xml:space="preserve"> ile inhibe edilebilir (Hilton DJ ve ark, 2001).</w:t>
      </w:r>
    </w:p>
    <w:p w:rsidR="005B77DC" w:rsidRDefault="004F6C22">
      <w:pPr>
        <w:pStyle w:val="Normal1"/>
        <w:ind w:firstLine="709"/>
      </w:pPr>
      <w:r>
        <w:t>Kısacası, JAK otofosforilasyonu kendi içinde yapısal bir değişiklikle fosforile olur ve daha sonra başka transkripsiyon faktörlerini (STAT’lar) aktive eder. Aktive edilmiş STAT’lar reseptörden ayrılır ve seçilen genlerin transkripsiyonunu düzenlemek için hücre çekirdeğine gider (Hebenstreit D ve ark, 2005). Koloni uyarıcı faktörler, prolaktin, büyüme hormonu ve birçok sitokin JAK/STAT sinyal iletim yolunu kullanan moleküllerin örnekleridir.</w:t>
      </w:r>
    </w:p>
    <w:p w:rsidR="005B77DC" w:rsidRDefault="005B77DC">
      <w:pPr>
        <w:pStyle w:val="Normal1"/>
        <w:ind w:firstLine="709"/>
        <w:rPr>
          <w:b/>
        </w:rPr>
      </w:pPr>
    </w:p>
    <w:p w:rsidR="005B77DC" w:rsidRDefault="005B77DC">
      <w:pPr>
        <w:pStyle w:val="Normal1"/>
        <w:ind w:firstLine="709"/>
        <w:rPr>
          <w:b/>
        </w:rPr>
      </w:pPr>
    </w:p>
    <w:p w:rsidR="006D700E" w:rsidRDefault="006D700E">
      <w:pPr>
        <w:pStyle w:val="Normal1"/>
        <w:ind w:firstLine="0"/>
        <w:rPr>
          <w:b/>
        </w:rPr>
      </w:pPr>
    </w:p>
    <w:p w:rsidR="005B77DC" w:rsidRDefault="004F6C22">
      <w:pPr>
        <w:pStyle w:val="Normal1"/>
        <w:ind w:firstLine="0"/>
        <w:rPr>
          <w:b/>
        </w:rPr>
      </w:pPr>
      <w:r>
        <w:rPr>
          <w:b/>
        </w:rPr>
        <w:lastRenderedPageBreak/>
        <w:t>2.3.3. JAK2 Mutasyonunun Primer Trombositoz ile İlişkisi</w:t>
      </w:r>
    </w:p>
    <w:p w:rsidR="005B77DC" w:rsidRDefault="005B77DC">
      <w:pPr>
        <w:pStyle w:val="Normal1"/>
        <w:shd w:val="clear" w:color="auto" w:fill="FFFFFF"/>
        <w:ind w:firstLine="709"/>
      </w:pPr>
    </w:p>
    <w:p w:rsidR="005B77DC" w:rsidRDefault="004F6C22">
      <w:pPr>
        <w:pStyle w:val="Normal1"/>
        <w:ind w:firstLine="709"/>
      </w:pPr>
      <w:r>
        <w:t xml:space="preserve">JAK2 mutasyonu olmayan klonal hücrelerde DNA hasarı olduğu zaman Bcl-XL proteininde bir </w:t>
      </w:r>
      <w:proofErr w:type="gramStart"/>
      <w:r>
        <w:t>amin</w:t>
      </w:r>
      <w:proofErr w:type="gramEnd"/>
      <w:r>
        <w:t xml:space="preserve"> grubunun çıkarılması ve hasarlı hücrenin programlanmış hücre ölümüyle gerçekleşmektedir. Mutant JAK2 varlığında klonal hücrelerde DNA hasarı artar, ancak normal Bcl-XL proteininin deaminasyon tepkisi inhibe edilir. Sonuç olarak apoptoz mekanizması çalışmadığında klonal hücre çoğalması meydana gelir (Beer AP ve ark, 2009).</w:t>
      </w:r>
    </w:p>
    <w:p w:rsidR="005B77DC" w:rsidRDefault="004F6C22">
      <w:pPr>
        <w:pStyle w:val="Normal1"/>
        <w:ind w:firstLine="709"/>
      </w:pPr>
      <w:r>
        <w:t>Yapılan çalışmalarda, ET’lu hastaların %23-%75’inde JAK2 V617F mutasyonunun pozitif ve ortalama %50 pozitif olduğu bulunmuştur. Çalışmalarda ET’de, MPL mutasyonu %8.5, TET2 mutasyonu %5, ASXL1 mutasyonu %5-10 olarak saptanmıştır (Tefferi A ve ark, 2012; Manshouri T ve ark, 2010).</w:t>
      </w:r>
    </w:p>
    <w:p w:rsidR="005B77DC" w:rsidRDefault="004F6C22">
      <w:pPr>
        <w:pStyle w:val="Normal1"/>
        <w:ind w:firstLine="709"/>
      </w:pPr>
      <w:r>
        <w:t xml:space="preserve">PV vakalarının hemen hemen hepsinde JAK2 mutasyonlarının mevcut olması, ET ve PMF’li vakaların yaklaşık yarısı, günümüzde klasik myeloproliferatif hastalıklar için kullanılan tanı </w:t>
      </w:r>
      <w:proofErr w:type="gramStart"/>
      <w:r>
        <w:t>kriterlerinin</w:t>
      </w:r>
      <w:proofErr w:type="gramEnd"/>
      <w:r>
        <w:t xml:space="preserve"> bile yeniden gözden geçirilmesi gerekliliğini ortaya koymaktadır (Tefferi A ve ark, 2008).</w:t>
      </w:r>
    </w:p>
    <w:p w:rsidR="005B77DC" w:rsidRDefault="004F6C22">
      <w:pPr>
        <w:pStyle w:val="Normal1"/>
        <w:ind w:firstLine="709"/>
      </w:pPr>
      <w:r>
        <w:t>Kemik iliği histolojisinin JAK2 V617F mutasyonunun keşfi ile tanısal kullanımındaki artış, platelet sayısındaki eşik değerin ET’da 600.000/μL’den 450.000μL’ye düşürülmesine sebep olmuştur (Tefferi A ve ark, 2008).</w:t>
      </w:r>
    </w:p>
    <w:p w:rsidR="005B77DC" w:rsidRDefault="004F6C22">
      <w:pPr>
        <w:pStyle w:val="Normal1"/>
        <w:ind w:firstLine="709"/>
      </w:pPr>
      <w:r>
        <w:t xml:space="preserve">ET hastalarında arteriyel, venöz tromboz ve kanama yan etkileri sık görülmektedir. Son araştırmalarda, pozitif JAK2 gen mutasyonu olan hastalarda, tromboz gibi </w:t>
      </w:r>
      <w:proofErr w:type="gramStart"/>
      <w:r>
        <w:t>komplikasyonların</w:t>
      </w:r>
      <w:proofErr w:type="gramEnd"/>
      <w:r>
        <w:t xml:space="preserve"> daha sık görüldüğü ve bu hastaların daha yüksek risk altında olduğu kaydedilmiştir (Bayram M ve ark, 2011).</w:t>
      </w:r>
    </w:p>
    <w:p w:rsidR="005B77DC" w:rsidRDefault="004F6C22">
      <w:pPr>
        <w:pStyle w:val="Normal1"/>
        <w:ind w:firstLine="709"/>
      </w:pPr>
      <w:r>
        <w:t>Metaanalizlerde JAK2 mutasyonu ve/veya lökosit sayısının 10.000/mm³’den fazla olması tromboz için yüksek risk faktörleri olduğunu saptamıştır (Lussan F ve ark, 2009).</w:t>
      </w:r>
    </w:p>
    <w:p w:rsidR="005B77DC" w:rsidRDefault="004F6C22">
      <w:pPr>
        <w:pStyle w:val="Normal1"/>
        <w:ind w:firstLine="709"/>
      </w:pPr>
      <w:r>
        <w:t>JAK2 mutasyonun varlığı miyeloproliferatif hastalığa bağlı trombositozu sekonder trombositozdan ayırmada yararlı olsa da, PV, ET ve PMF gibi kronik MPH arasında ayrım yapmamaktadır (Levine RL ve ark, 2006). Kronik MPH’ın çoğu PV, ET, KML veya PMF olarak sınıflandırılabilse de, bazen sınıflandırmak mümkün değildir ve bu sınıflandırılamaz tipte kronik MPH olarak ifade edilir (Musilova J ve ark, 1996).</w:t>
      </w:r>
    </w:p>
    <w:p w:rsidR="005B77DC" w:rsidRDefault="004F6C22">
      <w:pPr>
        <w:pStyle w:val="Normal1"/>
        <w:ind w:firstLine="709"/>
      </w:pPr>
      <w:r>
        <w:t>2014 yılında Türkiye’de yapılan bir çalışmada baş ağrısı, vertigo, kulak çınlaması, banyo sonrası kaşıntı, görme kaybı, dalak büyümesi ve tromboz öyküsü belirtileri veya farklı şikayetleri olan MPH gibi farklı kliniklere hastaneye kabul edilen ve tesadüfen tam kan sayım parametrelerinde anormallik saptan</w:t>
      </w:r>
      <w:r w:rsidR="00F03E69">
        <w:t xml:space="preserve">an MPH tanısı olmayan 201 hasta </w:t>
      </w:r>
      <w:proofErr w:type="gramStart"/>
      <w:r>
        <w:t>dahil</w:t>
      </w:r>
      <w:proofErr w:type="gramEnd"/>
      <w:r>
        <w:t xml:space="preserve"> edilmiştir. JAK2 V617F mutasyon varlığı %14.9 olarak bulunmuştur (Ünal K ve ark, 2014).</w:t>
      </w:r>
    </w:p>
    <w:p w:rsidR="005B77DC" w:rsidRDefault="004F6C22">
      <w:pPr>
        <w:pStyle w:val="Normal1"/>
        <w:ind w:firstLine="709"/>
      </w:pPr>
      <w:r>
        <w:lastRenderedPageBreak/>
        <w:t>Primer trombositozda JAK2 V617F ve MPL mutasyonlarının keşfi, klinik uygulamada hastalığın sınıflandırılmasına büyük katkı sağlamıştır. Günümüzde ET tanısında JAK2 ve MPH mutasyonlarının rutin olarak taranması önerilse de, bu mutasyonların prognostik önlemleri henüz netleşmemiştir (Sargın DF ve ark, 2014; Finazzi G ve ark, 1990).</w:t>
      </w:r>
    </w:p>
    <w:p w:rsidR="005B77DC" w:rsidRDefault="005B77DC">
      <w:pPr>
        <w:pStyle w:val="Normal1"/>
        <w:ind w:firstLine="709"/>
      </w:pPr>
    </w:p>
    <w:p w:rsidR="005B77DC" w:rsidRDefault="005B77DC">
      <w:pPr>
        <w:pStyle w:val="Normal1"/>
        <w:ind w:firstLine="709"/>
      </w:pPr>
    </w:p>
    <w:p w:rsidR="005B77DC" w:rsidRDefault="005B77DC">
      <w:pPr>
        <w:pStyle w:val="Normal1"/>
        <w:ind w:firstLine="709"/>
        <w:rPr>
          <w:b/>
        </w:rPr>
      </w:pPr>
    </w:p>
    <w:p w:rsidR="005B77DC" w:rsidRDefault="005B77DC">
      <w:pPr>
        <w:pStyle w:val="Normal1"/>
        <w:ind w:firstLine="709"/>
        <w:rPr>
          <w:b/>
        </w:rPr>
      </w:pPr>
    </w:p>
    <w:p w:rsidR="005B77DC" w:rsidRDefault="005B77DC">
      <w:pPr>
        <w:pStyle w:val="Normal1"/>
        <w:ind w:firstLine="709"/>
        <w:rPr>
          <w:b/>
        </w:rPr>
      </w:pPr>
    </w:p>
    <w:p w:rsidR="005B77DC" w:rsidRDefault="005B77DC">
      <w:pPr>
        <w:pStyle w:val="Normal1"/>
        <w:ind w:firstLine="709"/>
        <w:rPr>
          <w:b/>
        </w:rPr>
      </w:pPr>
    </w:p>
    <w:p w:rsidR="005B77DC" w:rsidRDefault="005B77DC">
      <w:pPr>
        <w:pStyle w:val="Normal1"/>
        <w:ind w:firstLine="709"/>
        <w:rPr>
          <w:b/>
        </w:rPr>
      </w:pPr>
    </w:p>
    <w:p w:rsidR="005B77DC" w:rsidRDefault="005B77DC">
      <w:pPr>
        <w:pStyle w:val="Normal1"/>
        <w:ind w:firstLine="709"/>
        <w:rPr>
          <w:b/>
        </w:rPr>
      </w:pPr>
    </w:p>
    <w:p w:rsidR="005B77DC" w:rsidRDefault="005B77DC">
      <w:pPr>
        <w:pStyle w:val="Normal1"/>
        <w:ind w:firstLine="709"/>
        <w:rPr>
          <w:b/>
        </w:rPr>
      </w:pPr>
    </w:p>
    <w:p w:rsidR="005B77DC" w:rsidRDefault="005B77DC">
      <w:pPr>
        <w:pStyle w:val="Normal1"/>
        <w:ind w:firstLine="709"/>
        <w:rPr>
          <w:b/>
        </w:rPr>
      </w:pPr>
    </w:p>
    <w:p w:rsidR="005B77DC" w:rsidRDefault="005B77DC">
      <w:pPr>
        <w:pStyle w:val="Normal1"/>
        <w:ind w:firstLine="709"/>
        <w:rPr>
          <w:b/>
        </w:rPr>
      </w:pPr>
    </w:p>
    <w:p w:rsidR="005B77DC" w:rsidRDefault="004F6C22">
      <w:pPr>
        <w:pStyle w:val="Normal1"/>
        <w:spacing w:after="200" w:line="276" w:lineRule="auto"/>
        <w:ind w:firstLine="0"/>
        <w:jc w:val="left"/>
        <w:rPr>
          <w:b/>
        </w:rPr>
      </w:pPr>
      <w:r>
        <w:br w:type="page"/>
      </w:r>
    </w:p>
    <w:p w:rsidR="005B77DC" w:rsidRDefault="004F6C22">
      <w:pPr>
        <w:pStyle w:val="Normal1"/>
        <w:ind w:firstLine="0"/>
        <w:jc w:val="center"/>
        <w:rPr>
          <w:sz w:val="28"/>
          <w:szCs w:val="28"/>
        </w:rPr>
      </w:pPr>
      <w:r>
        <w:rPr>
          <w:b/>
          <w:sz w:val="28"/>
          <w:szCs w:val="28"/>
        </w:rPr>
        <w:lastRenderedPageBreak/>
        <w:t>3. GEREÇ VE YÖNTEM</w:t>
      </w:r>
    </w:p>
    <w:p w:rsidR="005B77DC" w:rsidRDefault="005B77DC">
      <w:pPr>
        <w:pStyle w:val="Normal1"/>
        <w:ind w:firstLine="0"/>
        <w:jc w:val="center"/>
        <w:rPr>
          <w:b/>
        </w:rPr>
      </w:pPr>
    </w:p>
    <w:p w:rsidR="005B77DC" w:rsidRDefault="005B77DC">
      <w:pPr>
        <w:pStyle w:val="Normal1"/>
        <w:ind w:firstLine="0"/>
        <w:jc w:val="center"/>
        <w:rPr>
          <w:b/>
        </w:rPr>
      </w:pPr>
    </w:p>
    <w:p w:rsidR="005B77DC" w:rsidRDefault="004F6C22">
      <w:pPr>
        <w:pStyle w:val="Normal1"/>
        <w:ind w:firstLine="709"/>
      </w:pPr>
      <w:r>
        <w:t>Adnan Menderes Üniversitesi Tıp Fakültesi Hastanesi Çocuk Sağlığı ve Hastalıkları Polikliniğine 01 Ocak 2017-31 Temmuz 2018 tarihleri arasında başvuran ve trombosit sayısı &gt;500.000/μL olan 4994 çocuk olduğu bilgi işlem merkezinden öğrenildi. Trombosit sayı</w:t>
      </w:r>
      <w:r w:rsidR="00532C31">
        <w:t>sı &gt;5</w:t>
      </w:r>
      <w:r>
        <w:t xml:space="preserve">00.000/μL olan 150 çocuğun ailesi telefonla aranarak kontrol değerlendirme için çağrıldı. Elli çocuk, kontrol değerlendirme için aileleri tarafından getirilmedi. Elli çocuk ise trombosit sayısı normal saptandığı, 20 çocuk demir eksikliği anemisi tanısı aldığı ve 9 çocuk </w:t>
      </w:r>
      <w:proofErr w:type="gramStart"/>
      <w:r>
        <w:t>enfeksiyon</w:t>
      </w:r>
      <w:proofErr w:type="gramEnd"/>
      <w:r>
        <w:t xml:space="preserve"> ya da enflamasyona sekonder trombositoz düşünüldüğü için çalışmaya alınmadı. Toplam 21 olgu çalışmaya </w:t>
      </w:r>
      <w:proofErr w:type="gramStart"/>
      <w:r>
        <w:t>dahil</w:t>
      </w:r>
      <w:proofErr w:type="gramEnd"/>
      <w:r>
        <w:t xml:space="preserve"> edildi. Ayrıntılı öykü ve fiziksel incelemenin yanı sıra tüm hastalarda hemogram, eritrosit sedimentasyon hızı (ESR), CRP, fibrinojen ve ferritin düzeyleri, serum demiri ve total serum demir bağlama kapasitelerine bakıldı.</w:t>
      </w:r>
    </w:p>
    <w:p w:rsidR="005B77DC" w:rsidRDefault="005B77DC">
      <w:pPr>
        <w:pStyle w:val="Normal1"/>
        <w:ind w:firstLine="0"/>
        <w:rPr>
          <w:b/>
        </w:rPr>
      </w:pPr>
    </w:p>
    <w:p w:rsidR="005B77DC" w:rsidRDefault="005B77DC">
      <w:pPr>
        <w:pStyle w:val="Normal1"/>
        <w:ind w:firstLine="0"/>
        <w:rPr>
          <w:b/>
        </w:rPr>
      </w:pPr>
    </w:p>
    <w:p w:rsidR="005B77DC" w:rsidRDefault="004F6C22">
      <w:pPr>
        <w:pStyle w:val="Normal1"/>
        <w:ind w:firstLine="0"/>
      </w:pPr>
      <w:r>
        <w:rPr>
          <w:b/>
        </w:rPr>
        <w:t>3.1. Gereç</w:t>
      </w:r>
    </w:p>
    <w:p w:rsidR="005B77DC" w:rsidRDefault="005B77DC">
      <w:pPr>
        <w:pStyle w:val="Normal1"/>
        <w:ind w:firstLine="0"/>
        <w:rPr>
          <w:b/>
        </w:rPr>
      </w:pPr>
    </w:p>
    <w:p w:rsidR="005B77DC" w:rsidRDefault="004F6C22">
      <w:pPr>
        <w:pStyle w:val="Normal1"/>
        <w:ind w:firstLine="0"/>
        <w:rPr>
          <w:b/>
        </w:rPr>
      </w:pPr>
      <w:r>
        <w:rPr>
          <w:b/>
        </w:rPr>
        <w:t>3.1.1. Cihazlar</w:t>
      </w:r>
    </w:p>
    <w:p w:rsidR="005B77DC" w:rsidRDefault="005B77DC">
      <w:pPr>
        <w:pStyle w:val="Normal1"/>
        <w:ind w:firstLine="0"/>
      </w:pPr>
    </w:p>
    <w:p w:rsidR="005B77DC" w:rsidRDefault="004F6C22">
      <w:pPr>
        <w:pStyle w:val="Normal1"/>
        <w:ind w:firstLine="709"/>
      </w:pPr>
      <w:proofErr w:type="gramStart"/>
      <w:r>
        <w:t xml:space="preserve">Çalışmada RT-PCR cihazı (Qiagen-Rotor-Gene Q, Almanya), vortex cihazı (Biosan, Combi-Spin FVL-2400N RL, Letonya), ısı bloğu (Dry Batch@lone, İtalya), hemogram sayımı için </w:t>
      </w:r>
      <w:r>
        <w:rPr>
          <w:highlight w:val="white"/>
        </w:rPr>
        <w:t>Mindray BC-6800 Otomatik Hematoloji Analizörü</w:t>
      </w:r>
      <w:r>
        <w:t xml:space="preserve"> (</w:t>
      </w:r>
      <w:r>
        <w:rPr>
          <w:highlight w:val="white"/>
        </w:rPr>
        <w:t>Shenzhen, Çin), fibrinojen düzeyi için BCS XP Siemens Koagülometre cihazı (Deerfield,</w:t>
      </w:r>
      <w:r>
        <w:rPr>
          <w:color w:val="3C4043"/>
          <w:highlight w:val="white"/>
        </w:rPr>
        <w:t xml:space="preserve"> ABD)</w:t>
      </w:r>
      <w:r>
        <w:rPr>
          <w:highlight w:val="white"/>
        </w:rPr>
        <w:t xml:space="preserve">, eritrosit sedimantasyon hızı için </w:t>
      </w:r>
      <w:r>
        <w:t xml:space="preserve">Mediko Dardanel Berkhun </w:t>
      </w:r>
      <w:r>
        <w:rPr>
          <w:highlight w:val="white"/>
        </w:rPr>
        <w:t xml:space="preserve">model cihaz (Çanakkale, Türkiye), biyokimyasal testler için Abbott-Architect c8000/i2000 model Otomatikleştirilmiş Kimya Analizörü (Illinois, ABD) </w:t>
      </w:r>
      <w:r>
        <w:t>kullanıldı.</w:t>
      </w:r>
      <w:proofErr w:type="gramEnd"/>
    </w:p>
    <w:p w:rsidR="005B77DC" w:rsidRDefault="005B77DC">
      <w:pPr>
        <w:pStyle w:val="Normal1"/>
        <w:ind w:firstLine="709"/>
      </w:pPr>
    </w:p>
    <w:p w:rsidR="005B77DC" w:rsidRDefault="005B77DC">
      <w:pPr>
        <w:pStyle w:val="Normal1"/>
        <w:ind w:firstLine="0"/>
        <w:jc w:val="center"/>
      </w:pPr>
    </w:p>
    <w:tbl>
      <w:tblPr>
        <w:tblStyle w:val="a1"/>
        <w:tblW w:w="9041" w:type="dxa"/>
        <w:tblInd w:w="0" w:type="dxa"/>
        <w:tblBorders>
          <w:top w:val="nil"/>
          <w:left w:val="nil"/>
          <w:bottom w:val="nil"/>
          <w:right w:val="nil"/>
          <w:insideH w:val="nil"/>
          <w:insideV w:val="nil"/>
        </w:tblBorders>
        <w:tblLayout w:type="fixed"/>
        <w:tblLook w:val="0400"/>
      </w:tblPr>
      <w:tblGrid>
        <w:gridCol w:w="4520"/>
        <w:gridCol w:w="4521"/>
      </w:tblGrid>
      <w:tr w:rsidR="005B77DC">
        <w:trPr>
          <w:trHeight w:val="20"/>
        </w:trPr>
        <w:tc>
          <w:tcPr>
            <w:tcW w:w="4520" w:type="dxa"/>
          </w:tcPr>
          <w:p w:rsidR="005B77DC" w:rsidRDefault="004F6C22">
            <w:pPr>
              <w:pStyle w:val="Normal1"/>
              <w:ind w:firstLine="0"/>
              <w:jc w:val="center"/>
            </w:pPr>
            <w:r>
              <w:rPr>
                <w:noProof/>
              </w:rPr>
              <w:lastRenderedPageBreak/>
              <w:drawing>
                <wp:inline distT="0" distB="0" distL="0" distR="0">
                  <wp:extent cx="2664000" cy="2474052"/>
                  <wp:effectExtent l="-94974" t="94974" r="-94974" b="94974"/>
                  <wp:docPr id="9" name="image13.jpg" descr="C:\Users\lenovo\Desktop\PCR CİHAZI.JPG"/>
                  <wp:cNvGraphicFramePr/>
                  <a:graphic xmlns:a="http://schemas.openxmlformats.org/drawingml/2006/main">
                    <a:graphicData uri="http://schemas.openxmlformats.org/drawingml/2006/picture">
                      <pic:pic xmlns:pic="http://schemas.openxmlformats.org/drawingml/2006/picture">
                        <pic:nvPicPr>
                          <pic:cNvPr id="0" name="image13.jpg" descr="C:\Users\lenovo\Desktop\PCR CİHAZI.JPG"/>
                          <pic:cNvPicPr preferRelativeResize="0"/>
                        </pic:nvPicPr>
                        <pic:blipFill>
                          <a:blip r:embed="rId14"/>
                          <a:srcRect/>
                          <a:stretch>
                            <a:fillRect/>
                          </a:stretch>
                        </pic:blipFill>
                        <pic:spPr>
                          <a:xfrm rot="5400000">
                            <a:off x="0" y="0"/>
                            <a:ext cx="2664000" cy="2474052"/>
                          </a:xfrm>
                          <a:prstGeom prst="rect">
                            <a:avLst/>
                          </a:prstGeom>
                          <a:ln/>
                        </pic:spPr>
                      </pic:pic>
                    </a:graphicData>
                  </a:graphic>
                </wp:inline>
              </w:drawing>
            </w:r>
          </w:p>
        </w:tc>
        <w:tc>
          <w:tcPr>
            <w:tcW w:w="4521" w:type="dxa"/>
          </w:tcPr>
          <w:p w:rsidR="005B77DC" w:rsidRDefault="004F6C22">
            <w:pPr>
              <w:pStyle w:val="Normal1"/>
              <w:ind w:firstLine="0"/>
              <w:jc w:val="center"/>
            </w:pPr>
            <w:r>
              <w:rPr>
                <w:noProof/>
              </w:rPr>
              <w:drawing>
                <wp:inline distT="0" distB="0" distL="0" distR="0">
                  <wp:extent cx="2664000" cy="2579523"/>
                  <wp:effectExtent l="-42238" t="42238" r="-42238" b="42238"/>
                  <wp:docPr id="8" name="image12.jpg" descr="C:\Users\lenovo\Desktop\IMG_4850.JPG"/>
                  <wp:cNvGraphicFramePr/>
                  <a:graphic xmlns:a="http://schemas.openxmlformats.org/drawingml/2006/main">
                    <a:graphicData uri="http://schemas.openxmlformats.org/drawingml/2006/picture">
                      <pic:pic xmlns:pic="http://schemas.openxmlformats.org/drawingml/2006/picture">
                        <pic:nvPicPr>
                          <pic:cNvPr id="0" name="image12.jpg" descr="C:\Users\lenovo\Desktop\IMG_4850.JPG"/>
                          <pic:cNvPicPr preferRelativeResize="0"/>
                        </pic:nvPicPr>
                        <pic:blipFill>
                          <a:blip r:embed="rId15"/>
                          <a:srcRect/>
                          <a:stretch>
                            <a:fillRect/>
                          </a:stretch>
                        </pic:blipFill>
                        <pic:spPr>
                          <a:xfrm rot="5400000">
                            <a:off x="0" y="0"/>
                            <a:ext cx="2664000" cy="2579523"/>
                          </a:xfrm>
                          <a:prstGeom prst="rect">
                            <a:avLst/>
                          </a:prstGeom>
                          <a:ln/>
                        </pic:spPr>
                      </pic:pic>
                    </a:graphicData>
                  </a:graphic>
                </wp:inline>
              </w:drawing>
            </w:r>
          </w:p>
        </w:tc>
      </w:tr>
      <w:tr w:rsidR="005B77DC" w:rsidRPr="00465E37">
        <w:trPr>
          <w:trHeight w:val="20"/>
        </w:trPr>
        <w:tc>
          <w:tcPr>
            <w:tcW w:w="4520" w:type="dxa"/>
          </w:tcPr>
          <w:p w:rsidR="005B77DC" w:rsidRPr="00465E37" w:rsidRDefault="005B77DC">
            <w:pPr>
              <w:pStyle w:val="Normal1"/>
              <w:ind w:firstLine="0"/>
              <w:jc w:val="center"/>
              <w:rPr>
                <w:b/>
                <w:color w:val="auto"/>
              </w:rPr>
            </w:pPr>
          </w:p>
          <w:p w:rsidR="005B77DC" w:rsidRPr="00465E37" w:rsidRDefault="004F6C22">
            <w:pPr>
              <w:pStyle w:val="Normal1"/>
              <w:ind w:firstLine="0"/>
              <w:jc w:val="center"/>
              <w:rPr>
                <w:color w:val="auto"/>
              </w:rPr>
            </w:pPr>
            <w:r w:rsidRPr="00465E37">
              <w:rPr>
                <w:b/>
                <w:color w:val="auto"/>
              </w:rPr>
              <w:t>Resim 1.</w:t>
            </w:r>
            <w:r w:rsidRPr="00465E37">
              <w:rPr>
                <w:color w:val="auto"/>
              </w:rPr>
              <w:t xml:space="preserve"> RT-PCR cihazı.</w:t>
            </w:r>
          </w:p>
        </w:tc>
        <w:tc>
          <w:tcPr>
            <w:tcW w:w="4521" w:type="dxa"/>
          </w:tcPr>
          <w:p w:rsidR="005B77DC" w:rsidRPr="00465E37" w:rsidRDefault="005B77DC">
            <w:pPr>
              <w:pStyle w:val="Normal1"/>
              <w:ind w:firstLine="16"/>
              <w:jc w:val="center"/>
              <w:rPr>
                <w:b/>
                <w:color w:val="auto"/>
              </w:rPr>
            </w:pPr>
          </w:p>
          <w:p w:rsidR="005B77DC" w:rsidRPr="00465E37" w:rsidRDefault="004F6C22">
            <w:pPr>
              <w:pStyle w:val="Normal1"/>
              <w:ind w:firstLine="16"/>
              <w:jc w:val="center"/>
              <w:rPr>
                <w:color w:val="auto"/>
              </w:rPr>
            </w:pPr>
            <w:r w:rsidRPr="00465E37">
              <w:rPr>
                <w:b/>
                <w:color w:val="auto"/>
              </w:rPr>
              <w:t>Resim 2.</w:t>
            </w:r>
            <w:r w:rsidRPr="00465E37">
              <w:rPr>
                <w:color w:val="auto"/>
              </w:rPr>
              <w:t xml:space="preserve"> Vortex cihazı.</w:t>
            </w:r>
          </w:p>
        </w:tc>
      </w:tr>
    </w:tbl>
    <w:p w:rsidR="005B77DC" w:rsidRPr="00465E37" w:rsidRDefault="005B77DC">
      <w:pPr>
        <w:pStyle w:val="Normal1"/>
        <w:ind w:firstLine="0"/>
        <w:jc w:val="center"/>
      </w:pPr>
    </w:p>
    <w:tbl>
      <w:tblPr>
        <w:tblStyle w:val="a2"/>
        <w:tblW w:w="9117" w:type="dxa"/>
        <w:tblInd w:w="0" w:type="dxa"/>
        <w:tblBorders>
          <w:top w:val="nil"/>
          <w:left w:val="nil"/>
          <w:bottom w:val="nil"/>
          <w:right w:val="nil"/>
          <w:insideH w:val="nil"/>
          <w:insideV w:val="nil"/>
        </w:tblBorders>
        <w:tblLayout w:type="fixed"/>
        <w:tblLook w:val="0400"/>
      </w:tblPr>
      <w:tblGrid>
        <w:gridCol w:w="4392"/>
        <w:gridCol w:w="4725"/>
      </w:tblGrid>
      <w:tr w:rsidR="005B77DC">
        <w:trPr>
          <w:trHeight w:val="20"/>
        </w:trPr>
        <w:tc>
          <w:tcPr>
            <w:tcW w:w="4392" w:type="dxa"/>
          </w:tcPr>
          <w:p w:rsidR="005B77DC" w:rsidRDefault="004F6C22">
            <w:pPr>
              <w:pStyle w:val="Normal1"/>
              <w:ind w:firstLine="0"/>
              <w:jc w:val="center"/>
            </w:pPr>
            <w:r>
              <w:rPr>
                <w:noProof/>
              </w:rPr>
              <w:drawing>
                <wp:inline distT="0" distB="0" distL="0" distR="0">
                  <wp:extent cx="2246763" cy="2412000"/>
                  <wp:effectExtent l="82618" t="-82618" r="82618" b="-82618"/>
                  <wp:docPr id="11" name="image18.jpg" descr="C:\Users\lenovo\Desktop\IMG_4852.JPG"/>
                  <wp:cNvGraphicFramePr/>
                  <a:graphic xmlns:a="http://schemas.openxmlformats.org/drawingml/2006/main">
                    <a:graphicData uri="http://schemas.openxmlformats.org/drawingml/2006/picture">
                      <pic:pic xmlns:pic="http://schemas.openxmlformats.org/drawingml/2006/picture">
                        <pic:nvPicPr>
                          <pic:cNvPr id="0" name="image18.jpg" descr="C:\Users\lenovo\Desktop\IMG_4852.JPG"/>
                          <pic:cNvPicPr preferRelativeResize="0"/>
                        </pic:nvPicPr>
                        <pic:blipFill>
                          <a:blip r:embed="rId16"/>
                          <a:srcRect/>
                          <a:stretch>
                            <a:fillRect/>
                          </a:stretch>
                        </pic:blipFill>
                        <pic:spPr>
                          <a:xfrm rot="5400000">
                            <a:off x="0" y="0"/>
                            <a:ext cx="2246763" cy="2412000"/>
                          </a:xfrm>
                          <a:prstGeom prst="rect">
                            <a:avLst/>
                          </a:prstGeom>
                          <a:ln/>
                        </pic:spPr>
                      </pic:pic>
                    </a:graphicData>
                  </a:graphic>
                </wp:inline>
              </w:drawing>
            </w:r>
          </w:p>
        </w:tc>
        <w:tc>
          <w:tcPr>
            <w:tcW w:w="4725" w:type="dxa"/>
          </w:tcPr>
          <w:p w:rsidR="005B77DC" w:rsidRDefault="004F6C22">
            <w:pPr>
              <w:pStyle w:val="Normal1"/>
              <w:ind w:firstLine="0"/>
              <w:jc w:val="center"/>
            </w:pPr>
            <w:r>
              <w:rPr>
                <w:noProof/>
              </w:rPr>
              <w:drawing>
                <wp:inline distT="0" distB="0" distL="0" distR="0">
                  <wp:extent cx="2863407" cy="2232000"/>
                  <wp:effectExtent l="0" t="0" r="0" b="0"/>
                  <wp:docPr id="10"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17"/>
                          <a:srcRect/>
                          <a:stretch>
                            <a:fillRect/>
                          </a:stretch>
                        </pic:blipFill>
                        <pic:spPr>
                          <a:xfrm>
                            <a:off x="0" y="0"/>
                            <a:ext cx="2863407" cy="2232000"/>
                          </a:xfrm>
                          <a:prstGeom prst="rect">
                            <a:avLst/>
                          </a:prstGeom>
                          <a:ln/>
                        </pic:spPr>
                      </pic:pic>
                    </a:graphicData>
                  </a:graphic>
                </wp:inline>
              </w:drawing>
            </w:r>
          </w:p>
        </w:tc>
      </w:tr>
      <w:tr w:rsidR="005B77DC" w:rsidRPr="00465E37">
        <w:trPr>
          <w:trHeight w:val="20"/>
        </w:trPr>
        <w:tc>
          <w:tcPr>
            <w:tcW w:w="4392" w:type="dxa"/>
          </w:tcPr>
          <w:p w:rsidR="005B77DC" w:rsidRPr="00465E37" w:rsidRDefault="005B77DC">
            <w:pPr>
              <w:pStyle w:val="Normal1"/>
              <w:ind w:firstLine="0"/>
              <w:jc w:val="center"/>
              <w:rPr>
                <w:b/>
                <w:color w:val="auto"/>
              </w:rPr>
            </w:pPr>
          </w:p>
          <w:p w:rsidR="005B77DC" w:rsidRPr="00465E37" w:rsidRDefault="004F6C22">
            <w:pPr>
              <w:pStyle w:val="Normal1"/>
              <w:ind w:firstLine="0"/>
              <w:jc w:val="center"/>
              <w:rPr>
                <w:color w:val="auto"/>
              </w:rPr>
            </w:pPr>
            <w:r w:rsidRPr="00465E37">
              <w:rPr>
                <w:b/>
                <w:color w:val="auto"/>
              </w:rPr>
              <w:t>Resim 3.</w:t>
            </w:r>
            <w:r w:rsidRPr="00465E37">
              <w:rPr>
                <w:color w:val="auto"/>
              </w:rPr>
              <w:t xml:space="preserve"> Isı bloğu.</w:t>
            </w:r>
          </w:p>
        </w:tc>
        <w:tc>
          <w:tcPr>
            <w:tcW w:w="4725" w:type="dxa"/>
          </w:tcPr>
          <w:p w:rsidR="005B77DC" w:rsidRPr="00465E37" w:rsidRDefault="005B77DC">
            <w:pPr>
              <w:pStyle w:val="Normal1"/>
              <w:ind w:firstLine="0"/>
              <w:jc w:val="center"/>
              <w:rPr>
                <w:b/>
                <w:color w:val="auto"/>
              </w:rPr>
            </w:pPr>
          </w:p>
          <w:p w:rsidR="005B77DC" w:rsidRPr="00465E37" w:rsidRDefault="004F6C22">
            <w:pPr>
              <w:pStyle w:val="Normal1"/>
              <w:ind w:firstLine="0"/>
              <w:jc w:val="center"/>
              <w:rPr>
                <w:color w:val="auto"/>
              </w:rPr>
            </w:pPr>
            <w:r w:rsidRPr="00465E37">
              <w:rPr>
                <w:b/>
                <w:color w:val="auto"/>
              </w:rPr>
              <w:t>Resim 4</w:t>
            </w:r>
            <w:r w:rsidRPr="00465E37">
              <w:rPr>
                <w:color w:val="auto"/>
              </w:rPr>
              <w:t>. Hemogram cihazı.</w:t>
            </w:r>
          </w:p>
        </w:tc>
      </w:tr>
    </w:tbl>
    <w:p w:rsidR="005B77DC" w:rsidRPr="00465E37" w:rsidRDefault="005B77DC">
      <w:pPr>
        <w:pStyle w:val="Normal1"/>
        <w:ind w:firstLine="709"/>
      </w:pPr>
    </w:p>
    <w:tbl>
      <w:tblPr>
        <w:tblStyle w:val="a3"/>
        <w:tblW w:w="9117" w:type="dxa"/>
        <w:tblInd w:w="0" w:type="dxa"/>
        <w:tblBorders>
          <w:top w:val="nil"/>
          <w:left w:val="nil"/>
          <w:bottom w:val="nil"/>
          <w:right w:val="nil"/>
          <w:insideH w:val="nil"/>
          <w:insideV w:val="nil"/>
        </w:tblBorders>
        <w:tblLayout w:type="fixed"/>
        <w:tblLook w:val="0400"/>
      </w:tblPr>
      <w:tblGrid>
        <w:gridCol w:w="4359"/>
        <w:gridCol w:w="4758"/>
      </w:tblGrid>
      <w:tr w:rsidR="005B77DC">
        <w:trPr>
          <w:trHeight w:val="20"/>
        </w:trPr>
        <w:tc>
          <w:tcPr>
            <w:tcW w:w="4359" w:type="dxa"/>
          </w:tcPr>
          <w:p w:rsidR="005B77DC" w:rsidRDefault="004F6C22">
            <w:pPr>
              <w:pStyle w:val="Normal1"/>
              <w:ind w:firstLine="0"/>
              <w:jc w:val="center"/>
            </w:pPr>
            <w:r>
              <w:rPr>
                <w:b/>
                <w:noProof/>
              </w:rPr>
              <w:drawing>
                <wp:inline distT="0" distB="0" distL="0" distR="0">
                  <wp:extent cx="2418793" cy="2495550"/>
                  <wp:effectExtent l="19050" t="0" r="557" b="0"/>
                  <wp:docPr id="14" name="image14.jpg" descr="C:\Users\lenovo\Desktop\bcs-xp-big.jpg"/>
                  <wp:cNvGraphicFramePr/>
                  <a:graphic xmlns:a="http://schemas.openxmlformats.org/drawingml/2006/main">
                    <a:graphicData uri="http://schemas.openxmlformats.org/drawingml/2006/picture">
                      <pic:pic xmlns:pic="http://schemas.openxmlformats.org/drawingml/2006/picture">
                        <pic:nvPicPr>
                          <pic:cNvPr id="0" name="image14.jpg" descr="C:\Users\lenovo\Desktop\bcs-xp-big.jpg"/>
                          <pic:cNvPicPr preferRelativeResize="0"/>
                        </pic:nvPicPr>
                        <pic:blipFill>
                          <a:blip r:embed="rId18"/>
                          <a:srcRect/>
                          <a:stretch>
                            <a:fillRect/>
                          </a:stretch>
                        </pic:blipFill>
                        <pic:spPr>
                          <a:xfrm>
                            <a:off x="0" y="0"/>
                            <a:ext cx="2419913" cy="2496706"/>
                          </a:xfrm>
                          <a:prstGeom prst="rect">
                            <a:avLst/>
                          </a:prstGeom>
                          <a:ln/>
                        </pic:spPr>
                      </pic:pic>
                    </a:graphicData>
                  </a:graphic>
                </wp:inline>
              </w:drawing>
            </w:r>
          </w:p>
        </w:tc>
        <w:tc>
          <w:tcPr>
            <w:tcW w:w="4758" w:type="dxa"/>
          </w:tcPr>
          <w:p w:rsidR="005B77DC" w:rsidRDefault="004F6C22">
            <w:pPr>
              <w:pStyle w:val="Normal1"/>
              <w:ind w:firstLine="0"/>
              <w:jc w:val="center"/>
            </w:pPr>
            <w:r>
              <w:rPr>
                <w:b/>
                <w:noProof/>
              </w:rPr>
              <w:drawing>
                <wp:inline distT="0" distB="0" distL="0" distR="0">
                  <wp:extent cx="2882900" cy="2343150"/>
                  <wp:effectExtent l="0" t="0" r="0" b="0"/>
                  <wp:docPr id="12" name="image7.png" descr="C:\Users\lenovo\Desktop\ARCHITECT_c8000_Instrument_Image_straight_500x500.png"/>
                  <wp:cNvGraphicFramePr/>
                  <a:graphic xmlns:a="http://schemas.openxmlformats.org/drawingml/2006/main">
                    <a:graphicData uri="http://schemas.openxmlformats.org/drawingml/2006/picture">
                      <pic:pic xmlns:pic="http://schemas.openxmlformats.org/drawingml/2006/picture">
                        <pic:nvPicPr>
                          <pic:cNvPr id="0" name="image7.png" descr="C:\Users\lenovo\Desktop\ARCHITECT_c8000_Instrument_Image_straight_500x500.png"/>
                          <pic:cNvPicPr preferRelativeResize="0"/>
                        </pic:nvPicPr>
                        <pic:blipFill>
                          <a:blip r:embed="rId19"/>
                          <a:srcRect b="5149"/>
                          <a:stretch>
                            <a:fillRect/>
                          </a:stretch>
                        </pic:blipFill>
                        <pic:spPr>
                          <a:xfrm>
                            <a:off x="0" y="0"/>
                            <a:ext cx="2884424" cy="2344389"/>
                          </a:xfrm>
                          <a:prstGeom prst="rect">
                            <a:avLst/>
                          </a:prstGeom>
                          <a:ln/>
                        </pic:spPr>
                      </pic:pic>
                    </a:graphicData>
                  </a:graphic>
                </wp:inline>
              </w:drawing>
            </w:r>
          </w:p>
        </w:tc>
      </w:tr>
      <w:tr w:rsidR="005B77DC">
        <w:trPr>
          <w:trHeight w:val="20"/>
        </w:trPr>
        <w:tc>
          <w:tcPr>
            <w:tcW w:w="4359" w:type="dxa"/>
          </w:tcPr>
          <w:p w:rsidR="005B77DC" w:rsidRPr="00465E37" w:rsidRDefault="004F6C22" w:rsidP="00465E37">
            <w:pPr>
              <w:pStyle w:val="Normal1"/>
              <w:ind w:firstLine="0"/>
              <w:rPr>
                <w:color w:val="auto"/>
              </w:rPr>
            </w:pPr>
            <w:r w:rsidRPr="00465E37">
              <w:rPr>
                <w:b/>
                <w:color w:val="auto"/>
              </w:rPr>
              <w:t xml:space="preserve">Resim 5. </w:t>
            </w:r>
            <w:r w:rsidRPr="00465E37">
              <w:rPr>
                <w:color w:val="auto"/>
              </w:rPr>
              <w:t>Koagülasyon cihazı.</w:t>
            </w:r>
          </w:p>
        </w:tc>
        <w:tc>
          <w:tcPr>
            <w:tcW w:w="4758" w:type="dxa"/>
          </w:tcPr>
          <w:p w:rsidR="005B77DC" w:rsidRPr="00465E37" w:rsidRDefault="00465E37">
            <w:pPr>
              <w:pStyle w:val="Normal1"/>
              <w:ind w:firstLine="0"/>
              <w:jc w:val="center"/>
              <w:rPr>
                <w:b/>
                <w:color w:val="auto"/>
              </w:rPr>
            </w:pPr>
            <w:r w:rsidRPr="00465E37">
              <w:rPr>
                <w:b/>
                <w:color w:val="auto"/>
              </w:rPr>
              <w:t>Resim 6</w:t>
            </w:r>
            <w:r w:rsidRPr="00465E37">
              <w:rPr>
                <w:color w:val="auto"/>
              </w:rPr>
              <w:t>. Otomatikleştirilmiş kimya analizörü</w:t>
            </w:r>
            <w:r>
              <w:rPr>
                <w:color w:val="auto"/>
              </w:rPr>
              <w:t>.</w:t>
            </w:r>
          </w:p>
          <w:p w:rsidR="005B77DC" w:rsidRPr="00465E37" w:rsidRDefault="004F6C22">
            <w:pPr>
              <w:pStyle w:val="Normal1"/>
              <w:ind w:firstLine="0"/>
              <w:jc w:val="center"/>
              <w:rPr>
                <w:color w:val="auto"/>
              </w:rPr>
            </w:pPr>
            <w:r w:rsidRPr="00465E37">
              <w:rPr>
                <w:color w:val="auto"/>
              </w:rPr>
              <w:lastRenderedPageBreak/>
              <w:t>.</w:t>
            </w:r>
          </w:p>
        </w:tc>
      </w:tr>
    </w:tbl>
    <w:p w:rsidR="005B77DC" w:rsidRDefault="005B77DC">
      <w:pPr>
        <w:pStyle w:val="Normal1"/>
        <w:ind w:firstLine="709"/>
        <w:rPr>
          <w:b/>
        </w:rPr>
      </w:pPr>
    </w:p>
    <w:p w:rsidR="005B77DC" w:rsidRDefault="004F6C22">
      <w:pPr>
        <w:pStyle w:val="Normal1"/>
        <w:ind w:firstLine="709"/>
        <w:jc w:val="center"/>
        <w:rPr>
          <w:b/>
        </w:rPr>
      </w:pPr>
      <w:r>
        <w:rPr>
          <w:b/>
          <w:noProof/>
        </w:rPr>
        <w:drawing>
          <wp:inline distT="0" distB="0" distL="0" distR="0">
            <wp:extent cx="2880000" cy="2638224"/>
            <wp:effectExtent l="0" t="0" r="0" b="0"/>
            <wp:docPr id="13"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0"/>
                    <a:srcRect/>
                    <a:stretch>
                      <a:fillRect/>
                    </a:stretch>
                  </pic:blipFill>
                  <pic:spPr>
                    <a:xfrm>
                      <a:off x="0" y="0"/>
                      <a:ext cx="2880000" cy="2638224"/>
                    </a:xfrm>
                    <a:prstGeom prst="rect">
                      <a:avLst/>
                    </a:prstGeom>
                    <a:ln/>
                  </pic:spPr>
                </pic:pic>
              </a:graphicData>
            </a:graphic>
          </wp:inline>
        </w:drawing>
      </w:r>
    </w:p>
    <w:p w:rsidR="005B77DC" w:rsidRDefault="005B77DC">
      <w:pPr>
        <w:pStyle w:val="Normal1"/>
        <w:ind w:firstLine="709"/>
        <w:rPr>
          <w:b/>
        </w:rPr>
      </w:pPr>
    </w:p>
    <w:p w:rsidR="005B77DC" w:rsidRDefault="004F6C22">
      <w:pPr>
        <w:pStyle w:val="Normal1"/>
        <w:ind w:firstLine="709"/>
        <w:jc w:val="center"/>
      </w:pPr>
      <w:r>
        <w:rPr>
          <w:b/>
        </w:rPr>
        <w:t xml:space="preserve">Resim 7. </w:t>
      </w:r>
      <w:r>
        <w:t>ESR cihazı.</w:t>
      </w:r>
    </w:p>
    <w:p w:rsidR="005B77DC" w:rsidRDefault="005B77DC">
      <w:pPr>
        <w:pStyle w:val="Normal1"/>
        <w:ind w:firstLine="709"/>
        <w:rPr>
          <w:b/>
        </w:rPr>
      </w:pPr>
    </w:p>
    <w:p w:rsidR="005B77DC" w:rsidRDefault="005B77DC">
      <w:pPr>
        <w:pStyle w:val="Normal1"/>
        <w:ind w:firstLine="709"/>
        <w:rPr>
          <w:b/>
        </w:rPr>
      </w:pPr>
    </w:p>
    <w:p w:rsidR="005B77DC" w:rsidRDefault="004F6C22">
      <w:pPr>
        <w:pStyle w:val="Normal1"/>
        <w:ind w:firstLine="0"/>
        <w:rPr>
          <w:b/>
        </w:rPr>
      </w:pPr>
      <w:r>
        <w:rPr>
          <w:b/>
        </w:rPr>
        <w:t>3.1.2. Kullanılan Kimyasal Maddeler</w:t>
      </w:r>
    </w:p>
    <w:p w:rsidR="005B77DC" w:rsidRDefault="005B77DC">
      <w:pPr>
        <w:pStyle w:val="Normal1"/>
        <w:ind w:firstLine="709"/>
      </w:pPr>
    </w:p>
    <w:p w:rsidR="005B77DC" w:rsidRDefault="004F6C22">
      <w:pPr>
        <w:pStyle w:val="Normal1"/>
        <w:ind w:firstLine="709"/>
      </w:pPr>
      <w:r>
        <w:t xml:space="preserve">Çalışma kapsamında DNA </w:t>
      </w:r>
      <w:proofErr w:type="gramStart"/>
      <w:r>
        <w:t>izolasyonu</w:t>
      </w:r>
      <w:proofErr w:type="gramEnd"/>
      <w:r>
        <w:t xml:space="preserve"> için Q1Amp DNA Blood Mini Kit (Qiagen, Almanya), PCR için İpsogen® JAK2 RGQ PCR Kiti (Qiagen, Almanya), biyokimyasal testler için Abbott kitleri (Illinois, ABD) kullanıldı.</w:t>
      </w:r>
    </w:p>
    <w:p w:rsidR="005B77DC" w:rsidRDefault="005B77DC">
      <w:pPr>
        <w:pStyle w:val="Normal1"/>
        <w:ind w:firstLine="709"/>
      </w:pPr>
    </w:p>
    <w:p w:rsidR="005B77DC" w:rsidRDefault="004F6C22">
      <w:pPr>
        <w:pStyle w:val="Normal1"/>
        <w:ind w:firstLine="0"/>
        <w:rPr>
          <w:b/>
        </w:rPr>
      </w:pPr>
      <w:r>
        <w:rPr>
          <w:b/>
        </w:rPr>
        <w:t>3.2. Yöntem</w:t>
      </w:r>
    </w:p>
    <w:p w:rsidR="005B77DC" w:rsidRDefault="005B77DC">
      <w:pPr>
        <w:pStyle w:val="Normal1"/>
        <w:ind w:firstLine="0"/>
        <w:rPr>
          <w:b/>
        </w:rPr>
      </w:pPr>
    </w:p>
    <w:p w:rsidR="005B77DC" w:rsidRDefault="004F6C22">
      <w:pPr>
        <w:pStyle w:val="Normal1"/>
        <w:ind w:firstLine="0"/>
        <w:rPr>
          <w:b/>
        </w:rPr>
      </w:pPr>
      <w:r>
        <w:rPr>
          <w:b/>
        </w:rPr>
        <w:t>3.2.1. Kan Parametrelerinin Analizi</w:t>
      </w:r>
    </w:p>
    <w:p w:rsidR="005B77DC" w:rsidRDefault="005B77DC">
      <w:pPr>
        <w:pStyle w:val="Normal1"/>
        <w:ind w:firstLine="0"/>
        <w:rPr>
          <w:b/>
        </w:rPr>
      </w:pPr>
    </w:p>
    <w:p w:rsidR="005B77DC" w:rsidRDefault="004F6C22">
      <w:pPr>
        <w:pStyle w:val="Normal1"/>
        <w:ind w:firstLine="709"/>
      </w:pPr>
      <w:r>
        <w:t xml:space="preserve">Çalışmaya Adnan Menderes Üniversitesi Tıp Fakültesi Çocuk Sağlığı ve Hastalıkları Anabilim Dalı Polikliniğinde Ocak 2017 ile Temmuz 2018 tarihleri arasında gelen primer trombositoz düşünülen 2-18 yaş arası 21 çocuk hasta </w:t>
      </w:r>
      <w:proofErr w:type="gramStart"/>
      <w:r>
        <w:t>dahil</w:t>
      </w:r>
      <w:proofErr w:type="gramEnd"/>
      <w:r>
        <w:t xml:space="preserve"> edildi.</w:t>
      </w:r>
    </w:p>
    <w:p w:rsidR="005B77DC" w:rsidRDefault="006D700E">
      <w:pPr>
        <w:pStyle w:val="Normal1"/>
        <w:ind w:firstLine="709"/>
        <w:rPr>
          <w:b/>
        </w:rPr>
      </w:pPr>
      <w:r>
        <w:t>Çalışmaya alınan çocuk hastaların periferik kan örnekleri</w:t>
      </w:r>
      <w:r w:rsidR="004F6C22">
        <w:t xml:space="preserve"> 2 cc’lik EDTA’lı tüpe konuldu. Bu olguların hematolojik analizleri Adnan Menderes Üniversitesi Tıp Fakültesi Hematoloji Laboratuvarında Mindray BC-6800 model hemogram analizörü ile hücre sayımı ve fibrinojen düzeyi BCS XP Siemens model koagülometre cihazı ve eritrosit sedimantasyon hızını ölçmek için Mediko Dardanel Berkhun model cihazı kullanılarak yapıldı. Adnan Menderes Üniversitesi </w:t>
      </w:r>
      <w:r w:rsidR="004F6C22">
        <w:lastRenderedPageBreak/>
        <w:t xml:space="preserve">Tıp Fakültesi Biyokimya Laboratuvarında biyokimyasal parametreler Architect Abbott cihazı C8000/i2000 model cihazlar ile spektrofotometrik yöntemle incelendi. Örnekler </w:t>
      </w:r>
      <w:proofErr w:type="gramStart"/>
      <w:r w:rsidR="004F6C22">
        <w:t>santrifüj</w:t>
      </w:r>
      <w:proofErr w:type="gramEnd"/>
      <w:r w:rsidR="004F6C22">
        <w:t xml:space="preserve"> edilerek kullanıma dek -20ºC’de saklandı. Bütün hasta ve kontrollerin periferik kan örneklerinin JAK2 V617F mutasyon analizi, “İpsogen® JAK2 RGQ PCR Kiti” (Qiagen, Almanya) ile test edilerek, Real Time (RT)- PCR (gerçek zamanlı polimeraz zincir reaksiyonu) yöntemi ile gerçekleştirildi.</w:t>
      </w:r>
    </w:p>
    <w:p w:rsidR="005B77DC" w:rsidRDefault="005B77DC">
      <w:pPr>
        <w:pStyle w:val="Normal1"/>
        <w:ind w:firstLine="709"/>
        <w:rPr>
          <w:b/>
        </w:rPr>
      </w:pPr>
    </w:p>
    <w:p w:rsidR="005B77DC" w:rsidRDefault="005B77DC">
      <w:pPr>
        <w:pStyle w:val="Normal1"/>
        <w:ind w:firstLine="709"/>
        <w:rPr>
          <w:b/>
        </w:rPr>
      </w:pPr>
    </w:p>
    <w:p w:rsidR="005B77DC" w:rsidRDefault="004F6C22">
      <w:pPr>
        <w:pStyle w:val="Normal1"/>
        <w:ind w:firstLine="0"/>
        <w:rPr>
          <w:b/>
        </w:rPr>
      </w:pPr>
      <w:r>
        <w:rPr>
          <w:b/>
        </w:rPr>
        <w:t>3.2.2. DNA İzolasyonu</w:t>
      </w:r>
    </w:p>
    <w:p w:rsidR="005B77DC" w:rsidRDefault="005B77DC">
      <w:pPr>
        <w:pStyle w:val="Normal1"/>
        <w:ind w:firstLine="709"/>
        <w:rPr>
          <w:b/>
        </w:rPr>
      </w:pPr>
    </w:p>
    <w:p w:rsidR="005B77DC" w:rsidRDefault="004F6C22" w:rsidP="00F03E69">
      <w:r>
        <w:t xml:space="preserve">DNA </w:t>
      </w:r>
      <w:proofErr w:type="gramStart"/>
      <w:r>
        <w:t>izolasyonu</w:t>
      </w:r>
      <w:proofErr w:type="gramEnd"/>
      <w:r>
        <w:t xml:space="preserve"> için yapılan işlemler aşağıda belirtildi.</w:t>
      </w:r>
    </w:p>
    <w:p w:rsidR="005B77DC" w:rsidRDefault="004F6C22" w:rsidP="00F03E69">
      <w:pPr>
        <w:rPr>
          <w:highlight w:val="white"/>
        </w:rPr>
      </w:pPr>
      <w:r>
        <w:t xml:space="preserve">1. </w:t>
      </w:r>
      <w:r>
        <w:rPr>
          <w:highlight w:val="white"/>
        </w:rPr>
        <w:t>DNA analizi için her hasta 2 ml’lik ependorf tüpte hazırlanır ve numaralandırılır.</w:t>
      </w:r>
    </w:p>
    <w:p w:rsidR="005B77DC" w:rsidRDefault="004F6C22" w:rsidP="00F03E69">
      <w:pPr>
        <w:rPr>
          <w:highlight w:val="white"/>
        </w:rPr>
      </w:pPr>
      <w:r>
        <w:rPr>
          <w:highlight w:val="white"/>
        </w:rPr>
        <w:t>2. Ependorf tüplere 230 μl hasta kanı, 20 μl proteinaz K, 200 μl AL Buffer (parçalama tamponu) konulur.</w:t>
      </w:r>
    </w:p>
    <w:p w:rsidR="005B77DC" w:rsidRDefault="004F6C22" w:rsidP="00F03E69">
      <w:pPr>
        <w:rPr>
          <w:highlight w:val="white"/>
        </w:rPr>
      </w:pPr>
      <w:r>
        <w:rPr>
          <w:highlight w:val="white"/>
        </w:rPr>
        <w:t>3. Örnekler 10’ar saniye vortekslendikten sonra ısı bloğunda, 56</w:t>
      </w:r>
      <w:r>
        <w:rPr>
          <w:rFonts w:ascii="Cambria Math" w:eastAsia="Cambria Math" w:hAnsi="Cambria Math" w:cs="Cambria Math"/>
          <w:highlight w:val="white"/>
        </w:rPr>
        <w:t>℃</w:t>
      </w:r>
      <w:r>
        <w:rPr>
          <w:highlight w:val="white"/>
        </w:rPr>
        <w:t>’de 10 dakika tutulur.</w:t>
      </w:r>
    </w:p>
    <w:p w:rsidR="005B77DC" w:rsidRDefault="004F6C22" w:rsidP="00F03E69">
      <w:pPr>
        <w:rPr>
          <w:highlight w:val="white"/>
        </w:rPr>
      </w:pPr>
      <w:r>
        <w:rPr>
          <w:highlight w:val="white"/>
        </w:rPr>
        <w:t>4. Örneklerin üzerine 200 μl %96-100’lük etil alkol eklenip vortekslenir.</w:t>
      </w:r>
    </w:p>
    <w:p w:rsidR="005B77DC" w:rsidRDefault="004F6C22" w:rsidP="00F03E69">
      <w:pPr>
        <w:rPr>
          <w:highlight w:val="white"/>
        </w:rPr>
      </w:pPr>
      <w:r>
        <w:rPr>
          <w:highlight w:val="white"/>
        </w:rPr>
        <w:t>5. Kit içerisinden çıkan, tek tek paketlenmiş tüplerin kapaklarına hasta numaraları yazılır.</w:t>
      </w:r>
    </w:p>
    <w:p w:rsidR="005B77DC" w:rsidRDefault="004F6C22" w:rsidP="00F03E69">
      <w:pPr>
        <w:rPr>
          <w:highlight w:val="white"/>
        </w:rPr>
      </w:pPr>
      <w:r>
        <w:rPr>
          <w:highlight w:val="white"/>
        </w:rPr>
        <w:t>6. Örnekler, filtreli tüplere aktarılır.</w:t>
      </w:r>
    </w:p>
    <w:p w:rsidR="005B77DC" w:rsidRDefault="004F6C22" w:rsidP="00F03E69">
      <w:pPr>
        <w:rPr>
          <w:highlight w:val="white"/>
        </w:rPr>
      </w:pPr>
      <w:r>
        <w:rPr>
          <w:highlight w:val="white"/>
        </w:rPr>
        <w:t>7. 8000 rpm devirde 1 dakika santrifüjlenir.</w:t>
      </w:r>
    </w:p>
    <w:p w:rsidR="005B77DC" w:rsidRDefault="004F6C22" w:rsidP="00F03E69">
      <w:pPr>
        <w:rPr>
          <w:highlight w:val="white"/>
        </w:rPr>
      </w:pPr>
      <w:r>
        <w:rPr>
          <w:highlight w:val="white"/>
        </w:rPr>
        <w:t>8. Örnekler (filtreli kısım), temiz collecting tüplere aktarılır. Üzerlerine 500 μl AW1 (yıkama tamponu 1) eklenir.</w:t>
      </w:r>
    </w:p>
    <w:p w:rsidR="005B77DC" w:rsidRDefault="004F6C22" w:rsidP="00F03E69">
      <w:pPr>
        <w:rPr>
          <w:highlight w:val="white"/>
        </w:rPr>
      </w:pPr>
      <w:r>
        <w:rPr>
          <w:highlight w:val="white"/>
        </w:rPr>
        <w:t>9. 8000 rpm devirde 1 dakika santrifüjlenir.</w:t>
      </w:r>
    </w:p>
    <w:p w:rsidR="005B77DC" w:rsidRDefault="004F6C22" w:rsidP="00F03E69">
      <w:pPr>
        <w:rPr>
          <w:highlight w:val="white"/>
        </w:rPr>
      </w:pPr>
      <w:r>
        <w:rPr>
          <w:highlight w:val="white"/>
        </w:rPr>
        <w:t>10. Örnekler (filtreli kısım), temiz collecting tüplere aktarılır. Üzerlerine 500 μl AW2 (yıkama tamponu 2) eklenir.</w:t>
      </w:r>
    </w:p>
    <w:p w:rsidR="005B77DC" w:rsidRDefault="004F6C22" w:rsidP="00F03E69">
      <w:pPr>
        <w:rPr>
          <w:highlight w:val="white"/>
        </w:rPr>
      </w:pPr>
      <w:r>
        <w:rPr>
          <w:highlight w:val="white"/>
        </w:rPr>
        <w:t>11. 14000 rpm devirde 1 dakika santrifüjlenir.</w:t>
      </w:r>
    </w:p>
    <w:p w:rsidR="005B77DC" w:rsidRDefault="004F6C22" w:rsidP="00F03E69">
      <w:pPr>
        <w:rPr>
          <w:highlight w:val="white"/>
        </w:rPr>
      </w:pPr>
      <w:r>
        <w:rPr>
          <w:highlight w:val="white"/>
        </w:rPr>
        <w:t>12. Örnekler (filtreli kısım), bu kez collecting tüplere değil 1,5 ml’lik ependorf tüplere aktarılır. Boş olarak, 14000 rpm devirde 3 dakika santrifüjlenir.</w:t>
      </w:r>
    </w:p>
    <w:p w:rsidR="005B77DC" w:rsidRDefault="004F6C22" w:rsidP="00F03E69">
      <w:pPr>
        <w:rPr>
          <w:highlight w:val="white"/>
        </w:rPr>
      </w:pPr>
      <w:r>
        <w:rPr>
          <w:highlight w:val="white"/>
        </w:rPr>
        <w:t>13. Örnekler (filtreli kısım), hasta numaraları verilmiş, 2 ml’lik ependorf tüplere aktarılır.</w:t>
      </w:r>
    </w:p>
    <w:p w:rsidR="005B77DC" w:rsidRDefault="004F6C22" w:rsidP="00F03E69">
      <w:pPr>
        <w:rPr>
          <w:highlight w:val="white"/>
        </w:rPr>
      </w:pPr>
      <w:r>
        <w:rPr>
          <w:highlight w:val="white"/>
        </w:rPr>
        <w:t>14. Örneklerin üzerine 100 μl Buffer AE (elüsyon tamponu) eklenir.</w:t>
      </w:r>
    </w:p>
    <w:p w:rsidR="005B77DC" w:rsidRDefault="004F6C22" w:rsidP="00F03E69">
      <w:pPr>
        <w:rPr>
          <w:highlight w:val="white"/>
        </w:rPr>
      </w:pPr>
      <w:r>
        <w:rPr>
          <w:highlight w:val="white"/>
        </w:rPr>
        <w:t>15. 8000 rpm devirde 1 dakika santrifüjlenir.</w:t>
      </w:r>
    </w:p>
    <w:p w:rsidR="005B77DC" w:rsidRDefault="004F6C22" w:rsidP="00F03E69">
      <w:pPr>
        <w:rPr>
          <w:highlight w:val="white"/>
        </w:rPr>
      </w:pPr>
      <w:r>
        <w:rPr>
          <w:highlight w:val="white"/>
        </w:rPr>
        <w:t>16. 1,5 ml’lik ependorf tüpte DNA bulunmaktadır. Filtreli kısım atılır.</w:t>
      </w:r>
    </w:p>
    <w:p w:rsidR="005B77DC" w:rsidRDefault="004F6C22" w:rsidP="00F03E69">
      <w:pPr>
        <w:rPr>
          <w:highlight w:val="white"/>
        </w:rPr>
      </w:pPr>
      <w:r>
        <w:rPr>
          <w:highlight w:val="white"/>
        </w:rPr>
        <w:t>17. PCR analizi yapılıncaya kadar numuneler -20 °C’de saklandı.</w:t>
      </w:r>
    </w:p>
    <w:p w:rsidR="005B77DC" w:rsidRDefault="005B77DC" w:rsidP="00F03E69">
      <w:pPr>
        <w:rPr>
          <w:highlight w:val="white"/>
        </w:rPr>
      </w:pPr>
    </w:p>
    <w:p w:rsidR="005B77DC" w:rsidRDefault="005B77DC">
      <w:pPr>
        <w:pStyle w:val="Normal1"/>
        <w:ind w:firstLine="709"/>
        <w:rPr>
          <w:highlight w:val="white"/>
        </w:rPr>
      </w:pPr>
    </w:p>
    <w:p w:rsidR="00CD4B15" w:rsidRDefault="00CD4B15">
      <w:pPr>
        <w:pStyle w:val="Normal1"/>
        <w:ind w:firstLine="0"/>
        <w:rPr>
          <w:b/>
        </w:rPr>
      </w:pPr>
    </w:p>
    <w:p w:rsidR="005B77DC" w:rsidRDefault="004F6C22">
      <w:pPr>
        <w:pStyle w:val="Normal1"/>
        <w:ind w:firstLine="0"/>
        <w:rPr>
          <w:b/>
        </w:rPr>
      </w:pPr>
      <w:r>
        <w:rPr>
          <w:b/>
        </w:rPr>
        <w:lastRenderedPageBreak/>
        <w:t>3.2.3. V617F Nokta Mutasyonunun Saptanması</w:t>
      </w:r>
    </w:p>
    <w:p w:rsidR="005B77DC" w:rsidRDefault="005B77DC">
      <w:pPr>
        <w:pStyle w:val="Normal1"/>
        <w:ind w:firstLine="709"/>
        <w:rPr>
          <w:b/>
        </w:rPr>
      </w:pPr>
    </w:p>
    <w:p w:rsidR="005B77DC" w:rsidRDefault="004F6C22">
      <w:pPr>
        <w:pStyle w:val="Normal1"/>
        <w:ind w:firstLine="709"/>
      </w:pPr>
      <w:r>
        <w:t xml:space="preserve">JAK2 geni V617F nokta mutasyonunun RT-PCR tekniği ile saptanması için, Ipsogen JAK2 MutaQuant kiti tarif edildiği şekilde kullanılmıştır. Bu kitin kullanım amacı JAK 2 V617F mutasyonun </w:t>
      </w:r>
      <w:proofErr w:type="gramStart"/>
      <w:r>
        <w:t>kantitatif</w:t>
      </w:r>
      <w:proofErr w:type="gramEnd"/>
      <w:r>
        <w:t xml:space="preserve"> olarak Real Time ile saptanmasıdır. Kitin içeriği V617F Pozitif Kontrol, V617F Negatif Kontrol, JAK2 wild-type ve JAK2 V617F için 2 set plazmid dilüsyonları, JAK2 wild-type ve JAK2 V617F için 2 adet Primer ve Prob Miksleri (24 reaksiyon).</w:t>
      </w:r>
    </w:p>
    <w:p w:rsidR="005B77DC" w:rsidRDefault="005B77DC">
      <w:pPr>
        <w:pStyle w:val="Normal1"/>
        <w:ind w:firstLine="709"/>
      </w:pPr>
    </w:p>
    <w:p w:rsidR="005B77DC" w:rsidRDefault="004F6C22">
      <w:pPr>
        <w:pStyle w:val="Normal1"/>
        <w:ind w:firstLine="0"/>
        <w:jc w:val="center"/>
      </w:pPr>
      <w:r>
        <w:rPr>
          <w:noProof/>
        </w:rPr>
        <w:drawing>
          <wp:inline distT="0" distB="0" distL="0" distR="0">
            <wp:extent cx="5400675" cy="1574591"/>
            <wp:effectExtent l="0" t="0" r="0" b="0"/>
            <wp:docPr id="15"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1"/>
                    <a:srcRect t="6604"/>
                    <a:stretch>
                      <a:fillRect/>
                    </a:stretch>
                  </pic:blipFill>
                  <pic:spPr>
                    <a:xfrm>
                      <a:off x="0" y="0"/>
                      <a:ext cx="5400675" cy="1574591"/>
                    </a:xfrm>
                    <a:prstGeom prst="rect">
                      <a:avLst/>
                    </a:prstGeom>
                    <a:ln/>
                  </pic:spPr>
                </pic:pic>
              </a:graphicData>
            </a:graphic>
          </wp:inline>
        </w:drawing>
      </w:r>
    </w:p>
    <w:p w:rsidR="005B77DC" w:rsidRDefault="005B77DC">
      <w:pPr>
        <w:pStyle w:val="Normal1"/>
        <w:ind w:firstLine="0"/>
        <w:jc w:val="center"/>
        <w:rPr>
          <w:b/>
        </w:rPr>
      </w:pPr>
    </w:p>
    <w:p w:rsidR="005B77DC" w:rsidRDefault="004F6C22">
      <w:pPr>
        <w:pStyle w:val="Normal1"/>
        <w:ind w:firstLine="0"/>
        <w:jc w:val="center"/>
        <w:rPr>
          <w:b/>
        </w:rPr>
      </w:pPr>
      <w:r>
        <w:rPr>
          <w:b/>
        </w:rPr>
        <w:t xml:space="preserve">Şekil 5. </w:t>
      </w:r>
      <w:r>
        <w:t>JAK 2 geni 14. ekzon mutasyon bölgesi.</w:t>
      </w:r>
    </w:p>
    <w:p w:rsidR="005B77DC" w:rsidRDefault="004F6C22">
      <w:pPr>
        <w:pStyle w:val="Normal1"/>
        <w:ind w:firstLine="0"/>
        <w:rPr>
          <w:b/>
        </w:rPr>
      </w:pPr>
      <w:r>
        <w:rPr>
          <w:b/>
        </w:rPr>
        <w:t>3.2.4.Çalışma Protokolü</w:t>
      </w:r>
    </w:p>
    <w:p w:rsidR="005B77DC" w:rsidRDefault="005B77DC">
      <w:pPr>
        <w:pStyle w:val="Normal1"/>
        <w:ind w:firstLine="709"/>
        <w:rPr>
          <w:b/>
        </w:rPr>
      </w:pPr>
    </w:p>
    <w:p w:rsidR="005B77DC" w:rsidRPr="00612065" w:rsidRDefault="004F6C22" w:rsidP="003B68B5">
      <w:pPr>
        <w:rPr>
          <w:b/>
        </w:rPr>
      </w:pPr>
      <w:r w:rsidRPr="00612065">
        <w:rPr>
          <w:b/>
        </w:rPr>
        <w:t>1. Kontrol</w:t>
      </w:r>
    </w:p>
    <w:p w:rsidR="005B77DC" w:rsidRDefault="004F6C22" w:rsidP="003B68B5">
      <w:pPr>
        <w:pStyle w:val="Normal1"/>
      </w:pPr>
      <w:r>
        <w:t>1.1. Kit içeriği kontrolü:</w:t>
      </w:r>
    </w:p>
    <w:p w:rsidR="005B77DC" w:rsidRDefault="004F6C22">
      <w:pPr>
        <w:pStyle w:val="Normal1"/>
        <w:ind w:firstLine="0"/>
        <w:jc w:val="center"/>
      </w:pPr>
      <w:r>
        <w:rPr>
          <w:noProof/>
        </w:rPr>
        <w:drawing>
          <wp:inline distT="0" distB="0" distL="0" distR="0">
            <wp:extent cx="5400000" cy="2341592"/>
            <wp:effectExtent l="0" t="0" r="0" b="0"/>
            <wp:docPr id="1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2"/>
                    <a:srcRect t="1" b="2272"/>
                    <a:stretch>
                      <a:fillRect/>
                    </a:stretch>
                  </pic:blipFill>
                  <pic:spPr>
                    <a:xfrm>
                      <a:off x="0" y="0"/>
                      <a:ext cx="5400000" cy="2341592"/>
                    </a:xfrm>
                    <a:prstGeom prst="rect">
                      <a:avLst/>
                    </a:prstGeom>
                    <a:ln/>
                  </pic:spPr>
                </pic:pic>
              </a:graphicData>
            </a:graphic>
          </wp:inline>
        </w:drawing>
      </w:r>
    </w:p>
    <w:p w:rsidR="005B77DC" w:rsidRDefault="004F6C22" w:rsidP="004234A1">
      <w:r>
        <w:t>1.2. Kit içeriğinde bulunmayan ancak çalışma için gerekli diğer malzemeler kontrol edilir:</w:t>
      </w:r>
    </w:p>
    <w:p w:rsidR="005B77DC" w:rsidRDefault="004F6C22">
      <w:pPr>
        <w:pStyle w:val="Normal1"/>
        <w:ind w:firstLine="0"/>
        <w:jc w:val="center"/>
      </w:pPr>
      <w:r>
        <w:rPr>
          <w:noProof/>
        </w:rPr>
        <w:lastRenderedPageBreak/>
        <w:drawing>
          <wp:inline distT="0" distB="0" distL="0" distR="0">
            <wp:extent cx="5400000" cy="1558763"/>
            <wp:effectExtent l="0" t="0" r="0" b="0"/>
            <wp:docPr id="1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3"/>
                    <a:srcRect b="3674"/>
                    <a:stretch>
                      <a:fillRect/>
                    </a:stretch>
                  </pic:blipFill>
                  <pic:spPr>
                    <a:xfrm>
                      <a:off x="0" y="0"/>
                      <a:ext cx="5400000" cy="1558763"/>
                    </a:xfrm>
                    <a:prstGeom prst="rect">
                      <a:avLst/>
                    </a:prstGeom>
                    <a:ln/>
                  </pic:spPr>
                </pic:pic>
              </a:graphicData>
            </a:graphic>
          </wp:inline>
        </w:drawing>
      </w:r>
    </w:p>
    <w:p w:rsidR="005B77DC" w:rsidRDefault="004F6C22" w:rsidP="002473C8">
      <w:r>
        <w:t xml:space="preserve">Kullanım öncesinde Standartlar ve Primer&amp;Problar vortekslenir ve kısa bir spin </w:t>
      </w:r>
      <w:proofErr w:type="gramStart"/>
      <w:r>
        <w:t>santrifüj</w:t>
      </w:r>
      <w:proofErr w:type="gramEnd"/>
      <w:r>
        <w:t xml:space="preserve"> yapılır.</w:t>
      </w:r>
    </w:p>
    <w:p w:rsidR="005B77DC" w:rsidRDefault="004F6C22">
      <w:pPr>
        <w:pStyle w:val="Normal1"/>
        <w:ind w:firstLine="709"/>
        <w:rPr>
          <w:b/>
        </w:rPr>
      </w:pPr>
      <w:r>
        <w:rPr>
          <w:b/>
        </w:rPr>
        <w:t>2. İzolatların kontrolü</w:t>
      </w:r>
    </w:p>
    <w:p w:rsidR="005B77DC" w:rsidRDefault="004F6C22">
      <w:pPr>
        <w:pStyle w:val="Normal1"/>
        <w:ind w:firstLine="709"/>
      </w:pPr>
      <w:r>
        <w:t>2.1. İzolatların DNA ölçümü ve dilüsyon</w:t>
      </w:r>
    </w:p>
    <w:p w:rsidR="005B77DC" w:rsidRDefault="004F6C22">
      <w:pPr>
        <w:pStyle w:val="Normal1"/>
        <w:ind w:firstLine="709"/>
      </w:pPr>
      <w:r>
        <w:t>260 ve 280 dalga boylarındaki optik dansite (OD260/OD280) oranının 1.7-1.9 arasında olması beklenir. Protein kontaminasyonu veya organik kimyasal varlığı değerlendirilir. Ölçüm için % 0,8–1 yoğunlukta agaroz jel kullanılabilir. Bu durumda yaklaşık 20 kb civarında kesin bir bant gözlenmelidir.</w:t>
      </w:r>
    </w:p>
    <w:p w:rsidR="005B77DC" w:rsidRDefault="004F6C22">
      <w:pPr>
        <w:pStyle w:val="Normal1"/>
        <w:ind w:firstLine="709"/>
      </w:pPr>
      <w:r>
        <w:t xml:space="preserve">Elde edilen DNA </w:t>
      </w:r>
      <w:r>
        <w:rPr>
          <w:b/>
        </w:rPr>
        <w:t xml:space="preserve">5ng/μl </w:t>
      </w:r>
      <w:r>
        <w:t xml:space="preserve">olacak şekilde 1x TE buffer (PH 8.0’da) ile sulandırılır. Bir hafta +4 ve +8° C’de; daha uzun süreler için –20°C muhafaza edilir. Kitin qPCR reaksiyonu </w:t>
      </w:r>
      <w:r>
        <w:rPr>
          <w:b/>
        </w:rPr>
        <w:t xml:space="preserve">25 ng </w:t>
      </w:r>
      <w:r>
        <w:t>pürifiye genomik DNA örnekleri için optimize edilmiştir.</w:t>
      </w:r>
    </w:p>
    <w:p w:rsidR="005B77DC" w:rsidRDefault="005B77DC">
      <w:pPr>
        <w:pStyle w:val="Normal1"/>
        <w:ind w:firstLine="709"/>
        <w:rPr>
          <w:b/>
          <w:i/>
        </w:rPr>
      </w:pPr>
    </w:p>
    <w:p w:rsidR="005B77DC" w:rsidRDefault="004F6C22">
      <w:pPr>
        <w:pStyle w:val="Normal1"/>
        <w:ind w:firstLine="709"/>
        <w:rPr>
          <w:b/>
        </w:rPr>
      </w:pPr>
      <w:r>
        <w:rPr>
          <w:b/>
        </w:rPr>
        <w:t>3. PCR Sıcaklık Profilinin Cihazda kontrolü</w:t>
      </w:r>
    </w:p>
    <w:p w:rsidR="005B77DC" w:rsidRDefault="004F6C22">
      <w:pPr>
        <w:pStyle w:val="Normal1"/>
        <w:ind w:firstLine="709"/>
      </w:pPr>
      <w:r>
        <w:t xml:space="preserve">3.1. RGQ </w:t>
      </w:r>
      <w:proofErr w:type="gramStart"/>
      <w:r>
        <w:t>software</w:t>
      </w:r>
      <w:proofErr w:type="gramEnd"/>
      <w:r>
        <w:t xml:space="preserve"> ile PCR sıcaklık profili kontrolü:</w:t>
      </w:r>
    </w:p>
    <w:p w:rsidR="005B77DC" w:rsidRDefault="004F6C22">
      <w:pPr>
        <w:pStyle w:val="Normal1"/>
        <w:ind w:firstLine="0"/>
        <w:jc w:val="center"/>
      </w:pPr>
      <w:r>
        <w:rPr>
          <w:noProof/>
        </w:rPr>
        <w:drawing>
          <wp:inline distT="0" distB="0" distL="0" distR="0">
            <wp:extent cx="4320000" cy="1341278"/>
            <wp:effectExtent l="0" t="0" r="0" b="0"/>
            <wp:docPr id="1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4"/>
                    <a:srcRect l="3815" t="5797" r="995" b="8213"/>
                    <a:stretch>
                      <a:fillRect/>
                    </a:stretch>
                  </pic:blipFill>
                  <pic:spPr>
                    <a:xfrm>
                      <a:off x="0" y="0"/>
                      <a:ext cx="4320000" cy="1341278"/>
                    </a:xfrm>
                    <a:prstGeom prst="rect">
                      <a:avLst/>
                    </a:prstGeom>
                    <a:ln/>
                  </pic:spPr>
                </pic:pic>
              </a:graphicData>
            </a:graphic>
          </wp:inline>
        </w:drawing>
      </w:r>
    </w:p>
    <w:p w:rsidR="005B77DC" w:rsidRDefault="004F6C22">
      <w:pPr>
        <w:pStyle w:val="Normal1"/>
        <w:ind w:firstLine="709"/>
        <w:rPr>
          <w:b/>
        </w:rPr>
      </w:pPr>
      <w:r>
        <w:rPr>
          <w:b/>
        </w:rPr>
        <w:t>4. PCR dizilimleri ve kurulumu</w:t>
      </w:r>
    </w:p>
    <w:p w:rsidR="005B77DC" w:rsidRDefault="004F6C22">
      <w:pPr>
        <w:pStyle w:val="Normal1"/>
        <w:ind w:firstLine="709"/>
      </w:pPr>
      <w:r>
        <w:t xml:space="preserve">4.1. Örnek </w:t>
      </w:r>
      <w:proofErr w:type="gramStart"/>
      <w:r>
        <w:t>sıralaması :</w:t>
      </w:r>
      <w:proofErr w:type="gramEnd"/>
    </w:p>
    <w:p w:rsidR="005B77DC" w:rsidRDefault="004F6C22">
      <w:pPr>
        <w:pStyle w:val="Normal1"/>
        <w:ind w:firstLine="709"/>
      </w:pPr>
      <w:r>
        <w:t>V617F Mutant (PPM-VF) ve WT (PPM-WT) için iki ayrı grup oluşturulur. Her örnek için hem WT hem de V617F için iki PCR reaksiyonu kurulacak şekilde iki tüp gereklidir.</w:t>
      </w:r>
    </w:p>
    <w:p w:rsidR="005B77DC" w:rsidRDefault="004F6C22">
      <w:pPr>
        <w:pStyle w:val="Normal1"/>
        <w:ind w:firstLine="709"/>
      </w:pPr>
      <w:r>
        <w:t>Örnekler, Kontroller (Negatif Kontrol, Pozitif Kontrol, NTC) için x2 olarak PCR hesaplaması yapılır. Aşağıdaki Rotor grafiği üzerinde dizilim yer almaktadır (Şekil 6).</w:t>
      </w:r>
    </w:p>
    <w:p w:rsidR="005B77DC" w:rsidRDefault="005B77DC">
      <w:pPr>
        <w:pStyle w:val="Normal1"/>
        <w:ind w:firstLine="709"/>
      </w:pPr>
    </w:p>
    <w:p w:rsidR="005B77DC" w:rsidRDefault="004F6C22">
      <w:pPr>
        <w:pStyle w:val="Normal1"/>
        <w:ind w:firstLine="0"/>
        <w:jc w:val="center"/>
      </w:pPr>
      <w:r>
        <w:rPr>
          <w:noProof/>
        </w:rPr>
        <w:lastRenderedPageBreak/>
        <w:drawing>
          <wp:inline distT="0" distB="0" distL="0" distR="0">
            <wp:extent cx="5400000" cy="4970770"/>
            <wp:effectExtent l="0" t="0" r="0" b="0"/>
            <wp:docPr id="1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5"/>
                    <a:srcRect r="2479"/>
                    <a:stretch>
                      <a:fillRect/>
                    </a:stretch>
                  </pic:blipFill>
                  <pic:spPr>
                    <a:xfrm>
                      <a:off x="0" y="0"/>
                      <a:ext cx="5400000" cy="4970770"/>
                    </a:xfrm>
                    <a:prstGeom prst="rect">
                      <a:avLst/>
                    </a:prstGeom>
                    <a:ln/>
                  </pic:spPr>
                </pic:pic>
              </a:graphicData>
            </a:graphic>
          </wp:inline>
        </w:drawing>
      </w:r>
    </w:p>
    <w:p w:rsidR="005B77DC" w:rsidRDefault="005B77DC">
      <w:pPr>
        <w:pStyle w:val="Normal1"/>
        <w:ind w:firstLine="709"/>
        <w:rPr>
          <w:b/>
        </w:rPr>
      </w:pPr>
    </w:p>
    <w:p w:rsidR="005B77DC" w:rsidRDefault="004F6C22">
      <w:pPr>
        <w:pStyle w:val="Normal1"/>
        <w:ind w:firstLine="0"/>
        <w:jc w:val="center"/>
      </w:pPr>
      <w:r>
        <w:rPr>
          <w:b/>
        </w:rPr>
        <w:t xml:space="preserve">Şekil 6. </w:t>
      </w:r>
      <w:r>
        <w:t>Rotor (72) üzerinde örnek dizilim.</w:t>
      </w:r>
    </w:p>
    <w:p w:rsidR="005B77DC" w:rsidRDefault="005B77DC">
      <w:pPr>
        <w:pStyle w:val="Normal1"/>
        <w:ind w:firstLine="709"/>
      </w:pPr>
    </w:p>
    <w:p w:rsidR="005B77DC" w:rsidRDefault="004F6C22">
      <w:pPr>
        <w:pStyle w:val="Normal1"/>
        <w:ind w:firstLine="709"/>
      </w:pPr>
      <w:r>
        <w:t>Duplike çalışmalarda her örnek, standartlar ve kontroller için WT 2 adet ve Mutant 2 adet olmak üzere toplam 4 adet 0,1’lik tüp hazırlanır. Tekli çalışmalarda WT için 1 ve Mutant için 1 adet olmak üzere toplam 2 adet 0,1’lik tüp hazırlanır.</w:t>
      </w:r>
    </w:p>
    <w:p w:rsidR="005B77DC" w:rsidRDefault="004F6C22">
      <w:pPr>
        <w:pStyle w:val="Normal1"/>
        <w:ind w:firstLine="709"/>
      </w:pPr>
      <w:r>
        <w:t>Aşağıda 2 hastanın tekli ve duplike çalışması için hazırlanmış örnek listeleri bulabilirsiniz (Kit ile duplike bir çalışmada verimlilik için bir run’da en az 10 DNA ile çalışılması önerilir).</w:t>
      </w:r>
    </w:p>
    <w:p w:rsidR="005B77DC" w:rsidRDefault="005B77DC">
      <w:pPr>
        <w:pStyle w:val="Normal1"/>
        <w:ind w:firstLine="709"/>
      </w:pPr>
    </w:p>
    <w:p w:rsidR="005B77DC" w:rsidRDefault="005B77DC">
      <w:pPr>
        <w:pStyle w:val="Normal1"/>
        <w:ind w:firstLine="709"/>
      </w:pPr>
    </w:p>
    <w:p w:rsidR="005B77DC" w:rsidRDefault="004F6C22">
      <w:pPr>
        <w:pStyle w:val="Normal1"/>
        <w:ind w:firstLine="0"/>
        <w:jc w:val="center"/>
      </w:pPr>
      <w:r>
        <w:rPr>
          <w:noProof/>
        </w:rPr>
        <w:lastRenderedPageBreak/>
        <w:drawing>
          <wp:inline distT="0" distB="0" distL="0" distR="0">
            <wp:extent cx="5400000" cy="1351988"/>
            <wp:effectExtent l="0" t="0" r="0" b="0"/>
            <wp:docPr id="2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6"/>
                    <a:srcRect b="4290"/>
                    <a:stretch>
                      <a:fillRect/>
                    </a:stretch>
                  </pic:blipFill>
                  <pic:spPr>
                    <a:xfrm>
                      <a:off x="0" y="0"/>
                      <a:ext cx="5400000" cy="1351988"/>
                    </a:xfrm>
                    <a:prstGeom prst="rect">
                      <a:avLst/>
                    </a:prstGeom>
                    <a:ln/>
                  </pic:spPr>
                </pic:pic>
              </a:graphicData>
            </a:graphic>
          </wp:inline>
        </w:drawing>
      </w:r>
    </w:p>
    <w:p w:rsidR="005B77DC" w:rsidRDefault="005B77DC">
      <w:pPr>
        <w:pStyle w:val="Normal1"/>
        <w:ind w:firstLine="709"/>
        <w:rPr>
          <w:b/>
        </w:rPr>
      </w:pPr>
    </w:p>
    <w:p w:rsidR="005B77DC" w:rsidRDefault="004F6C22">
      <w:pPr>
        <w:pStyle w:val="Normal1"/>
        <w:ind w:firstLine="709"/>
        <w:rPr>
          <w:b/>
        </w:rPr>
      </w:pPr>
      <w:r>
        <w:rPr>
          <w:b/>
        </w:rPr>
        <w:t>5. Çalışma Föyü</w:t>
      </w:r>
    </w:p>
    <w:p w:rsidR="005B77DC" w:rsidRDefault="00AF2842" w:rsidP="00AF2842">
      <w:r>
        <w:t>-</w:t>
      </w:r>
      <w:r w:rsidR="004F6C22">
        <w:t xml:space="preserve">Mut JAK2 ve WT PPM tüplerini oda sıcaklığına getirerek eritiniz. Kısaca vorteks </w:t>
      </w:r>
      <w:r>
        <w:t xml:space="preserve">edip ve </w:t>
      </w:r>
      <w:r w:rsidR="004F6C22">
        <w:t xml:space="preserve">spin </w:t>
      </w:r>
      <w:proofErr w:type="gramStart"/>
      <w:r w:rsidR="004F6C22">
        <w:t>santrifüj</w:t>
      </w:r>
      <w:proofErr w:type="gramEnd"/>
      <w:r w:rsidR="004F6C22">
        <w:t xml:space="preserve"> yapınız.</w:t>
      </w:r>
    </w:p>
    <w:p w:rsidR="005B77DC" w:rsidRDefault="00AF2842" w:rsidP="00AF2842">
      <w:r>
        <w:t>-</w:t>
      </w:r>
      <w:r w:rsidR="004F6C22">
        <w:t xml:space="preserve">Standart plazmidleri oda sıcaklığına getirerek eritiniz; iyice vorteksledikten sonra kısaca spin </w:t>
      </w:r>
      <w:proofErr w:type="gramStart"/>
      <w:r w:rsidR="004F6C22">
        <w:t>santrifüj</w:t>
      </w:r>
      <w:proofErr w:type="gramEnd"/>
      <w:r w:rsidR="004F6C22">
        <w:t xml:space="preserve"> ediniz.</w:t>
      </w:r>
    </w:p>
    <w:p w:rsidR="005B77DC" w:rsidRDefault="00AF2842" w:rsidP="00AF2842">
      <w:r>
        <w:t>-</w:t>
      </w:r>
      <w:r w:rsidR="00612065">
        <w:t>M1, M2, M3 ve</w:t>
      </w:r>
      <w:r w:rsidR="004F6C22">
        <w:t xml:space="preserve"> M4 tüplerini mutant JAK2 standartları olarak, WT1, WT2, WT3 ve WT4 tüplerini de WT JAK2 standartları olarak kullanınız.</w:t>
      </w:r>
    </w:p>
    <w:p w:rsidR="005B77DC" w:rsidRDefault="00AF2842" w:rsidP="00AF2842">
      <w:r>
        <w:t>-</w:t>
      </w:r>
      <w:r w:rsidR="004F6C22">
        <w:t>Hem MUTANT hem de WT miksi için hastalardan sonra mutlaka “no template control” yüklenmelidir.</w:t>
      </w:r>
    </w:p>
    <w:p w:rsidR="005B77DC" w:rsidRDefault="00AF2842" w:rsidP="00AF2842">
      <w:r>
        <w:t>-</w:t>
      </w:r>
      <w:r w:rsidR="004F6C22">
        <w:t>Standartlar, PCR miksinin ve örneklerin dağıtıldığı alandan tamamen farklı bir alanda dağıtılmalıdır.</w:t>
      </w:r>
    </w:p>
    <w:p w:rsidR="005B77DC" w:rsidRDefault="005B77DC">
      <w:pPr>
        <w:pStyle w:val="Normal1"/>
        <w:ind w:firstLine="709"/>
      </w:pPr>
    </w:p>
    <w:p w:rsidR="005B77DC" w:rsidRDefault="005B77DC">
      <w:pPr>
        <w:pStyle w:val="Normal1"/>
        <w:ind w:firstLine="709"/>
      </w:pPr>
    </w:p>
    <w:p w:rsidR="005B77DC" w:rsidRDefault="004F6C22">
      <w:pPr>
        <w:pStyle w:val="Normal1"/>
        <w:ind w:firstLine="0"/>
        <w:rPr>
          <w:highlight w:val="white"/>
        </w:rPr>
      </w:pPr>
      <w:r>
        <w:rPr>
          <w:b/>
        </w:rPr>
        <w:t>3.3. İstatistiksel Değerlendirme</w:t>
      </w:r>
    </w:p>
    <w:p w:rsidR="005B77DC" w:rsidRDefault="005B77DC">
      <w:pPr>
        <w:pStyle w:val="Normal1"/>
        <w:ind w:firstLine="709"/>
        <w:rPr>
          <w:b/>
        </w:rPr>
      </w:pPr>
    </w:p>
    <w:p w:rsidR="005B77DC" w:rsidRDefault="004F6C22">
      <w:pPr>
        <w:pStyle w:val="Normal1"/>
        <w:ind w:firstLine="709"/>
      </w:pPr>
      <w:r>
        <w:t>Elde edilen verilerin istatistiksel analizi amacıyla SPSS (Statistical Package for Social Sciences=Sosyal Bilimler İçin İstatist</w:t>
      </w:r>
      <w:r w:rsidR="003642FB">
        <w:t>iksel Paket) sürüm 21 (SPSS Inc</w:t>
      </w:r>
      <w:proofErr w:type="gramStart"/>
      <w:r w:rsidR="00FA478B">
        <w:t>.</w:t>
      </w:r>
      <w:r>
        <w:t>,</w:t>
      </w:r>
      <w:proofErr w:type="gramEnd"/>
      <w:r>
        <w:t xml:space="preserve"> Chicago, IL, USA) paket programı uygulandı. Tüm veriler için tanımlayıcı istatistikler kullanıldı.</w:t>
      </w:r>
    </w:p>
    <w:p w:rsidR="005B77DC" w:rsidRDefault="005B77DC">
      <w:pPr>
        <w:pStyle w:val="Normal1"/>
        <w:ind w:firstLine="709"/>
        <w:rPr>
          <w:b/>
          <w:highlight w:val="white"/>
        </w:rPr>
      </w:pPr>
    </w:p>
    <w:p w:rsidR="005B77DC" w:rsidRDefault="005B77DC">
      <w:pPr>
        <w:pStyle w:val="Normal1"/>
        <w:ind w:firstLine="709"/>
        <w:rPr>
          <w:b/>
          <w:highlight w:val="white"/>
        </w:rPr>
      </w:pPr>
    </w:p>
    <w:p w:rsidR="005B77DC" w:rsidRDefault="005B77DC">
      <w:pPr>
        <w:pStyle w:val="Normal1"/>
        <w:ind w:firstLine="709"/>
        <w:rPr>
          <w:b/>
          <w:highlight w:val="white"/>
        </w:rPr>
      </w:pPr>
    </w:p>
    <w:p w:rsidR="005B77DC" w:rsidRDefault="005B77DC">
      <w:pPr>
        <w:pStyle w:val="Normal1"/>
        <w:ind w:firstLine="709"/>
        <w:rPr>
          <w:b/>
          <w:highlight w:val="white"/>
        </w:rPr>
      </w:pPr>
    </w:p>
    <w:p w:rsidR="005B77DC" w:rsidRDefault="005B77DC">
      <w:pPr>
        <w:pStyle w:val="Normal1"/>
        <w:ind w:firstLine="709"/>
        <w:rPr>
          <w:b/>
          <w:highlight w:val="white"/>
        </w:rPr>
      </w:pPr>
    </w:p>
    <w:p w:rsidR="005B77DC" w:rsidRDefault="004F6C22">
      <w:pPr>
        <w:pStyle w:val="Normal1"/>
        <w:spacing w:after="200" w:line="276" w:lineRule="auto"/>
        <w:ind w:firstLine="0"/>
        <w:jc w:val="left"/>
        <w:rPr>
          <w:b/>
          <w:highlight w:val="white"/>
        </w:rPr>
      </w:pPr>
      <w:r>
        <w:br w:type="page"/>
      </w:r>
    </w:p>
    <w:p w:rsidR="005B77DC" w:rsidRDefault="004F6C22">
      <w:pPr>
        <w:pStyle w:val="Normal1"/>
        <w:ind w:firstLine="0"/>
        <w:jc w:val="center"/>
        <w:rPr>
          <w:b/>
          <w:sz w:val="28"/>
          <w:szCs w:val="28"/>
          <w:highlight w:val="white"/>
        </w:rPr>
      </w:pPr>
      <w:r>
        <w:rPr>
          <w:b/>
          <w:sz w:val="28"/>
          <w:szCs w:val="28"/>
          <w:highlight w:val="white"/>
        </w:rPr>
        <w:lastRenderedPageBreak/>
        <w:t>4. BULGULAR</w:t>
      </w:r>
    </w:p>
    <w:p w:rsidR="005B77DC" w:rsidRDefault="005B77DC">
      <w:pPr>
        <w:pStyle w:val="Normal1"/>
        <w:ind w:firstLine="0"/>
        <w:jc w:val="center"/>
      </w:pPr>
    </w:p>
    <w:p w:rsidR="005B77DC" w:rsidRDefault="005B77DC">
      <w:pPr>
        <w:pStyle w:val="Normal1"/>
        <w:ind w:firstLine="0"/>
        <w:jc w:val="center"/>
      </w:pPr>
    </w:p>
    <w:p w:rsidR="005B77DC" w:rsidRDefault="004F6C22">
      <w:pPr>
        <w:pStyle w:val="Normal1"/>
        <w:ind w:firstLine="709"/>
      </w:pPr>
      <w:r>
        <w:t xml:space="preserve">Demir eksikliği anemisi ve enfeksiyona ya da enflamasyona sekonder trombositozu olmayan, trombosit sayısı &gt;500.000/μL saptanan 13’ü erkek (%61,9), 8’i kız (%38,1) 21 çocuk çalışmaya </w:t>
      </w:r>
      <w:proofErr w:type="gramStart"/>
      <w:r>
        <w:t>dahil</w:t>
      </w:r>
      <w:proofErr w:type="gramEnd"/>
      <w:r>
        <w:t xml:space="preserve"> edildi. Hastaların yaşı, cinsiyeti, Hb, beyaz küre (WBC) ve PLT sayısı, ferritin, SD, SDBK, fibrinojen, CRP ve ESR, fibrinojen düzeyleri Tablo 4’te gösterildi.</w:t>
      </w:r>
    </w:p>
    <w:p w:rsidR="005B77DC" w:rsidRDefault="004F6C22">
      <w:pPr>
        <w:pStyle w:val="Normal1"/>
        <w:ind w:firstLine="709"/>
      </w:pPr>
      <w:proofErr w:type="gramStart"/>
      <w:r>
        <w:t xml:space="preserve">Hastaların yaş ortalaması 6,76±2,94 yıl (dağılım 3-13) idi. Bu olguların ortalama ferritin düzeyi 28,38±11,48 ng/mL (dağılım 20,30-62,32), serum demir düzeyi 67,52±22,62 μg/dL (dağılım 35-116), serum demir bağlama kapasitesi 269,4±52,26 μg/dL (dağılım 176-365), fibrinojen düzeyi 288,0±43,40 mg/dL (dağılım 202,5-350,0) olarak tespit edildi. </w:t>
      </w:r>
      <w:proofErr w:type="gramEnd"/>
      <w:r>
        <w:t>Tüm hastalarda CRP negatif ve eritrosit sedimentasyon hızı normaldi.</w:t>
      </w:r>
    </w:p>
    <w:p w:rsidR="005B77DC" w:rsidRDefault="004F6C22">
      <w:pPr>
        <w:pStyle w:val="Normal1"/>
        <w:ind w:firstLine="709"/>
      </w:pPr>
      <w:r>
        <w:t>Hastaların ortalama hemoglobin düzeyi 12,28±0,95 gr/dL (dağılım 10,7</w:t>
      </w:r>
      <w:r w:rsidR="00AA3884">
        <w:t xml:space="preserve">-14,1), ortalama lökosit sayısı </w:t>
      </w:r>
      <w:r>
        <w:t>9,120±950/mm³ (dağılım 6,18-11,340), ortalama trombosit sayısı 613,000±96,820/μL (dağılım 504-830,000) olarak bulundu (Tablo 5).</w:t>
      </w:r>
    </w:p>
    <w:p w:rsidR="005B77DC" w:rsidRDefault="004F6C22">
      <w:pPr>
        <w:pStyle w:val="Normal1"/>
        <w:ind w:firstLine="709"/>
      </w:pPr>
      <w:r>
        <w:t>Çalışmamızda ortalama trombosit hacmi (MPV) düşük (&lt;7fL) ya da yüksek ( &gt;11 fL) hasta yoktu. Tüm hastalarda normal ( 7-11fL) düzeydeydi.</w:t>
      </w:r>
    </w:p>
    <w:p w:rsidR="005B77DC" w:rsidRDefault="005B77DC">
      <w:pPr>
        <w:pStyle w:val="Normal1"/>
        <w:ind w:firstLine="709"/>
        <w:sectPr w:rsidR="005B77DC">
          <w:pgSz w:w="11906" w:h="16838"/>
          <w:pgMar w:top="1418" w:right="1304" w:bottom="1418" w:left="1701" w:header="850" w:footer="850" w:gutter="0"/>
          <w:pgNumType w:start="1"/>
          <w:cols w:space="708" w:equalWidth="0">
            <w:col w:w="9406"/>
          </w:cols>
        </w:sectPr>
      </w:pPr>
    </w:p>
    <w:p w:rsidR="005B77DC" w:rsidRDefault="004F6C22">
      <w:pPr>
        <w:pStyle w:val="Normal1"/>
        <w:ind w:firstLine="0"/>
      </w:pPr>
      <w:r>
        <w:rPr>
          <w:b/>
        </w:rPr>
        <w:lastRenderedPageBreak/>
        <w:t xml:space="preserve">Tablo 4. </w:t>
      </w:r>
      <w:r>
        <w:t>Olgularının yaş, cinsiyet ve laboratuvar bulguları.</w:t>
      </w:r>
    </w:p>
    <w:tbl>
      <w:tblPr>
        <w:tblStyle w:val="a4"/>
        <w:tblpPr w:leftFromText="141" w:rightFromText="141" w:horzAnchor="margin" w:tblpY="586"/>
        <w:tblW w:w="12621" w:type="dxa"/>
        <w:tblInd w:w="0" w:type="dxa"/>
        <w:tblBorders>
          <w:top w:val="single" w:sz="8" w:space="0" w:color="4F81BD"/>
          <w:left w:val="single" w:sz="8" w:space="0" w:color="4F81BD"/>
          <w:bottom w:val="single" w:sz="8" w:space="0" w:color="4F81BD"/>
          <w:right w:val="single" w:sz="8" w:space="0" w:color="4F81BD"/>
          <w:insideH w:val="single" w:sz="4" w:space="0" w:color="BFBFBF"/>
          <w:insideV w:val="single" w:sz="4" w:space="0" w:color="BFBFBF"/>
        </w:tblBorders>
        <w:tblLayout w:type="fixed"/>
        <w:tblLook w:val="0400"/>
      </w:tblPr>
      <w:tblGrid>
        <w:gridCol w:w="880"/>
        <w:gridCol w:w="725"/>
        <w:gridCol w:w="757"/>
        <w:gridCol w:w="956"/>
        <w:gridCol w:w="1197"/>
        <w:gridCol w:w="1197"/>
        <w:gridCol w:w="1170"/>
        <w:gridCol w:w="1115"/>
        <w:gridCol w:w="1115"/>
        <w:gridCol w:w="1031"/>
        <w:gridCol w:w="1400"/>
        <w:gridCol w:w="1078"/>
      </w:tblGrid>
      <w:tr w:rsidR="00AD62E8" w:rsidRPr="00AD62E8" w:rsidTr="00AD62E8">
        <w:trPr>
          <w:trHeight w:val="494"/>
        </w:trPr>
        <w:tc>
          <w:tcPr>
            <w:tcW w:w="880" w:type="dxa"/>
            <w:tcBorders>
              <w:top w:val="single" w:sz="4" w:space="0" w:color="auto"/>
              <w:left w:val="nil"/>
              <w:bottom w:val="single" w:sz="4" w:space="0" w:color="000000"/>
              <w:right w:val="nil"/>
            </w:tcBorders>
            <w:vAlign w:val="center"/>
          </w:tcPr>
          <w:p w:rsidR="005B77DC" w:rsidRPr="00AD62E8" w:rsidRDefault="004F6C22" w:rsidP="00AD62E8">
            <w:pPr>
              <w:pStyle w:val="Normal1"/>
              <w:ind w:firstLine="0"/>
              <w:rPr>
                <w:b/>
                <w:color w:val="auto"/>
                <w:sz w:val="20"/>
                <w:szCs w:val="20"/>
              </w:rPr>
            </w:pPr>
            <w:r w:rsidRPr="00AD62E8">
              <w:rPr>
                <w:b/>
                <w:color w:val="auto"/>
                <w:sz w:val="20"/>
                <w:szCs w:val="20"/>
              </w:rPr>
              <w:t>Hasta</w:t>
            </w:r>
          </w:p>
          <w:p w:rsidR="005B77DC" w:rsidRPr="00AD62E8" w:rsidRDefault="004F6C22" w:rsidP="00AD62E8">
            <w:pPr>
              <w:pStyle w:val="Normal1"/>
              <w:ind w:firstLine="0"/>
              <w:rPr>
                <w:b/>
                <w:color w:val="auto"/>
                <w:sz w:val="20"/>
                <w:szCs w:val="20"/>
              </w:rPr>
            </w:pPr>
            <w:proofErr w:type="gramStart"/>
            <w:r w:rsidRPr="00AD62E8">
              <w:rPr>
                <w:b/>
                <w:color w:val="auto"/>
                <w:sz w:val="20"/>
                <w:szCs w:val="20"/>
              </w:rPr>
              <w:t>no</w:t>
            </w:r>
            <w:proofErr w:type="gramEnd"/>
          </w:p>
        </w:tc>
        <w:tc>
          <w:tcPr>
            <w:tcW w:w="725" w:type="dxa"/>
            <w:tcBorders>
              <w:top w:val="single" w:sz="4" w:space="0" w:color="auto"/>
              <w:left w:val="nil"/>
              <w:bottom w:val="single" w:sz="4" w:space="0" w:color="000000"/>
              <w:right w:val="nil"/>
            </w:tcBorders>
            <w:vAlign w:val="center"/>
          </w:tcPr>
          <w:p w:rsidR="005B77DC" w:rsidRPr="00AD62E8" w:rsidRDefault="004F6C22" w:rsidP="00AD62E8">
            <w:pPr>
              <w:pStyle w:val="Normal1"/>
              <w:ind w:firstLine="0"/>
              <w:rPr>
                <w:b/>
                <w:color w:val="auto"/>
                <w:sz w:val="20"/>
                <w:szCs w:val="20"/>
              </w:rPr>
            </w:pPr>
            <w:r w:rsidRPr="00AD62E8">
              <w:rPr>
                <w:b/>
                <w:color w:val="auto"/>
                <w:sz w:val="20"/>
                <w:szCs w:val="20"/>
              </w:rPr>
              <w:t>Yaş</w:t>
            </w:r>
          </w:p>
          <w:p w:rsidR="005B77DC" w:rsidRPr="00AD62E8" w:rsidRDefault="004F6C22" w:rsidP="00AD62E8">
            <w:pPr>
              <w:pStyle w:val="Normal1"/>
              <w:ind w:firstLine="0"/>
              <w:rPr>
                <w:b/>
                <w:color w:val="auto"/>
                <w:sz w:val="20"/>
                <w:szCs w:val="20"/>
              </w:rPr>
            </w:pPr>
            <w:r w:rsidRPr="00AD62E8">
              <w:rPr>
                <w:b/>
                <w:color w:val="auto"/>
                <w:sz w:val="20"/>
                <w:szCs w:val="20"/>
              </w:rPr>
              <w:t>(yıl)</w:t>
            </w:r>
          </w:p>
        </w:tc>
        <w:tc>
          <w:tcPr>
            <w:tcW w:w="757" w:type="dxa"/>
            <w:tcBorders>
              <w:top w:val="single" w:sz="4" w:space="0" w:color="auto"/>
              <w:left w:val="nil"/>
              <w:bottom w:val="single" w:sz="4" w:space="0" w:color="000000"/>
              <w:right w:val="nil"/>
            </w:tcBorders>
            <w:vAlign w:val="center"/>
          </w:tcPr>
          <w:p w:rsidR="005B77DC" w:rsidRPr="00AD62E8" w:rsidRDefault="004F6C22" w:rsidP="00AD62E8">
            <w:pPr>
              <w:pStyle w:val="Normal1"/>
              <w:ind w:firstLine="0"/>
              <w:rPr>
                <w:b/>
                <w:color w:val="auto"/>
                <w:sz w:val="20"/>
                <w:szCs w:val="20"/>
              </w:rPr>
            </w:pPr>
            <w:r w:rsidRPr="00AD62E8">
              <w:rPr>
                <w:b/>
                <w:color w:val="auto"/>
                <w:sz w:val="20"/>
                <w:szCs w:val="20"/>
              </w:rPr>
              <w:t>Cins</w:t>
            </w:r>
          </w:p>
        </w:tc>
        <w:tc>
          <w:tcPr>
            <w:tcW w:w="956" w:type="dxa"/>
            <w:tcBorders>
              <w:top w:val="single" w:sz="4" w:space="0" w:color="auto"/>
              <w:left w:val="nil"/>
              <w:bottom w:val="single" w:sz="4" w:space="0" w:color="000000"/>
              <w:right w:val="nil"/>
            </w:tcBorders>
            <w:vAlign w:val="center"/>
          </w:tcPr>
          <w:p w:rsidR="005B77DC" w:rsidRPr="00AD62E8" w:rsidRDefault="004F6C22" w:rsidP="00AD62E8">
            <w:pPr>
              <w:pStyle w:val="Normal1"/>
              <w:ind w:firstLine="0"/>
              <w:rPr>
                <w:b/>
                <w:color w:val="auto"/>
                <w:sz w:val="20"/>
                <w:szCs w:val="20"/>
              </w:rPr>
            </w:pPr>
            <w:r w:rsidRPr="00AD62E8">
              <w:rPr>
                <w:b/>
                <w:color w:val="auto"/>
                <w:sz w:val="20"/>
                <w:szCs w:val="20"/>
              </w:rPr>
              <w:t>Hb</w:t>
            </w:r>
          </w:p>
          <w:p w:rsidR="005B77DC" w:rsidRPr="00AD62E8" w:rsidRDefault="004F6C22" w:rsidP="00AD62E8">
            <w:pPr>
              <w:pStyle w:val="Normal1"/>
              <w:ind w:firstLine="0"/>
              <w:rPr>
                <w:b/>
                <w:color w:val="auto"/>
                <w:sz w:val="20"/>
                <w:szCs w:val="20"/>
              </w:rPr>
            </w:pPr>
            <w:r w:rsidRPr="00AD62E8">
              <w:rPr>
                <w:b/>
                <w:color w:val="auto"/>
                <w:sz w:val="20"/>
                <w:szCs w:val="20"/>
              </w:rPr>
              <w:t>(g/dL)</w:t>
            </w:r>
          </w:p>
        </w:tc>
        <w:tc>
          <w:tcPr>
            <w:tcW w:w="1197" w:type="dxa"/>
            <w:tcBorders>
              <w:top w:val="single" w:sz="4" w:space="0" w:color="auto"/>
              <w:left w:val="nil"/>
              <w:bottom w:val="single" w:sz="4" w:space="0" w:color="000000"/>
              <w:right w:val="nil"/>
            </w:tcBorders>
            <w:vAlign w:val="center"/>
          </w:tcPr>
          <w:p w:rsidR="005B77DC" w:rsidRPr="00AD62E8" w:rsidRDefault="004F6C22" w:rsidP="00AD62E8">
            <w:pPr>
              <w:pStyle w:val="Normal1"/>
              <w:ind w:firstLine="0"/>
              <w:rPr>
                <w:b/>
                <w:color w:val="auto"/>
                <w:sz w:val="20"/>
                <w:szCs w:val="20"/>
              </w:rPr>
            </w:pPr>
            <w:r w:rsidRPr="00AD62E8">
              <w:rPr>
                <w:b/>
                <w:color w:val="auto"/>
                <w:sz w:val="20"/>
                <w:szCs w:val="20"/>
              </w:rPr>
              <w:t>WBC</w:t>
            </w:r>
          </w:p>
          <w:p w:rsidR="005B77DC" w:rsidRPr="00AD62E8" w:rsidRDefault="004F6C22" w:rsidP="00AD62E8">
            <w:pPr>
              <w:pStyle w:val="Normal1"/>
              <w:ind w:firstLine="0"/>
              <w:rPr>
                <w:b/>
                <w:color w:val="auto"/>
                <w:sz w:val="20"/>
                <w:szCs w:val="20"/>
              </w:rPr>
            </w:pPr>
            <w:r w:rsidRPr="00AD62E8">
              <w:rPr>
                <w:b/>
                <w:color w:val="auto"/>
                <w:sz w:val="20"/>
                <w:szCs w:val="20"/>
              </w:rPr>
              <w:t>(10³/µL)</w:t>
            </w:r>
          </w:p>
        </w:tc>
        <w:tc>
          <w:tcPr>
            <w:tcW w:w="1197" w:type="dxa"/>
            <w:tcBorders>
              <w:top w:val="single" w:sz="4" w:space="0" w:color="auto"/>
              <w:left w:val="nil"/>
              <w:bottom w:val="single" w:sz="4" w:space="0" w:color="000000"/>
              <w:right w:val="nil"/>
            </w:tcBorders>
            <w:vAlign w:val="center"/>
          </w:tcPr>
          <w:p w:rsidR="005B77DC" w:rsidRPr="00AD62E8" w:rsidRDefault="004F6C22" w:rsidP="00AD62E8">
            <w:pPr>
              <w:pStyle w:val="Normal1"/>
              <w:ind w:firstLine="0"/>
              <w:rPr>
                <w:b/>
                <w:color w:val="auto"/>
                <w:sz w:val="20"/>
                <w:szCs w:val="20"/>
              </w:rPr>
            </w:pPr>
            <w:r w:rsidRPr="00AD62E8">
              <w:rPr>
                <w:b/>
                <w:color w:val="auto"/>
                <w:sz w:val="20"/>
                <w:szCs w:val="20"/>
              </w:rPr>
              <w:t>PLT</w:t>
            </w:r>
          </w:p>
          <w:p w:rsidR="005B77DC" w:rsidRPr="00AD62E8" w:rsidRDefault="004F6C22" w:rsidP="00AD62E8">
            <w:pPr>
              <w:pStyle w:val="Normal1"/>
              <w:ind w:firstLine="0"/>
              <w:rPr>
                <w:b/>
                <w:color w:val="auto"/>
                <w:sz w:val="20"/>
                <w:szCs w:val="20"/>
              </w:rPr>
            </w:pPr>
            <w:r w:rsidRPr="00AD62E8">
              <w:rPr>
                <w:b/>
                <w:color w:val="auto"/>
                <w:sz w:val="20"/>
                <w:szCs w:val="20"/>
              </w:rPr>
              <w:t>(10³/µL)</w:t>
            </w:r>
          </w:p>
        </w:tc>
        <w:tc>
          <w:tcPr>
            <w:tcW w:w="1170" w:type="dxa"/>
            <w:tcBorders>
              <w:top w:val="single" w:sz="4" w:space="0" w:color="auto"/>
              <w:left w:val="nil"/>
              <w:bottom w:val="single" w:sz="4" w:space="0" w:color="000000"/>
              <w:right w:val="nil"/>
            </w:tcBorders>
            <w:vAlign w:val="center"/>
          </w:tcPr>
          <w:p w:rsidR="005B77DC" w:rsidRPr="00AD62E8" w:rsidRDefault="004F6C22" w:rsidP="00AD62E8">
            <w:pPr>
              <w:pStyle w:val="Normal1"/>
              <w:ind w:firstLine="0"/>
              <w:rPr>
                <w:b/>
                <w:color w:val="auto"/>
                <w:sz w:val="20"/>
                <w:szCs w:val="20"/>
              </w:rPr>
            </w:pPr>
            <w:r w:rsidRPr="00AD62E8">
              <w:rPr>
                <w:b/>
                <w:color w:val="auto"/>
                <w:sz w:val="20"/>
                <w:szCs w:val="20"/>
              </w:rPr>
              <w:t>Ferritin</w:t>
            </w:r>
          </w:p>
          <w:p w:rsidR="005B77DC" w:rsidRPr="00AD62E8" w:rsidRDefault="004F6C22" w:rsidP="00AD62E8">
            <w:pPr>
              <w:pStyle w:val="Normal1"/>
              <w:ind w:firstLine="0"/>
              <w:rPr>
                <w:b/>
                <w:color w:val="auto"/>
                <w:sz w:val="20"/>
                <w:szCs w:val="20"/>
              </w:rPr>
            </w:pPr>
            <w:r w:rsidRPr="00AD62E8">
              <w:rPr>
                <w:b/>
                <w:color w:val="auto"/>
                <w:sz w:val="20"/>
                <w:szCs w:val="20"/>
              </w:rPr>
              <w:t>(ng/mL)</w:t>
            </w:r>
          </w:p>
        </w:tc>
        <w:tc>
          <w:tcPr>
            <w:tcW w:w="1115" w:type="dxa"/>
            <w:tcBorders>
              <w:top w:val="single" w:sz="4" w:space="0" w:color="auto"/>
              <w:left w:val="nil"/>
              <w:bottom w:val="single" w:sz="4" w:space="0" w:color="000000"/>
              <w:right w:val="nil"/>
            </w:tcBorders>
            <w:vAlign w:val="center"/>
          </w:tcPr>
          <w:p w:rsidR="005B77DC" w:rsidRPr="00AD62E8" w:rsidRDefault="004F6C22" w:rsidP="00AD62E8">
            <w:pPr>
              <w:pStyle w:val="Normal1"/>
              <w:ind w:firstLine="0"/>
              <w:rPr>
                <w:b/>
                <w:color w:val="auto"/>
                <w:sz w:val="20"/>
                <w:szCs w:val="20"/>
              </w:rPr>
            </w:pPr>
            <w:r w:rsidRPr="00AD62E8">
              <w:rPr>
                <w:b/>
                <w:color w:val="auto"/>
                <w:sz w:val="20"/>
                <w:szCs w:val="20"/>
              </w:rPr>
              <w:t>SD</w:t>
            </w:r>
          </w:p>
          <w:p w:rsidR="005B77DC" w:rsidRPr="00AD62E8" w:rsidRDefault="004F6C22" w:rsidP="00AD62E8">
            <w:pPr>
              <w:pStyle w:val="Normal1"/>
              <w:ind w:firstLine="0"/>
              <w:rPr>
                <w:b/>
                <w:color w:val="auto"/>
                <w:sz w:val="20"/>
                <w:szCs w:val="20"/>
              </w:rPr>
            </w:pPr>
            <w:r w:rsidRPr="00AD62E8">
              <w:rPr>
                <w:b/>
                <w:color w:val="auto"/>
                <w:sz w:val="20"/>
                <w:szCs w:val="20"/>
              </w:rPr>
              <w:t>(µg/dL)</w:t>
            </w:r>
          </w:p>
        </w:tc>
        <w:tc>
          <w:tcPr>
            <w:tcW w:w="1115" w:type="dxa"/>
            <w:tcBorders>
              <w:top w:val="single" w:sz="4" w:space="0" w:color="auto"/>
              <w:left w:val="nil"/>
              <w:bottom w:val="single" w:sz="4" w:space="0" w:color="000000"/>
              <w:right w:val="nil"/>
            </w:tcBorders>
            <w:vAlign w:val="center"/>
          </w:tcPr>
          <w:p w:rsidR="005B77DC" w:rsidRPr="00AD62E8" w:rsidRDefault="004F6C22" w:rsidP="00AD62E8">
            <w:pPr>
              <w:pStyle w:val="Normal1"/>
              <w:ind w:firstLine="0"/>
              <w:rPr>
                <w:b/>
                <w:color w:val="auto"/>
                <w:sz w:val="20"/>
                <w:szCs w:val="20"/>
              </w:rPr>
            </w:pPr>
            <w:r w:rsidRPr="00AD62E8">
              <w:rPr>
                <w:b/>
                <w:color w:val="auto"/>
                <w:sz w:val="20"/>
                <w:szCs w:val="20"/>
              </w:rPr>
              <w:t>SDBK</w:t>
            </w:r>
          </w:p>
          <w:p w:rsidR="005B77DC" w:rsidRPr="00AD62E8" w:rsidRDefault="004F6C22" w:rsidP="00AD62E8">
            <w:pPr>
              <w:pStyle w:val="Normal1"/>
              <w:ind w:firstLine="0"/>
              <w:rPr>
                <w:b/>
                <w:color w:val="auto"/>
                <w:sz w:val="20"/>
                <w:szCs w:val="20"/>
              </w:rPr>
            </w:pPr>
            <w:r w:rsidRPr="00AD62E8">
              <w:rPr>
                <w:b/>
                <w:color w:val="auto"/>
                <w:sz w:val="20"/>
                <w:szCs w:val="20"/>
              </w:rPr>
              <w:t>(µg/dL)</w:t>
            </w:r>
          </w:p>
        </w:tc>
        <w:tc>
          <w:tcPr>
            <w:tcW w:w="1031" w:type="dxa"/>
            <w:tcBorders>
              <w:top w:val="single" w:sz="4" w:space="0" w:color="auto"/>
              <w:left w:val="nil"/>
              <w:bottom w:val="single" w:sz="4" w:space="0" w:color="000000"/>
              <w:right w:val="nil"/>
            </w:tcBorders>
            <w:vAlign w:val="center"/>
          </w:tcPr>
          <w:p w:rsidR="005B77DC" w:rsidRPr="00AD62E8" w:rsidRDefault="004F6C22" w:rsidP="00AD62E8">
            <w:pPr>
              <w:pStyle w:val="Normal1"/>
              <w:ind w:firstLine="0"/>
              <w:rPr>
                <w:b/>
                <w:color w:val="auto"/>
                <w:sz w:val="20"/>
                <w:szCs w:val="20"/>
              </w:rPr>
            </w:pPr>
            <w:r w:rsidRPr="00AD62E8">
              <w:rPr>
                <w:b/>
                <w:color w:val="auto"/>
                <w:sz w:val="20"/>
                <w:szCs w:val="20"/>
              </w:rPr>
              <w:t>CRP</w:t>
            </w:r>
          </w:p>
          <w:p w:rsidR="005B77DC" w:rsidRPr="00AD62E8" w:rsidRDefault="004F6C22" w:rsidP="00AD62E8">
            <w:pPr>
              <w:pStyle w:val="Normal1"/>
              <w:ind w:firstLine="0"/>
              <w:rPr>
                <w:b/>
                <w:color w:val="auto"/>
                <w:sz w:val="20"/>
                <w:szCs w:val="20"/>
              </w:rPr>
            </w:pPr>
            <w:r w:rsidRPr="00AD62E8">
              <w:rPr>
                <w:b/>
                <w:color w:val="auto"/>
                <w:sz w:val="20"/>
                <w:szCs w:val="20"/>
              </w:rPr>
              <w:t>(mg/L)</w:t>
            </w:r>
          </w:p>
        </w:tc>
        <w:tc>
          <w:tcPr>
            <w:tcW w:w="1400" w:type="dxa"/>
            <w:tcBorders>
              <w:top w:val="single" w:sz="4" w:space="0" w:color="auto"/>
              <w:left w:val="nil"/>
              <w:bottom w:val="single" w:sz="4" w:space="0" w:color="000000"/>
              <w:right w:val="nil"/>
            </w:tcBorders>
            <w:vAlign w:val="center"/>
          </w:tcPr>
          <w:p w:rsidR="005B77DC" w:rsidRPr="00AD62E8" w:rsidRDefault="004F6C22" w:rsidP="00AD62E8">
            <w:pPr>
              <w:pStyle w:val="Normal1"/>
              <w:ind w:firstLine="0"/>
              <w:rPr>
                <w:b/>
                <w:color w:val="auto"/>
                <w:sz w:val="20"/>
                <w:szCs w:val="20"/>
              </w:rPr>
            </w:pPr>
            <w:r w:rsidRPr="00AD62E8">
              <w:rPr>
                <w:b/>
                <w:color w:val="auto"/>
                <w:sz w:val="20"/>
                <w:szCs w:val="20"/>
              </w:rPr>
              <w:t>Fibrinojen</w:t>
            </w:r>
          </w:p>
          <w:p w:rsidR="005B77DC" w:rsidRPr="00AD62E8" w:rsidRDefault="004F6C22" w:rsidP="00AD62E8">
            <w:pPr>
              <w:pStyle w:val="Normal1"/>
              <w:ind w:firstLine="0"/>
              <w:rPr>
                <w:b/>
                <w:color w:val="auto"/>
                <w:sz w:val="20"/>
                <w:szCs w:val="20"/>
              </w:rPr>
            </w:pPr>
            <w:r w:rsidRPr="00AD62E8">
              <w:rPr>
                <w:b/>
                <w:color w:val="auto"/>
                <w:sz w:val="20"/>
                <w:szCs w:val="20"/>
              </w:rPr>
              <w:t>(mg/dL)</w:t>
            </w:r>
          </w:p>
        </w:tc>
        <w:tc>
          <w:tcPr>
            <w:tcW w:w="1078" w:type="dxa"/>
            <w:tcBorders>
              <w:top w:val="single" w:sz="4" w:space="0" w:color="auto"/>
              <w:left w:val="nil"/>
              <w:bottom w:val="single" w:sz="4" w:space="0" w:color="000000"/>
              <w:right w:val="nil"/>
            </w:tcBorders>
            <w:shd w:val="clear" w:color="auto" w:fill="auto"/>
            <w:vAlign w:val="center"/>
          </w:tcPr>
          <w:p w:rsidR="005B77DC" w:rsidRPr="00AD62E8" w:rsidRDefault="004F6C22" w:rsidP="00AD62E8">
            <w:pPr>
              <w:pStyle w:val="Normal1"/>
              <w:ind w:firstLine="0"/>
              <w:rPr>
                <w:b/>
                <w:color w:val="auto"/>
                <w:sz w:val="20"/>
                <w:szCs w:val="20"/>
              </w:rPr>
            </w:pPr>
            <w:r w:rsidRPr="00AD62E8">
              <w:rPr>
                <w:b/>
                <w:color w:val="auto"/>
                <w:sz w:val="20"/>
                <w:szCs w:val="20"/>
              </w:rPr>
              <w:t>Sedim</w:t>
            </w:r>
          </w:p>
          <w:p w:rsidR="005B77DC" w:rsidRPr="00AD62E8" w:rsidRDefault="004F6C22" w:rsidP="00AD62E8">
            <w:pPr>
              <w:pStyle w:val="Normal1"/>
              <w:ind w:firstLine="0"/>
              <w:rPr>
                <w:b/>
                <w:color w:val="auto"/>
                <w:sz w:val="20"/>
                <w:szCs w:val="20"/>
              </w:rPr>
            </w:pPr>
            <w:r w:rsidRPr="00AD62E8">
              <w:rPr>
                <w:b/>
                <w:color w:val="auto"/>
                <w:sz w:val="20"/>
                <w:szCs w:val="20"/>
              </w:rPr>
              <w:t>(mm/h)</w:t>
            </w:r>
          </w:p>
        </w:tc>
      </w:tr>
      <w:tr w:rsidR="00AD62E8" w:rsidRPr="00AD62E8" w:rsidTr="00AD62E8">
        <w:trPr>
          <w:trHeight w:val="247"/>
        </w:trPr>
        <w:tc>
          <w:tcPr>
            <w:tcW w:w="880" w:type="dxa"/>
            <w:tcBorders>
              <w:left w:val="nil"/>
              <w:bottom w:val="nil"/>
              <w:right w:val="nil"/>
            </w:tcBorders>
            <w:vAlign w:val="center"/>
          </w:tcPr>
          <w:p w:rsidR="005B77DC" w:rsidRPr="00AD62E8" w:rsidRDefault="004F6C22" w:rsidP="00AD62E8">
            <w:pPr>
              <w:pStyle w:val="Normal1"/>
              <w:ind w:firstLine="0"/>
              <w:rPr>
                <w:color w:val="auto"/>
                <w:sz w:val="20"/>
                <w:szCs w:val="20"/>
              </w:rPr>
            </w:pPr>
            <w:r w:rsidRPr="00AD62E8">
              <w:rPr>
                <w:color w:val="auto"/>
                <w:sz w:val="20"/>
                <w:szCs w:val="20"/>
              </w:rPr>
              <w:t>1</w:t>
            </w:r>
          </w:p>
        </w:tc>
        <w:tc>
          <w:tcPr>
            <w:tcW w:w="725" w:type="dxa"/>
            <w:tcBorders>
              <w:left w:val="nil"/>
              <w:bottom w:val="nil"/>
              <w:right w:val="nil"/>
            </w:tcBorders>
            <w:vAlign w:val="center"/>
          </w:tcPr>
          <w:p w:rsidR="005B77DC" w:rsidRPr="00AD62E8" w:rsidRDefault="004F6C22" w:rsidP="00AD62E8">
            <w:pPr>
              <w:pStyle w:val="Normal1"/>
              <w:ind w:firstLine="0"/>
              <w:rPr>
                <w:color w:val="auto"/>
                <w:sz w:val="20"/>
                <w:szCs w:val="20"/>
              </w:rPr>
            </w:pPr>
            <w:r w:rsidRPr="00AD62E8">
              <w:rPr>
                <w:color w:val="auto"/>
                <w:sz w:val="20"/>
                <w:szCs w:val="20"/>
              </w:rPr>
              <w:t>7</w:t>
            </w:r>
          </w:p>
        </w:tc>
        <w:tc>
          <w:tcPr>
            <w:tcW w:w="757" w:type="dxa"/>
            <w:tcBorders>
              <w:left w:val="nil"/>
              <w:bottom w:val="nil"/>
              <w:right w:val="nil"/>
            </w:tcBorders>
            <w:vAlign w:val="center"/>
          </w:tcPr>
          <w:p w:rsidR="005B77DC" w:rsidRPr="00AD62E8" w:rsidRDefault="004F6C22" w:rsidP="00AD62E8">
            <w:pPr>
              <w:pStyle w:val="Normal1"/>
              <w:ind w:firstLine="0"/>
              <w:rPr>
                <w:color w:val="auto"/>
                <w:sz w:val="20"/>
                <w:szCs w:val="20"/>
              </w:rPr>
            </w:pPr>
            <w:r w:rsidRPr="00AD62E8">
              <w:rPr>
                <w:color w:val="auto"/>
                <w:sz w:val="20"/>
                <w:szCs w:val="20"/>
              </w:rPr>
              <w:t>E</w:t>
            </w:r>
          </w:p>
        </w:tc>
        <w:tc>
          <w:tcPr>
            <w:tcW w:w="956" w:type="dxa"/>
            <w:tcBorders>
              <w:left w:val="nil"/>
              <w:bottom w:val="nil"/>
              <w:right w:val="nil"/>
            </w:tcBorders>
            <w:vAlign w:val="center"/>
          </w:tcPr>
          <w:p w:rsidR="005B77DC" w:rsidRPr="00AD62E8" w:rsidRDefault="004F6C22" w:rsidP="00AD62E8">
            <w:pPr>
              <w:pStyle w:val="Normal1"/>
              <w:ind w:firstLine="0"/>
              <w:rPr>
                <w:color w:val="auto"/>
                <w:sz w:val="20"/>
                <w:szCs w:val="20"/>
              </w:rPr>
            </w:pPr>
            <w:r w:rsidRPr="00AD62E8">
              <w:rPr>
                <w:color w:val="auto"/>
                <w:sz w:val="20"/>
                <w:szCs w:val="20"/>
              </w:rPr>
              <w:t>11,7</w:t>
            </w:r>
          </w:p>
        </w:tc>
        <w:tc>
          <w:tcPr>
            <w:tcW w:w="1197" w:type="dxa"/>
            <w:tcBorders>
              <w:left w:val="nil"/>
              <w:bottom w:val="nil"/>
              <w:right w:val="nil"/>
            </w:tcBorders>
            <w:vAlign w:val="center"/>
          </w:tcPr>
          <w:p w:rsidR="005B77DC" w:rsidRPr="00AD62E8" w:rsidRDefault="004F6C22" w:rsidP="00AD62E8">
            <w:pPr>
              <w:pStyle w:val="Normal1"/>
              <w:ind w:firstLine="0"/>
              <w:rPr>
                <w:color w:val="auto"/>
                <w:sz w:val="20"/>
                <w:szCs w:val="20"/>
              </w:rPr>
            </w:pPr>
            <w:r w:rsidRPr="00AD62E8">
              <w:rPr>
                <w:color w:val="auto"/>
                <w:sz w:val="20"/>
                <w:szCs w:val="20"/>
              </w:rPr>
              <w:t>6,18</w:t>
            </w:r>
          </w:p>
        </w:tc>
        <w:tc>
          <w:tcPr>
            <w:tcW w:w="1197" w:type="dxa"/>
            <w:tcBorders>
              <w:left w:val="nil"/>
              <w:bottom w:val="nil"/>
              <w:right w:val="nil"/>
            </w:tcBorders>
            <w:vAlign w:val="center"/>
          </w:tcPr>
          <w:p w:rsidR="005B77DC" w:rsidRPr="00AD62E8" w:rsidRDefault="004F6C22" w:rsidP="00AD62E8">
            <w:pPr>
              <w:pStyle w:val="Normal1"/>
              <w:ind w:firstLine="0"/>
              <w:rPr>
                <w:color w:val="auto"/>
                <w:sz w:val="20"/>
                <w:szCs w:val="20"/>
              </w:rPr>
            </w:pPr>
            <w:r w:rsidRPr="00AD62E8">
              <w:rPr>
                <w:color w:val="auto"/>
                <w:sz w:val="20"/>
                <w:szCs w:val="20"/>
              </w:rPr>
              <w:t>620</w:t>
            </w:r>
          </w:p>
        </w:tc>
        <w:tc>
          <w:tcPr>
            <w:tcW w:w="1170" w:type="dxa"/>
            <w:tcBorders>
              <w:left w:val="nil"/>
              <w:bottom w:val="nil"/>
              <w:right w:val="nil"/>
            </w:tcBorders>
            <w:vAlign w:val="center"/>
          </w:tcPr>
          <w:p w:rsidR="005B77DC" w:rsidRPr="00AD62E8" w:rsidRDefault="004F6C22" w:rsidP="00AD62E8">
            <w:pPr>
              <w:pStyle w:val="Normal1"/>
              <w:ind w:firstLine="0"/>
              <w:rPr>
                <w:color w:val="auto"/>
                <w:sz w:val="20"/>
                <w:szCs w:val="20"/>
              </w:rPr>
            </w:pPr>
            <w:r w:rsidRPr="00AD62E8">
              <w:rPr>
                <w:color w:val="auto"/>
                <w:sz w:val="20"/>
                <w:szCs w:val="20"/>
              </w:rPr>
              <w:t>33,92</w:t>
            </w:r>
          </w:p>
        </w:tc>
        <w:tc>
          <w:tcPr>
            <w:tcW w:w="1115" w:type="dxa"/>
            <w:tcBorders>
              <w:left w:val="nil"/>
              <w:bottom w:val="nil"/>
              <w:right w:val="nil"/>
            </w:tcBorders>
            <w:vAlign w:val="center"/>
          </w:tcPr>
          <w:p w:rsidR="005B77DC" w:rsidRPr="00AD62E8" w:rsidRDefault="004F6C22" w:rsidP="00AD62E8">
            <w:pPr>
              <w:pStyle w:val="Normal1"/>
              <w:ind w:firstLine="0"/>
              <w:rPr>
                <w:color w:val="auto"/>
                <w:sz w:val="20"/>
                <w:szCs w:val="20"/>
              </w:rPr>
            </w:pPr>
            <w:r w:rsidRPr="00AD62E8">
              <w:rPr>
                <w:color w:val="auto"/>
                <w:sz w:val="20"/>
                <w:szCs w:val="20"/>
              </w:rPr>
              <w:t>43</w:t>
            </w:r>
          </w:p>
        </w:tc>
        <w:tc>
          <w:tcPr>
            <w:tcW w:w="1115" w:type="dxa"/>
            <w:tcBorders>
              <w:left w:val="nil"/>
              <w:bottom w:val="nil"/>
              <w:right w:val="nil"/>
            </w:tcBorders>
            <w:vAlign w:val="center"/>
          </w:tcPr>
          <w:p w:rsidR="005B77DC" w:rsidRPr="00AD62E8" w:rsidRDefault="004F6C22" w:rsidP="00AD62E8">
            <w:pPr>
              <w:pStyle w:val="Normal1"/>
              <w:ind w:firstLine="0"/>
              <w:rPr>
                <w:color w:val="auto"/>
                <w:sz w:val="20"/>
                <w:szCs w:val="20"/>
              </w:rPr>
            </w:pPr>
            <w:r w:rsidRPr="00AD62E8">
              <w:rPr>
                <w:color w:val="auto"/>
                <w:sz w:val="20"/>
                <w:szCs w:val="20"/>
              </w:rPr>
              <w:t>261</w:t>
            </w:r>
          </w:p>
        </w:tc>
        <w:tc>
          <w:tcPr>
            <w:tcW w:w="1031" w:type="dxa"/>
            <w:tcBorders>
              <w:left w:val="nil"/>
              <w:bottom w:val="nil"/>
              <w:right w:val="nil"/>
            </w:tcBorders>
            <w:vAlign w:val="center"/>
          </w:tcPr>
          <w:p w:rsidR="005B77DC" w:rsidRPr="00AD62E8" w:rsidRDefault="004F6C22" w:rsidP="00AD62E8">
            <w:pPr>
              <w:pStyle w:val="Normal1"/>
              <w:ind w:firstLine="0"/>
              <w:rPr>
                <w:color w:val="auto"/>
                <w:sz w:val="20"/>
                <w:szCs w:val="20"/>
              </w:rPr>
            </w:pPr>
            <w:r w:rsidRPr="00AD62E8">
              <w:rPr>
                <w:color w:val="auto"/>
                <w:sz w:val="20"/>
                <w:szCs w:val="20"/>
              </w:rPr>
              <w:t>&lt;2,00</w:t>
            </w:r>
          </w:p>
        </w:tc>
        <w:tc>
          <w:tcPr>
            <w:tcW w:w="1400" w:type="dxa"/>
            <w:tcBorders>
              <w:left w:val="nil"/>
              <w:bottom w:val="nil"/>
              <w:right w:val="nil"/>
            </w:tcBorders>
            <w:vAlign w:val="center"/>
          </w:tcPr>
          <w:p w:rsidR="005B77DC" w:rsidRPr="00AD62E8" w:rsidRDefault="004F6C22" w:rsidP="00AD62E8">
            <w:pPr>
              <w:pStyle w:val="Normal1"/>
              <w:ind w:firstLine="0"/>
              <w:rPr>
                <w:color w:val="auto"/>
                <w:sz w:val="20"/>
                <w:szCs w:val="20"/>
              </w:rPr>
            </w:pPr>
            <w:r w:rsidRPr="00AD62E8">
              <w:rPr>
                <w:color w:val="auto"/>
                <w:sz w:val="20"/>
                <w:szCs w:val="20"/>
              </w:rPr>
              <w:t>349,0</w:t>
            </w:r>
          </w:p>
        </w:tc>
        <w:tc>
          <w:tcPr>
            <w:tcW w:w="1078" w:type="dxa"/>
            <w:tcBorders>
              <w:left w:val="nil"/>
              <w:bottom w:val="nil"/>
              <w:right w:val="nil"/>
            </w:tcBorders>
            <w:shd w:val="clear" w:color="auto" w:fill="auto"/>
            <w:vAlign w:val="center"/>
          </w:tcPr>
          <w:p w:rsidR="005B77DC" w:rsidRPr="00AD62E8" w:rsidRDefault="004F6C22" w:rsidP="00AD62E8">
            <w:pPr>
              <w:pStyle w:val="Normal1"/>
              <w:ind w:firstLine="0"/>
              <w:rPr>
                <w:color w:val="auto"/>
                <w:sz w:val="20"/>
                <w:szCs w:val="20"/>
              </w:rPr>
            </w:pPr>
            <w:r w:rsidRPr="00AD62E8">
              <w:rPr>
                <w:color w:val="auto"/>
                <w:sz w:val="20"/>
                <w:szCs w:val="20"/>
              </w:rPr>
              <w:t>11</w:t>
            </w:r>
          </w:p>
        </w:tc>
      </w:tr>
      <w:tr w:rsidR="00AD62E8" w:rsidRPr="00AD62E8" w:rsidTr="00AD62E8">
        <w:trPr>
          <w:trHeight w:val="247"/>
        </w:trPr>
        <w:tc>
          <w:tcPr>
            <w:tcW w:w="880" w:type="dxa"/>
            <w:tcBorders>
              <w:top w:val="nil"/>
              <w:left w:val="nil"/>
              <w:bottom w:val="nil"/>
              <w:right w:val="nil"/>
            </w:tcBorders>
            <w:vAlign w:val="center"/>
          </w:tcPr>
          <w:p w:rsidR="005B77DC" w:rsidRPr="00AD62E8" w:rsidRDefault="004F6C22" w:rsidP="00AD62E8">
            <w:pPr>
              <w:pStyle w:val="Normal1"/>
              <w:ind w:firstLine="0"/>
              <w:rPr>
                <w:color w:val="auto"/>
                <w:sz w:val="20"/>
                <w:szCs w:val="20"/>
              </w:rPr>
            </w:pPr>
            <w:r w:rsidRPr="00AD62E8">
              <w:rPr>
                <w:color w:val="auto"/>
                <w:sz w:val="20"/>
                <w:szCs w:val="20"/>
              </w:rPr>
              <w:t>2</w:t>
            </w:r>
          </w:p>
        </w:tc>
        <w:tc>
          <w:tcPr>
            <w:tcW w:w="725" w:type="dxa"/>
            <w:tcBorders>
              <w:top w:val="nil"/>
              <w:left w:val="nil"/>
              <w:bottom w:val="nil"/>
              <w:right w:val="nil"/>
            </w:tcBorders>
            <w:vAlign w:val="center"/>
          </w:tcPr>
          <w:p w:rsidR="005B77DC" w:rsidRPr="00AD62E8" w:rsidRDefault="004F6C22" w:rsidP="00AD62E8">
            <w:pPr>
              <w:pStyle w:val="Normal1"/>
              <w:ind w:firstLine="0"/>
              <w:rPr>
                <w:color w:val="auto"/>
                <w:sz w:val="20"/>
                <w:szCs w:val="20"/>
              </w:rPr>
            </w:pPr>
            <w:r w:rsidRPr="00AD62E8">
              <w:rPr>
                <w:color w:val="auto"/>
                <w:sz w:val="20"/>
                <w:szCs w:val="20"/>
              </w:rPr>
              <w:t>3</w:t>
            </w:r>
          </w:p>
        </w:tc>
        <w:tc>
          <w:tcPr>
            <w:tcW w:w="757" w:type="dxa"/>
            <w:tcBorders>
              <w:top w:val="nil"/>
              <w:left w:val="nil"/>
              <w:bottom w:val="nil"/>
              <w:right w:val="nil"/>
            </w:tcBorders>
            <w:vAlign w:val="center"/>
          </w:tcPr>
          <w:p w:rsidR="005B77DC" w:rsidRPr="00AD62E8" w:rsidRDefault="004F6C22" w:rsidP="00AD62E8">
            <w:pPr>
              <w:pStyle w:val="Normal1"/>
              <w:ind w:firstLine="0"/>
              <w:rPr>
                <w:color w:val="auto"/>
                <w:sz w:val="20"/>
                <w:szCs w:val="20"/>
              </w:rPr>
            </w:pPr>
            <w:r w:rsidRPr="00AD62E8">
              <w:rPr>
                <w:color w:val="auto"/>
                <w:sz w:val="20"/>
                <w:szCs w:val="20"/>
              </w:rPr>
              <w:t>K</w:t>
            </w:r>
          </w:p>
        </w:tc>
        <w:tc>
          <w:tcPr>
            <w:tcW w:w="956" w:type="dxa"/>
            <w:tcBorders>
              <w:top w:val="nil"/>
              <w:left w:val="nil"/>
              <w:bottom w:val="nil"/>
              <w:right w:val="nil"/>
            </w:tcBorders>
            <w:vAlign w:val="center"/>
          </w:tcPr>
          <w:p w:rsidR="005B77DC" w:rsidRPr="00AD62E8" w:rsidRDefault="004F6C22" w:rsidP="00AD62E8">
            <w:pPr>
              <w:pStyle w:val="Normal1"/>
              <w:ind w:firstLine="0"/>
              <w:rPr>
                <w:color w:val="auto"/>
                <w:sz w:val="20"/>
                <w:szCs w:val="20"/>
              </w:rPr>
            </w:pPr>
            <w:r w:rsidRPr="00AD62E8">
              <w:rPr>
                <w:color w:val="auto"/>
                <w:sz w:val="20"/>
                <w:szCs w:val="20"/>
              </w:rPr>
              <w:t>12,7</w:t>
            </w:r>
          </w:p>
        </w:tc>
        <w:tc>
          <w:tcPr>
            <w:tcW w:w="1197" w:type="dxa"/>
            <w:tcBorders>
              <w:top w:val="nil"/>
              <w:left w:val="nil"/>
              <w:bottom w:val="nil"/>
              <w:right w:val="nil"/>
            </w:tcBorders>
            <w:vAlign w:val="center"/>
          </w:tcPr>
          <w:p w:rsidR="005B77DC" w:rsidRPr="00AD62E8" w:rsidRDefault="004F6C22" w:rsidP="00AD62E8">
            <w:pPr>
              <w:pStyle w:val="Normal1"/>
              <w:ind w:firstLine="0"/>
              <w:rPr>
                <w:color w:val="auto"/>
                <w:sz w:val="20"/>
                <w:szCs w:val="20"/>
              </w:rPr>
            </w:pPr>
            <w:r w:rsidRPr="00AD62E8">
              <w:rPr>
                <w:color w:val="auto"/>
                <w:sz w:val="20"/>
                <w:szCs w:val="20"/>
              </w:rPr>
              <w:t>9,99</w:t>
            </w:r>
          </w:p>
        </w:tc>
        <w:tc>
          <w:tcPr>
            <w:tcW w:w="1197" w:type="dxa"/>
            <w:tcBorders>
              <w:top w:val="nil"/>
              <w:left w:val="nil"/>
              <w:bottom w:val="nil"/>
              <w:right w:val="nil"/>
            </w:tcBorders>
            <w:vAlign w:val="center"/>
          </w:tcPr>
          <w:p w:rsidR="005B77DC" w:rsidRPr="00AD62E8" w:rsidRDefault="004F6C22" w:rsidP="00AD62E8">
            <w:pPr>
              <w:pStyle w:val="Normal1"/>
              <w:ind w:firstLine="0"/>
              <w:rPr>
                <w:color w:val="auto"/>
                <w:sz w:val="20"/>
                <w:szCs w:val="20"/>
              </w:rPr>
            </w:pPr>
            <w:r w:rsidRPr="00AD62E8">
              <w:rPr>
                <w:color w:val="auto"/>
                <w:sz w:val="20"/>
                <w:szCs w:val="20"/>
              </w:rPr>
              <w:t>517</w:t>
            </w:r>
          </w:p>
        </w:tc>
        <w:tc>
          <w:tcPr>
            <w:tcW w:w="1170" w:type="dxa"/>
            <w:tcBorders>
              <w:top w:val="nil"/>
              <w:left w:val="nil"/>
              <w:bottom w:val="nil"/>
              <w:right w:val="nil"/>
            </w:tcBorders>
            <w:vAlign w:val="center"/>
          </w:tcPr>
          <w:p w:rsidR="005B77DC" w:rsidRPr="00AD62E8" w:rsidRDefault="004F6C22" w:rsidP="00AD62E8">
            <w:pPr>
              <w:pStyle w:val="Normal1"/>
              <w:ind w:firstLine="0"/>
              <w:rPr>
                <w:color w:val="auto"/>
                <w:sz w:val="20"/>
                <w:szCs w:val="20"/>
              </w:rPr>
            </w:pPr>
            <w:r w:rsidRPr="00AD62E8">
              <w:rPr>
                <w:color w:val="auto"/>
                <w:sz w:val="20"/>
                <w:szCs w:val="20"/>
              </w:rPr>
              <w:t>20,30</w:t>
            </w:r>
          </w:p>
        </w:tc>
        <w:tc>
          <w:tcPr>
            <w:tcW w:w="1115" w:type="dxa"/>
            <w:tcBorders>
              <w:top w:val="nil"/>
              <w:left w:val="nil"/>
              <w:bottom w:val="nil"/>
              <w:right w:val="nil"/>
            </w:tcBorders>
            <w:vAlign w:val="center"/>
          </w:tcPr>
          <w:p w:rsidR="005B77DC" w:rsidRPr="00AD62E8" w:rsidRDefault="004F6C22" w:rsidP="00AD62E8">
            <w:pPr>
              <w:pStyle w:val="Normal1"/>
              <w:ind w:firstLine="0"/>
              <w:rPr>
                <w:color w:val="auto"/>
                <w:sz w:val="20"/>
                <w:szCs w:val="20"/>
              </w:rPr>
            </w:pPr>
            <w:r w:rsidRPr="00AD62E8">
              <w:rPr>
                <w:color w:val="auto"/>
                <w:sz w:val="20"/>
                <w:szCs w:val="20"/>
              </w:rPr>
              <w:t>74</w:t>
            </w:r>
          </w:p>
        </w:tc>
        <w:tc>
          <w:tcPr>
            <w:tcW w:w="1115" w:type="dxa"/>
            <w:tcBorders>
              <w:top w:val="nil"/>
              <w:left w:val="nil"/>
              <w:bottom w:val="nil"/>
              <w:right w:val="nil"/>
            </w:tcBorders>
            <w:vAlign w:val="center"/>
          </w:tcPr>
          <w:p w:rsidR="005B77DC" w:rsidRPr="00AD62E8" w:rsidRDefault="004F6C22" w:rsidP="00AD62E8">
            <w:pPr>
              <w:pStyle w:val="Normal1"/>
              <w:ind w:firstLine="0"/>
              <w:rPr>
                <w:color w:val="auto"/>
                <w:sz w:val="20"/>
                <w:szCs w:val="20"/>
              </w:rPr>
            </w:pPr>
            <w:r w:rsidRPr="00AD62E8">
              <w:rPr>
                <w:color w:val="auto"/>
                <w:sz w:val="20"/>
                <w:szCs w:val="20"/>
              </w:rPr>
              <w:t>228</w:t>
            </w:r>
          </w:p>
        </w:tc>
        <w:tc>
          <w:tcPr>
            <w:tcW w:w="1031" w:type="dxa"/>
            <w:tcBorders>
              <w:top w:val="nil"/>
              <w:left w:val="nil"/>
              <w:bottom w:val="nil"/>
              <w:right w:val="nil"/>
            </w:tcBorders>
            <w:vAlign w:val="center"/>
          </w:tcPr>
          <w:p w:rsidR="005B77DC" w:rsidRPr="00AD62E8" w:rsidRDefault="004F6C22" w:rsidP="00AD62E8">
            <w:pPr>
              <w:pStyle w:val="Normal1"/>
              <w:ind w:firstLine="0"/>
              <w:rPr>
                <w:color w:val="auto"/>
                <w:sz w:val="20"/>
                <w:szCs w:val="20"/>
              </w:rPr>
            </w:pPr>
            <w:r w:rsidRPr="00AD62E8">
              <w:rPr>
                <w:color w:val="auto"/>
                <w:sz w:val="20"/>
                <w:szCs w:val="20"/>
              </w:rPr>
              <w:t>&lt;2,00</w:t>
            </w:r>
          </w:p>
        </w:tc>
        <w:tc>
          <w:tcPr>
            <w:tcW w:w="1400" w:type="dxa"/>
            <w:tcBorders>
              <w:top w:val="nil"/>
              <w:left w:val="nil"/>
              <w:bottom w:val="nil"/>
              <w:right w:val="nil"/>
            </w:tcBorders>
            <w:vAlign w:val="center"/>
          </w:tcPr>
          <w:p w:rsidR="005B77DC" w:rsidRPr="00AD62E8" w:rsidRDefault="004F6C22" w:rsidP="00AD62E8">
            <w:pPr>
              <w:pStyle w:val="Normal1"/>
              <w:ind w:firstLine="0"/>
              <w:rPr>
                <w:color w:val="auto"/>
                <w:sz w:val="20"/>
                <w:szCs w:val="20"/>
              </w:rPr>
            </w:pPr>
            <w:r w:rsidRPr="00AD62E8">
              <w:rPr>
                <w:color w:val="auto"/>
                <w:sz w:val="20"/>
                <w:szCs w:val="20"/>
              </w:rPr>
              <w:t>293,3</w:t>
            </w:r>
          </w:p>
        </w:tc>
        <w:tc>
          <w:tcPr>
            <w:tcW w:w="1078" w:type="dxa"/>
            <w:tcBorders>
              <w:top w:val="nil"/>
              <w:left w:val="nil"/>
              <w:bottom w:val="nil"/>
              <w:right w:val="nil"/>
            </w:tcBorders>
            <w:shd w:val="clear" w:color="auto" w:fill="auto"/>
            <w:vAlign w:val="center"/>
          </w:tcPr>
          <w:p w:rsidR="005B77DC" w:rsidRPr="00AD62E8" w:rsidRDefault="004F6C22" w:rsidP="00AD62E8">
            <w:pPr>
              <w:pStyle w:val="Normal1"/>
              <w:ind w:firstLine="0"/>
              <w:rPr>
                <w:color w:val="auto"/>
                <w:sz w:val="20"/>
                <w:szCs w:val="20"/>
              </w:rPr>
            </w:pPr>
            <w:r w:rsidRPr="00AD62E8">
              <w:rPr>
                <w:color w:val="auto"/>
                <w:sz w:val="20"/>
                <w:szCs w:val="20"/>
              </w:rPr>
              <w:t>20</w:t>
            </w:r>
          </w:p>
        </w:tc>
      </w:tr>
      <w:tr w:rsidR="00AD62E8" w:rsidRPr="00AD62E8" w:rsidTr="00AD62E8">
        <w:trPr>
          <w:trHeight w:val="247"/>
        </w:trPr>
        <w:tc>
          <w:tcPr>
            <w:tcW w:w="880" w:type="dxa"/>
            <w:tcBorders>
              <w:top w:val="nil"/>
              <w:left w:val="nil"/>
              <w:bottom w:val="nil"/>
              <w:right w:val="nil"/>
            </w:tcBorders>
            <w:vAlign w:val="center"/>
          </w:tcPr>
          <w:p w:rsidR="005B77DC" w:rsidRPr="00AD62E8" w:rsidRDefault="004F6C22" w:rsidP="00AD62E8">
            <w:pPr>
              <w:pStyle w:val="Normal1"/>
              <w:ind w:firstLine="0"/>
              <w:rPr>
                <w:color w:val="auto"/>
                <w:sz w:val="20"/>
                <w:szCs w:val="20"/>
              </w:rPr>
            </w:pPr>
            <w:r w:rsidRPr="00AD62E8">
              <w:rPr>
                <w:color w:val="auto"/>
                <w:sz w:val="20"/>
                <w:szCs w:val="20"/>
              </w:rPr>
              <w:t>3</w:t>
            </w:r>
          </w:p>
        </w:tc>
        <w:tc>
          <w:tcPr>
            <w:tcW w:w="725" w:type="dxa"/>
            <w:tcBorders>
              <w:top w:val="nil"/>
              <w:left w:val="nil"/>
              <w:bottom w:val="nil"/>
              <w:right w:val="nil"/>
            </w:tcBorders>
            <w:vAlign w:val="center"/>
          </w:tcPr>
          <w:p w:rsidR="005B77DC" w:rsidRPr="00AD62E8" w:rsidRDefault="004F6C22" w:rsidP="00AD62E8">
            <w:pPr>
              <w:pStyle w:val="Normal1"/>
              <w:ind w:firstLine="0"/>
              <w:rPr>
                <w:color w:val="auto"/>
                <w:sz w:val="20"/>
                <w:szCs w:val="20"/>
              </w:rPr>
            </w:pPr>
            <w:r w:rsidRPr="00AD62E8">
              <w:rPr>
                <w:color w:val="auto"/>
                <w:sz w:val="20"/>
                <w:szCs w:val="20"/>
              </w:rPr>
              <w:t>9</w:t>
            </w:r>
          </w:p>
        </w:tc>
        <w:tc>
          <w:tcPr>
            <w:tcW w:w="757" w:type="dxa"/>
            <w:tcBorders>
              <w:top w:val="nil"/>
              <w:left w:val="nil"/>
              <w:bottom w:val="nil"/>
              <w:right w:val="nil"/>
            </w:tcBorders>
            <w:vAlign w:val="center"/>
          </w:tcPr>
          <w:p w:rsidR="005B77DC" w:rsidRPr="00AD62E8" w:rsidRDefault="004F6C22" w:rsidP="00AD62E8">
            <w:pPr>
              <w:pStyle w:val="Normal1"/>
              <w:ind w:firstLine="0"/>
              <w:rPr>
                <w:color w:val="auto"/>
                <w:sz w:val="20"/>
                <w:szCs w:val="20"/>
              </w:rPr>
            </w:pPr>
            <w:r w:rsidRPr="00AD62E8">
              <w:rPr>
                <w:color w:val="auto"/>
                <w:sz w:val="20"/>
                <w:szCs w:val="20"/>
              </w:rPr>
              <w:t>E</w:t>
            </w:r>
          </w:p>
        </w:tc>
        <w:tc>
          <w:tcPr>
            <w:tcW w:w="956" w:type="dxa"/>
            <w:tcBorders>
              <w:top w:val="nil"/>
              <w:left w:val="nil"/>
              <w:bottom w:val="nil"/>
              <w:right w:val="nil"/>
            </w:tcBorders>
            <w:vAlign w:val="center"/>
          </w:tcPr>
          <w:p w:rsidR="005B77DC" w:rsidRPr="00AD62E8" w:rsidRDefault="004F6C22" w:rsidP="00AD62E8">
            <w:pPr>
              <w:pStyle w:val="Normal1"/>
              <w:ind w:firstLine="0"/>
              <w:rPr>
                <w:color w:val="auto"/>
                <w:sz w:val="20"/>
                <w:szCs w:val="20"/>
              </w:rPr>
            </w:pPr>
            <w:r w:rsidRPr="00AD62E8">
              <w:rPr>
                <w:color w:val="auto"/>
                <w:sz w:val="20"/>
                <w:szCs w:val="20"/>
              </w:rPr>
              <w:t>12,1</w:t>
            </w:r>
          </w:p>
        </w:tc>
        <w:tc>
          <w:tcPr>
            <w:tcW w:w="1197" w:type="dxa"/>
            <w:tcBorders>
              <w:top w:val="nil"/>
              <w:left w:val="nil"/>
              <w:bottom w:val="nil"/>
              <w:right w:val="nil"/>
            </w:tcBorders>
            <w:vAlign w:val="center"/>
          </w:tcPr>
          <w:p w:rsidR="005B77DC" w:rsidRPr="00AD62E8" w:rsidRDefault="004F6C22" w:rsidP="00AD62E8">
            <w:pPr>
              <w:pStyle w:val="Normal1"/>
              <w:ind w:firstLine="0"/>
              <w:rPr>
                <w:color w:val="auto"/>
                <w:sz w:val="20"/>
                <w:szCs w:val="20"/>
              </w:rPr>
            </w:pPr>
            <w:r w:rsidRPr="00AD62E8">
              <w:rPr>
                <w:color w:val="auto"/>
                <w:sz w:val="20"/>
                <w:szCs w:val="20"/>
              </w:rPr>
              <w:t>6,95</w:t>
            </w:r>
          </w:p>
        </w:tc>
        <w:tc>
          <w:tcPr>
            <w:tcW w:w="1197" w:type="dxa"/>
            <w:tcBorders>
              <w:top w:val="nil"/>
              <w:left w:val="nil"/>
              <w:bottom w:val="nil"/>
              <w:right w:val="nil"/>
            </w:tcBorders>
            <w:vAlign w:val="center"/>
          </w:tcPr>
          <w:p w:rsidR="005B77DC" w:rsidRPr="00AD62E8" w:rsidRDefault="004F6C22" w:rsidP="00AD62E8">
            <w:pPr>
              <w:pStyle w:val="Normal1"/>
              <w:ind w:firstLine="0"/>
              <w:rPr>
                <w:color w:val="auto"/>
                <w:sz w:val="20"/>
                <w:szCs w:val="20"/>
              </w:rPr>
            </w:pPr>
            <w:r w:rsidRPr="00AD62E8">
              <w:rPr>
                <w:color w:val="auto"/>
                <w:sz w:val="20"/>
                <w:szCs w:val="20"/>
              </w:rPr>
              <w:t>702</w:t>
            </w:r>
          </w:p>
        </w:tc>
        <w:tc>
          <w:tcPr>
            <w:tcW w:w="1170" w:type="dxa"/>
            <w:tcBorders>
              <w:top w:val="nil"/>
              <w:left w:val="nil"/>
              <w:bottom w:val="nil"/>
              <w:right w:val="nil"/>
            </w:tcBorders>
            <w:vAlign w:val="center"/>
          </w:tcPr>
          <w:p w:rsidR="005B77DC" w:rsidRPr="00AD62E8" w:rsidRDefault="004F6C22" w:rsidP="00AD62E8">
            <w:pPr>
              <w:pStyle w:val="Normal1"/>
              <w:ind w:firstLine="0"/>
              <w:rPr>
                <w:color w:val="auto"/>
                <w:sz w:val="20"/>
                <w:szCs w:val="20"/>
              </w:rPr>
            </w:pPr>
            <w:r w:rsidRPr="00AD62E8">
              <w:rPr>
                <w:color w:val="auto"/>
                <w:sz w:val="20"/>
                <w:szCs w:val="20"/>
              </w:rPr>
              <w:t>45,39</w:t>
            </w:r>
          </w:p>
        </w:tc>
        <w:tc>
          <w:tcPr>
            <w:tcW w:w="1115" w:type="dxa"/>
            <w:tcBorders>
              <w:top w:val="nil"/>
              <w:left w:val="nil"/>
              <w:bottom w:val="nil"/>
              <w:right w:val="nil"/>
            </w:tcBorders>
            <w:vAlign w:val="center"/>
          </w:tcPr>
          <w:p w:rsidR="005B77DC" w:rsidRPr="00AD62E8" w:rsidRDefault="004F6C22" w:rsidP="00AD62E8">
            <w:pPr>
              <w:pStyle w:val="Normal1"/>
              <w:ind w:firstLine="0"/>
              <w:rPr>
                <w:color w:val="auto"/>
                <w:sz w:val="20"/>
                <w:szCs w:val="20"/>
              </w:rPr>
            </w:pPr>
            <w:r w:rsidRPr="00AD62E8">
              <w:rPr>
                <w:color w:val="auto"/>
                <w:sz w:val="20"/>
                <w:szCs w:val="20"/>
              </w:rPr>
              <w:t>73</w:t>
            </w:r>
          </w:p>
        </w:tc>
        <w:tc>
          <w:tcPr>
            <w:tcW w:w="1115" w:type="dxa"/>
            <w:tcBorders>
              <w:top w:val="nil"/>
              <w:left w:val="nil"/>
              <w:bottom w:val="nil"/>
              <w:right w:val="nil"/>
            </w:tcBorders>
            <w:vAlign w:val="center"/>
          </w:tcPr>
          <w:p w:rsidR="005B77DC" w:rsidRPr="00AD62E8" w:rsidRDefault="004F6C22" w:rsidP="00AD62E8">
            <w:pPr>
              <w:pStyle w:val="Normal1"/>
              <w:ind w:firstLine="0"/>
              <w:rPr>
                <w:color w:val="auto"/>
                <w:sz w:val="20"/>
                <w:szCs w:val="20"/>
              </w:rPr>
            </w:pPr>
            <w:r w:rsidRPr="00AD62E8">
              <w:rPr>
                <w:color w:val="auto"/>
                <w:sz w:val="20"/>
                <w:szCs w:val="20"/>
              </w:rPr>
              <w:t>230</w:t>
            </w:r>
          </w:p>
        </w:tc>
        <w:tc>
          <w:tcPr>
            <w:tcW w:w="1031" w:type="dxa"/>
            <w:tcBorders>
              <w:top w:val="nil"/>
              <w:left w:val="nil"/>
              <w:bottom w:val="nil"/>
              <w:right w:val="nil"/>
            </w:tcBorders>
            <w:vAlign w:val="center"/>
          </w:tcPr>
          <w:p w:rsidR="005B77DC" w:rsidRPr="00AD62E8" w:rsidRDefault="004F6C22" w:rsidP="00AD62E8">
            <w:pPr>
              <w:pStyle w:val="Normal1"/>
              <w:ind w:firstLine="0"/>
              <w:rPr>
                <w:color w:val="auto"/>
                <w:sz w:val="20"/>
                <w:szCs w:val="20"/>
              </w:rPr>
            </w:pPr>
            <w:r w:rsidRPr="00AD62E8">
              <w:rPr>
                <w:color w:val="auto"/>
                <w:sz w:val="20"/>
                <w:szCs w:val="20"/>
              </w:rPr>
              <w:t>3,40</w:t>
            </w:r>
          </w:p>
        </w:tc>
        <w:tc>
          <w:tcPr>
            <w:tcW w:w="1400" w:type="dxa"/>
            <w:tcBorders>
              <w:top w:val="nil"/>
              <w:left w:val="nil"/>
              <w:bottom w:val="nil"/>
              <w:right w:val="nil"/>
            </w:tcBorders>
            <w:vAlign w:val="center"/>
          </w:tcPr>
          <w:p w:rsidR="005B77DC" w:rsidRPr="00AD62E8" w:rsidRDefault="004F6C22" w:rsidP="00AD62E8">
            <w:pPr>
              <w:pStyle w:val="Normal1"/>
              <w:ind w:firstLine="0"/>
              <w:rPr>
                <w:color w:val="auto"/>
                <w:sz w:val="20"/>
                <w:szCs w:val="20"/>
              </w:rPr>
            </w:pPr>
            <w:r w:rsidRPr="00AD62E8">
              <w:rPr>
                <w:color w:val="auto"/>
                <w:sz w:val="20"/>
                <w:szCs w:val="20"/>
              </w:rPr>
              <w:t>309,5</w:t>
            </w:r>
          </w:p>
        </w:tc>
        <w:tc>
          <w:tcPr>
            <w:tcW w:w="1078" w:type="dxa"/>
            <w:tcBorders>
              <w:top w:val="nil"/>
              <w:left w:val="nil"/>
              <w:bottom w:val="nil"/>
              <w:right w:val="nil"/>
            </w:tcBorders>
            <w:shd w:val="clear" w:color="auto" w:fill="auto"/>
            <w:vAlign w:val="center"/>
          </w:tcPr>
          <w:p w:rsidR="005B77DC" w:rsidRPr="00AD62E8" w:rsidRDefault="004F6C22" w:rsidP="00AD62E8">
            <w:pPr>
              <w:pStyle w:val="Normal1"/>
              <w:ind w:firstLine="0"/>
              <w:rPr>
                <w:color w:val="auto"/>
                <w:sz w:val="20"/>
                <w:szCs w:val="20"/>
              </w:rPr>
            </w:pPr>
            <w:r w:rsidRPr="00AD62E8">
              <w:rPr>
                <w:color w:val="auto"/>
                <w:sz w:val="20"/>
                <w:szCs w:val="20"/>
              </w:rPr>
              <w:t>19</w:t>
            </w:r>
          </w:p>
        </w:tc>
      </w:tr>
      <w:tr w:rsidR="00AD62E8" w:rsidRPr="00AD62E8" w:rsidTr="00AD62E8">
        <w:trPr>
          <w:trHeight w:val="247"/>
        </w:trPr>
        <w:tc>
          <w:tcPr>
            <w:tcW w:w="880" w:type="dxa"/>
            <w:tcBorders>
              <w:top w:val="nil"/>
              <w:left w:val="nil"/>
              <w:bottom w:val="nil"/>
              <w:right w:val="nil"/>
            </w:tcBorders>
            <w:vAlign w:val="center"/>
          </w:tcPr>
          <w:p w:rsidR="005B77DC" w:rsidRPr="00AD62E8" w:rsidRDefault="004F6C22" w:rsidP="00AD62E8">
            <w:pPr>
              <w:pStyle w:val="Normal1"/>
              <w:ind w:firstLine="0"/>
              <w:rPr>
                <w:color w:val="auto"/>
                <w:sz w:val="20"/>
                <w:szCs w:val="20"/>
              </w:rPr>
            </w:pPr>
            <w:r w:rsidRPr="00AD62E8">
              <w:rPr>
                <w:color w:val="auto"/>
                <w:sz w:val="20"/>
                <w:szCs w:val="20"/>
              </w:rPr>
              <w:t>4</w:t>
            </w:r>
          </w:p>
        </w:tc>
        <w:tc>
          <w:tcPr>
            <w:tcW w:w="725" w:type="dxa"/>
            <w:tcBorders>
              <w:top w:val="nil"/>
              <w:left w:val="nil"/>
              <w:bottom w:val="nil"/>
              <w:right w:val="nil"/>
            </w:tcBorders>
            <w:vAlign w:val="center"/>
          </w:tcPr>
          <w:p w:rsidR="005B77DC" w:rsidRPr="00AD62E8" w:rsidRDefault="004F6C22" w:rsidP="00AD62E8">
            <w:pPr>
              <w:pStyle w:val="Normal1"/>
              <w:ind w:firstLine="0"/>
              <w:rPr>
                <w:color w:val="auto"/>
                <w:sz w:val="20"/>
                <w:szCs w:val="20"/>
              </w:rPr>
            </w:pPr>
            <w:r w:rsidRPr="00AD62E8">
              <w:rPr>
                <w:color w:val="auto"/>
                <w:sz w:val="20"/>
                <w:szCs w:val="20"/>
              </w:rPr>
              <w:t>5</w:t>
            </w:r>
          </w:p>
        </w:tc>
        <w:tc>
          <w:tcPr>
            <w:tcW w:w="757" w:type="dxa"/>
            <w:tcBorders>
              <w:top w:val="nil"/>
              <w:left w:val="nil"/>
              <w:bottom w:val="nil"/>
              <w:right w:val="nil"/>
            </w:tcBorders>
            <w:vAlign w:val="center"/>
          </w:tcPr>
          <w:p w:rsidR="005B77DC" w:rsidRPr="00AD62E8" w:rsidRDefault="004F6C22" w:rsidP="00AD62E8">
            <w:pPr>
              <w:pStyle w:val="Normal1"/>
              <w:ind w:firstLine="0"/>
              <w:rPr>
                <w:color w:val="auto"/>
                <w:sz w:val="20"/>
                <w:szCs w:val="20"/>
              </w:rPr>
            </w:pPr>
            <w:r w:rsidRPr="00AD62E8">
              <w:rPr>
                <w:color w:val="auto"/>
                <w:sz w:val="20"/>
                <w:szCs w:val="20"/>
              </w:rPr>
              <w:t>E</w:t>
            </w:r>
          </w:p>
        </w:tc>
        <w:tc>
          <w:tcPr>
            <w:tcW w:w="956" w:type="dxa"/>
            <w:tcBorders>
              <w:top w:val="nil"/>
              <w:left w:val="nil"/>
              <w:bottom w:val="nil"/>
              <w:right w:val="nil"/>
            </w:tcBorders>
            <w:vAlign w:val="center"/>
          </w:tcPr>
          <w:p w:rsidR="005B77DC" w:rsidRPr="00AD62E8" w:rsidRDefault="004F6C22" w:rsidP="00AD62E8">
            <w:pPr>
              <w:pStyle w:val="Normal1"/>
              <w:ind w:firstLine="0"/>
              <w:rPr>
                <w:color w:val="auto"/>
                <w:sz w:val="20"/>
                <w:szCs w:val="20"/>
              </w:rPr>
            </w:pPr>
            <w:r w:rsidRPr="00AD62E8">
              <w:rPr>
                <w:color w:val="auto"/>
                <w:sz w:val="20"/>
                <w:szCs w:val="20"/>
              </w:rPr>
              <w:t>12,2</w:t>
            </w:r>
          </w:p>
        </w:tc>
        <w:tc>
          <w:tcPr>
            <w:tcW w:w="1197" w:type="dxa"/>
            <w:tcBorders>
              <w:top w:val="nil"/>
              <w:left w:val="nil"/>
              <w:bottom w:val="nil"/>
              <w:right w:val="nil"/>
            </w:tcBorders>
            <w:vAlign w:val="center"/>
          </w:tcPr>
          <w:p w:rsidR="005B77DC" w:rsidRPr="00AD62E8" w:rsidRDefault="004F6C22" w:rsidP="00AD62E8">
            <w:pPr>
              <w:pStyle w:val="Normal1"/>
              <w:ind w:firstLine="0"/>
              <w:rPr>
                <w:color w:val="auto"/>
                <w:sz w:val="20"/>
                <w:szCs w:val="20"/>
              </w:rPr>
            </w:pPr>
            <w:r w:rsidRPr="00AD62E8">
              <w:rPr>
                <w:color w:val="auto"/>
                <w:sz w:val="20"/>
                <w:szCs w:val="20"/>
              </w:rPr>
              <w:t>7,56</w:t>
            </w:r>
          </w:p>
        </w:tc>
        <w:tc>
          <w:tcPr>
            <w:tcW w:w="1197" w:type="dxa"/>
            <w:tcBorders>
              <w:top w:val="nil"/>
              <w:left w:val="nil"/>
              <w:bottom w:val="nil"/>
              <w:right w:val="nil"/>
            </w:tcBorders>
            <w:vAlign w:val="center"/>
          </w:tcPr>
          <w:p w:rsidR="005B77DC" w:rsidRPr="00AD62E8" w:rsidRDefault="004F6C22" w:rsidP="00AD62E8">
            <w:pPr>
              <w:pStyle w:val="Normal1"/>
              <w:ind w:firstLine="0"/>
              <w:rPr>
                <w:color w:val="auto"/>
                <w:sz w:val="20"/>
                <w:szCs w:val="20"/>
              </w:rPr>
            </w:pPr>
            <w:r w:rsidRPr="00AD62E8">
              <w:rPr>
                <w:color w:val="auto"/>
                <w:sz w:val="20"/>
                <w:szCs w:val="20"/>
              </w:rPr>
              <w:t>639</w:t>
            </w:r>
          </w:p>
        </w:tc>
        <w:tc>
          <w:tcPr>
            <w:tcW w:w="1170" w:type="dxa"/>
            <w:tcBorders>
              <w:top w:val="nil"/>
              <w:left w:val="nil"/>
              <w:bottom w:val="nil"/>
              <w:right w:val="nil"/>
            </w:tcBorders>
            <w:vAlign w:val="center"/>
          </w:tcPr>
          <w:p w:rsidR="005B77DC" w:rsidRPr="00AD62E8" w:rsidRDefault="004F6C22" w:rsidP="00AD62E8">
            <w:pPr>
              <w:pStyle w:val="Normal1"/>
              <w:ind w:firstLine="0"/>
              <w:rPr>
                <w:color w:val="auto"/>
                <w:sz w:val="20"/>
                <w:szCs w:val="20"/>
              </w:rPr>
            </w:pPr>
            <w:r w:rsidRPr="00AD62E8">
              <w:rPr>
                <w:color w:val="auto"/>
                <w:sz w:val="20"/>
                <w:szCs w:val="20"/>
              </w:rPr>
              <w:t>22,00</w:t>
            </w:r>
          </w:p>
        </w:tc>
        <w:tc>
          <w:tcPr>
            <w:tcW w:w="1115" w:type="dxa"/>
            <w:tcBorders>
              <w:top w:val="nil"/>
              <w:left w:val="nil"/>
              <w:bottom w:val="nil"/>
              <w:right w:val="nil"/>
            </w:tcBorders>
            <w:vAlign w:val="center"/>
          </w:tcPr>
          <w:p w:rsidR="005B77DC" w:rsidRPr="00AD62E8" w:rsidRDefault="004F6C22" w:rsidP="00AD62E8">
            <w:pPr>
              <w:pStyle w:val="Normal1"/>
              <w:ind w:firstLine="0"/>
              <w:rPr>
                <w:color w:val="auto"/>
                <w:sz w:val="20"/>
                <w:szCs w:val="20"/>
              </w:rPr>
            </w:pPr>
            <w:r w:rsidRPr="00AD62E8">
              <w:rPr>
                <w:color w:val="auto"/>
                <w:sz w:val="20"/>
                <w:szCs w:val="20"/>
              </w:rPr>
              <w:t>64</w:t>
            </w:r>
          </w:p>
        </w:tc>
        <w:tc>
          <w:tcPr>
            <w:tcW w:w="1115" w:type="dxa"/>
            <w:tcBorders>
              <w:top w:val="nil"/>
              <w:left w:val="nil"/>
              <w:bottom w:val="nil"/>
              <w:right w:val="nil"/>
            </w:tcBorders>
            <w:vAlign w:val="center"/>
          </w:tcPr>
          <w:p w:rsidR="005B77DC" w:rsidRPr="00AD62E8" w:rsidRDefault="004F6C22" w:rsidP="00AD62E8">
            <w:pPr>
              <w:pStyle w:val="Normal1"/>
              <w:ind w:firstLine="0"/>
              <w:rPr>
                <w:color w:val="auto"/>
                <w:sz w:val="20"/>
                <w:szCs w:val="20"/>
              </w:rPr>
            </w:pPr>
            <w:r w:rsidRPr="00AD62E8">
              <w:rPr>
                <w:color w:val="auto"/>
                <w:sz w:val="20"/>
                <w:szCs w:val="20"/>
              </w:rPr>
              <w:t>246</w:t>
            </w:r>
          </w:p>
        </w:tc>
        <w:tc>
          <w:tcPr>
            <w:tcW w:w="1031" w:type="dxa"/>
            <w:tcBorders>
              <w:top w:val="nil"/>
              <w:left w:val="nil"/>
              <w:bottom w:val="nil"/>
              <w:right w:val="nil"/>
            </w:tcBorders>
            <w:vAlign w:val="center"/>
          </w:tcPr>
          <w:p w:rsidR="005B77DC" w:rsidRPr="00AD62E8" w:rsidRDefault="004F6C22" w:rsidP="00AD62E8">
            <w:pPr>
              <w:pStyle w:val="Normal1"/>
              <w:ind w:firstLine="0"/>
              <w:rPr>
                <w:color w:val="auto"/>
                <w:sz w:val="20"/>
                <w:szCs w:val="20"/>
              </w:rPr>
            </w:pPr>
            <w:r w:rsidRPr="00AD62E8">
              <w:rPr>
                <w:color w:val="auto"/>
                <w:sz w:val="20"/>
                <w:szCs w:val="20"/>
              </w:rPr>
              <w:t>&lt;2,00</w:t>
            </w:r>
          </w:p>
        </w:tc>
        <w:tc>
          <w:tcPr>
            <w:tcW w:w="1400" w:type="dxa"/>
            <w:tcBorders>
              <w:top w:val="nil"/>
              <w:left w:val="nil"/>
              <w:bottom w:val="nil"/>
              <w:right w:val="nil"/>
            </w:tcBorders>
            <w:vAlign w:val="center"/>
          </w:tcPr>
          <w:p w:rsidR="005B77DC" w:rsidRPr="00AD62E8" w:rsidRDefault="004F6C22" w:rsidP="00AD62E8">
            <w:pPr>
              <w:pStyle w:val="Normal1"/>
              <w:ind w:firstLine="0"/>
              <w:rPr>
                <w:color w:val="auto"/>
                <w:sz w:val="20"/>
                <w:szCs w:val="20"/>
              </w:rPr>
            </w:pPr>
            <w:r w:rsidRPr="00AD62E8">
              <w:rPr>
                <w:color w:val="auto"/>
                <w:sz w:val="20"/>
                <w:szCs w:val="20"/>
              </w:rPr>
              <w:t>202,5</w:t>
            </w:r>
          </w:p>
        </w:tc>
        <w:tc>
          <w:tcPr>
            <w:tcW w:w="1078" w:type="dxa"/>
            <w:tcBorders>
              <w:top w:val="nil"/>
              <w:left w:val="nil"/>
              <w:bottom w:val="nil"/>
              <w:right w:val="nil"/>
            </w:tcBorders>
            <w:shd w:val="clear" w:color="auto" w:fill="auto"/>
            <w:vAlign w:val="center"/>
          </w:tcPr>
          <w:p w:rsidR="005B77DC" w:rsidRPr="00AD62E8" w:rsidRDefault="004F6C22" w:rsidP="00AD62E8">
            <w:pPr>
              <w:pStyle w:val="Normal1"/>
              <w:ind w:firstLine="0"/>
              <w:rPr>
                <w:color w:val="auto"/>
                <w:sz w:val="20"/>
                <w:szCs w:val="20"/>
              </w:rPr>
            </w:pPr>
            <w:r w:rsidRPr="00AD62E8">
              <w:rPr>
                <w:color w:val="auto"/>
                <w:sz w:val="20"/>
                <w:szCs w:val="20"/>
              </w:rPr>
              <w:t>4</w:t>
            </w:r>
          </w:p>
        </w:tc>
      </w:tr>
      <w:tr w:rsidR="00AD62E8" w:rsidRPr="00AD62E8" w:rsidTr="00AD62E8">
        <w:trPr>
          <w:trHeight w:val="247"/>
        </w:trPr>
        <w:tc>
          <w:tcPr>
            <w:tcW w:w="880" w:type="dxa"/>
            <w:tcBorders>
              <w:top w:val="nil"/>
              <w:left w:val="nil"/>
              <w:bottom w:val="nil"/>
              <w:right w:val="nil"/>
            </w:tcBorders>
            <w:vAlign w:val="center"/>
          </w:tcPr>
          <w:p w:rsidR="005B77DC" w:rsidRPr="00AD62E8" w:rsidRDefault="004F6C22" w:rsidP="00AD62E8">
            <w:pPr>
              <w:pStyle w:val="Normal1"/>
              <w:ind w:firstLine="0"/>
              <w:rPr>
                <w:color w:val="auto"/>
                <w:sz w:val="20"/>
                <w:szCs w:val="20"/>
              </w:rPr>
            </w:pPr>
            <w:r w:rsidRPr="00AD62E8">
              <w:rPr>
                <w:color w:val="auto"/>
                <w:sz w:val="20"/>
                <w:szCs w:val="20"/>
              </w:rPr>
              <w:t>5</w:t>
            </w:r>
          </w:p>
        </w:tc>
        <w:tc>
          <w:tcPr>
            <w:tcW w:w="725" w:type="dxa"/>
            <w:tcBorders>
              <w:top w:val="nil"/>
              <w:left w:val="nil"/>
              <w:bottom w:val="nil"/>
              <w:right w:val="nil"/>
            </w:tcBorders>
            <w:vAlign w:val="center"/>
          </w:tcPr>
          <w:p w:rsidR="005B77DC" w:rsidRPr="00AD62E8" w:rsidRDefault="004F6C22" w:rsidP="00AD62E8">
            <w:pPr>
              <w:pStyle w:val="Normal1"/>
              <w:ind w:firstLine="0"/>
              <w:rPr>
                <w:color w:val="auto"/>
                <w:sz w:val="20"/>
                <w:szCs w:val="20"/>
              </w:rPr>
            </w:pPr>
            <w:r w:rsidRPr="00AD62E8">
              <w:rPr>
                <w:color w:val="auto"/>
                <w:sz w:val="20"/>
                <w:szCs w:val="20"/>
              </w:rPr>
              <w:t>4</w:t>
            </w:r>
          </w:p>
        </w:tc>
        <w:tc>
          <w:tcPr>
            <w:tcW w:w="757" w:type="dxa"/>
            <w:tcBorders>
              <w:top w:val="nil"/>
              <w:left w:val="nil"/>
              <w:bottom w:val="nil"/>
              <w:right w:val="nil"/>
            </w:tcBorders>
            <w:vAlign w:val="center"/>
          </w:tcPr>
          <w:p w:rsidR="005B77DC" w:rsidRPr="00AD62E8" w:rsidRDefault="004F6C22" w:rsidP="00AD62E8">
            <w:pPr>
              <w:pStyle w:val="Normal1"/>
              <w:ind w:firstLine="0"/>
              <w:rPr>
                <w:color w:val="auto"/>
                <w:sz w:val="20"/>
                <w:szCs w:val="20"/>
              </w:rPr>
            </w:pPr>
            <w:r w:rsidRPr="00AD62E8">
              <w:rPr>
                <w:color w:val="auto"/>
                <w:sz w:val="20"/>
                <w:szCs w:val="20"/>
              </w:rPr>
              <w:t>E</w:t>
            </w:r>
          </w:p>
        </w:tc>
        <w:tc>
          <w:tcPr>
            <w:tcW w:w="956" w:type="dxa"/>
            <w:tcBorders>
              <w:top w:val="nil"/>
              <w:left w:val="nil"/>
              <w:bottom w:val="nil"/>
              <w:right w:val="nil"/>
            </w:tcBorders>
            <w:vAlign w:val="center"/>
          </w:tcPr>
          <w:p w:rsidR="005B77DC" w:rsidRPr="00AD62E8" w:rsidRDefault="004F6C22" w:rsidP="00AD62E8">
            <w:pPr>
              <w:pStyle w:val="Normal1"/>
              <w:ind w:firstLine="0"/>
              <w:rPr>
                <w:color w:val="auto"/>
                <w:sz w:val="20"/>
                <w:szCs w:val="20"/>
              </w:rPr>
            </w:pPr>
            <w:r w:rsidRPr="00AD62E8">
              <w:rPr>
                <w:color w:val="auto"/>
                <w:sz w:val="20"/>
                <w:szCs w:val="20"/>
              </w:rPr>
              <w:t>10,9</w:t>
            </w:r>
          </w:p>
        </w:tc>
        <w:tc>
          <w:tcPr>
            <w:tcW w:w="1197" w:type="dxa"/>
            <w:tcBorders>
              <w:top w:val="nil"/>
              <w:left w:val="nil"/>
              <w:bottom w:val="nil"/>
              <w:right w:val="nil"/>
            </w:tcBorders>
            <w:vAlign w:val="center"/>
          </w:tcPr>
          <w:p w:rsidR="005B77DC" w:rsidRPr="00AD62E8" w:rsidRDefault="004F6C22" w:rsidP="00AD62E8">
            <w:pPr>
              <w:pStyle w:val="Normal1"/>
              <w:ind w:firstLine="0"/>
              <w:rPr>
                <w:color w:val="auto"/>
                <w:sz w:val="20"/>
                <w:szCs w:val="20"/>
              </w:rPr>
            </w:pPr>
            <w:r w:rsidRPr="00AD62E8">
              <w:rPr>
                <w:color w:val="auto"/>
                <w:sz w:val="20"/>
                <w:szCs w:val="20"/>
              </w:rPr>
              <w:t>6,93</w:t>
            </w:r>
          </w:p>
        </w:tc>
        <w:tc>
          <w:tcPr>
            <w:tcW w:w="1197" w:type="dxa"/>
            <w:tcBorders>
              <w:top w:val="nil"/>
              <w:left w:val="nil"/>
              <w:bottom w:val="nil"/>
              <w:right w:val="nil"/>
            </w:tcBorders>
            <w:vAlign w:val="center"/>
          </w:tcPr>
          <w:p w:rsidR="005B77DC" w:rsidRPr="00AD62E8" w:rsidRDefault="004F6C22" w:rsidP="00AD62E8">
            <w:pPr>
              <w:pStyle w:val="Normal1"/>
              <w:ind w:firstLine="0"/>
              <w:rPr>
                <w:color w:val="auto"/>
                <w:sz w:val="20"/>
                <w:szCs w:val="20"/>
              </w:rPr>
            </w:pPr>
            <w:r w:rsidRPr="00AD62E8">
              <w:rPr>
                <w:color w:val="auto"/>
                <w:sz w:val="20"/>
                <w:szCs w:val="20"/>
              </w:rPr>
              <w:t>510</w:t>
            </w:r>
          </w:p>
        </w:tc>
        <w:tc>
          <w:tcPr>
            <w:tcW w:w="1170" w:type="dxa"/>
            <w:tcBorders>
              <w:top w:val="nil"/>
              <w:left w:val="nil"/>
              <w:bottom w:val="nil"/>
              <w:right w:val="nil"/>
            </w:tcBorders>
            <w:vAlign w:val="center"/>
          </w:tcPr>
          <w:p w:rsidR="005B77DC" w:rsidRPr="00AD62E8" w:rsidRDefault="004F6C22" w:rsidP="00AD62E8">
            <w:pPr>
              <w:pStyle w:val="Normal1"/>
              <w:ind w:firstLine="0"/>
              <w:rPr>
                <w:color w:val="auto"/>
                <w:sz w:val="20"/>
                <w:szCs w:val="20"/>
              </w:rPr>
            </w:pPr>
            <w:r w:rsidRPr="00AD62E8">
              <w:rPr>
                <w:color w:val="auto"/>
                <w:sz w:val="20"/>
                <w:szCs w:val="20"/>
              </w:rPr>
              <w:t>41,77</w:t>
            </w:r>
          </w:p>
        </w:tc>
        <w:tc>
          <w:tcPr>
            <w:tcW w:w="1115" w:type="dxa"/>
            <w:tcBorders>
              <w:top w:val="nil"/>
              <w:left w:val="nil"/>
              <w:bottom w:val="nil"/>
              <w:right w:val="nil"/>
            </w:tcBorders>
            <w:vAlign w:val="center"/>
          </w:tcPr>
          <w:p w:rsidR="005B77DC" w:rsidRPr="00AD62E8" w:rsidRDefault="004F6C22" w:rsidP="00AD62E8">
            <w:pPr>
              <w:pStyle w:val="Normal1"/>
              <w:ind w:firstLine="0"/>
              <w:rPr>
                <w:color w:val="auto"/>
                <w:sz w:val="20"/>
                <w:szCs w:val="20"/>
              </w:rPr>
            </w:pPr>
            <w:r w:rsidRPr="00AD62E8">
              <w:rPr>
                <w:color w:val="auto"/>
                <w:sz w:val="20"/>
                <w:szCs w:val="20"/>
              </w:rPr>
              <w:t>91</w:t>
            </w:r>
          </w:p>
        </w:tc>
        <w:tc>
          <w:tcPr>
            <w:tcW w:w="1115" w:type="dxa"/>
            <w:tcBorders>
              <w:top w:val="nil"/>
              <w:left w:val="nil"/>
              <w:bottom w:val="nil"/>
              <w:right w:val="nil"/>
            </w:tcBorders>
            <w:vAlign w:val="center"/>
          </w:tcPr>
          <w:p w:rsidR="005B77DC" w:rsidRPr="00AD62E8" w:rsidRDefault="004F6C22" w:rsidP="00AD62E8">
            <w:pPr>
              <w:pStyle w:val="Normal1"/>
              <w:ind w:firstLine="0"/>
              <w:rPr>
                <w:color w:val="auto"/>
                <w:sz w:val="20"/>
                <w:szCs w:val="20"/>
              </w:rPr>
            </w:pPr>
            <w:r w:rsidRPr="00AD62E8">
              <w:rPr>
                <w:color w:val="auto"/>
                <w:sz w:val="20"/>
                <w:szCs w:val="20"/>
              </w:rPr>
              <w:t>176</w:t>
            </w:r>
          </w:p>
        </w:tc>
        <w:tc>
          <w:tcPr>
            <w:tcW w:w="1031" w:type="dxa"/>
            <w:tcBorders>
              <w:top w:val="nil"/>
              <w:left w:val="nil"/>
              <w:bottom w:val="nil"/>
              <w:right w:val="nil"/>
            </w:tcBorders>
            <w:vAlign w:val="center"/>
          </w:tcPr>
          <w:p w:rsidR="005B77DC" w:rsidRPr="00AD62E8" w:rsidRDefault="004F6C22" w:rsidP="00AD62E8">
            <w:pPr>
              <w:pStyle w:val="Normal1"/>
              <w:ind w:firstLine="0"/>
              <w:rPr>
                <w:color w:val="auto"/>
                <w:sz w:val="20"/>
                <w:szCs w:val="20"/>
              </w:rPr>
            </w:pPr>
            <w:r w:rsidRPr="00AD62E8">
              <w:rPr>
                <w:color w:val="auto"/>
                <w:sz w:val="20"/>
                <w:szCs w:val="20"/>
              </w:rPr>
              <w:t>&lt;2,00</w:t>
            </w:r>
          </w:p>
        </w:tc>
        <w:tc>
          <w:tcPr>
            <w:tcW w:w="1400" w:type="dxa"/>
            <w:tcBorders>
              <w:top w:val="nil"/>
              <w:left w:val="nil"/>
              <w:bottom w:val="nil"/>
              <w:right w:val="nil"/>
            </w:tcBorders>
            <w:vAlign w:val="center"/>
          </w:tcPr>
          <w:p w:rsidR="005B77DC" w:rsidRPr="00AD62E8" w:rsidRDefault="004F6C22" w:rsidP="00AD62E8">
            <w:pPr>
              <w:pStyle w:val="Normal1"/>
              <w:ind w:firstLine="0"/>
              <w:rPr>
                <w:color w:val="auto"/>
                <w:sz w:val="20"/>
                <w:szCs w:val="20"/>
              </w:rPr>
            </w:pPr>
            <w:r w:rsidRPr="00AD62E8">
              <w:rPr>
                <w:color w:val="auto"/>
                <w:sz w:val="20"/>
                <w:szCs w:val="20"/>
              </w:rPr>
              <w:t>264,3</w:t>
            </w:r>
          </w:p>
        </w:tc>
        <w:tc>
          <w:tcPr>
            <w:tcW w:w="1078" w:type="dxa"/>
            <w:tcBorders>
              <w:top w:val="nil"/>
              <w:left w:val="nil"/>
              <w:bottom w:val="nil"/>
              <w:right w:val="nil"/>
            </w:tcBorders>
            <w:shd w:val="clear" w:color="auto" w:fill="auto"/>
            <w:vAlign w:val="center"/>
          </w:tcPr>
          <w:p w:rsidR="005B77DC" w:rsidRPr="00AD62E8" w:rsidRDefault="004F6C22" w:rsidP="00AD62E8">
            <w:pPr>
              <w:pStyle w:val="Normal1"/>
              <w:ind w:firstLine="0"/>
              <w:rPr>
                <w:color w:val="auto"/>
                <w:sz w:val="20"/>
                <w:szCs w:val="20"/>
              </w:rPr>
            </w:pPr>
            <w:r w:rsidRPr="00AD62E8">
              <w:rPr>
                <w:color w:val="auto"/>
                <w:sz w:val="20"/>
                <w:szCs w:val="20"/>
              </w:rPr>
              <w:t>20</w:t>
            </w:r>
          </w:p>
        </w:tc>
      </w:tr>
      <w:tr w:rsidR="00AD62E8" w:rsidRPr="00AD62E8" w:rsidTr="00AD62E8">
        <w:trPr>
          <w:trHeight w:val="247"/>
        </w:trPr>
        <w:tc>
          <w:tcPr>
            <w:tcW w:w="880" w:type="dxa"/>
            <w:tcBorders>
              <w:top w:val="nil"/>
              <w:left w:val="nil"/>
              <w:bottom w:val="nil"/>
              <w:right w:val="nil"/>
            </w:tcBorders>
            <w:vAlign w:val="center"/>
          </w:tcPr>
          <w:p w:rsidR="005B77DC" w:rsidRPr="00AD62E8" w:rsidRDefault="004F6C22" w:rsidP="00AD62E8">
            <w:pPr>
              <w:pStyle w:val="Normal1"/>
              <w:ind w:firstLine="0"/>
              <w:rPr>
                <w:color w:val="auto"/>
                <w:sz w:val="20"/>
                <w:szCs w:val="20"/>
              </w:rPr>
            </w:pPr>
            <w:r w:rsidRPr="00AD62E8">
              <w:rPr>
                <w:color w:val="auto"/>
                <w:sz w:val="20"/>
                <w:szCs w:val="20"/>
              </w:rPr>
              <w:t>6</w:t>
            </w:r>
          </w:p>
        </w:tc>
        <w:tc>
          <w:tcPr>
            <w:tcW w:w="725" w:type="dxa"/>
            <w:tcBorders>
              <w:top w:val="nil"/>
              <w:left w:val="nil"/>
              <w:bottom w:val="nil"/>
              <w:right w:val="nil"/>
            </w:tcBorders>
            <w:vAlign w:val="center"/>
          </w:tcPr>
          <w:p w:rsidR="005B77DC" w:rsidRPr="00AD62E8" w:rsidRDefault="004F6C22" w:rsidP="00AD62E8">
            <w:pPr>
              <w:pStyle w:val="Normal1"/>
              <w:ind w:firstLine="0"/>
              <w:rPr>
                <w:color w:val="auto"/>
                <w:sz w:val="20"/>
                <w:szCs w:val="20"/>
              </w:rPr>
            </w:pPr>
            <w:r w:rsidRPr="00AD62E8">
              <w:rPr>
                <w:color w:val="auto"/>
                <w:sz w:val="20"/>
                <w:szCs w:val="20"/>
              </w:rPr>
              <w:t>5</w:t>
            </w:r>
          </w:p>
        </w:tc>
        <w:tc>
          <w:tcPr>
            <w:tcW w:w="757" w:type="dxa"/>
            <w:tcBorders>
              <w:top w:val="nil"/>
              <w:left w:val="nil"/>
              <w:bottom w:val="nil"/>
              <w:right w:val="nil"/>
            </w:tcBorders>
            <w:vAlign w:val="center"/>
          </w:tcPr>
          <w:p w:rsidR="005B77DC" w:rsidRPr="00AD62E8" w:rsidRDefault="004F6C22" w:rsidP="00AD62E8">
            <w:pPr>
              <w:pStyle w:val="Normal1"/>
              <w:ind w:firstLine="0"/>
              <w:rPr>
                <w:color w:val="auto"/>
                <w:sz w:val="20"/>
                <w:szCs w:val="20"/>
              </w:rPr>
            </w:pPr>
            <w:r w:rsidRPr="00AD62E8">
              <w:rPr>
                <w:color w:val="auto"/>
                <w:sz w:val="20"/>
                <w:szCs w:val="20"/>
              </w:rPr>
              <w:t>E</w:t>
            </w:r>
          </w:p>
        </w:tc>
        <w:tc>
          <w:tcPr>
            <w:tcW w:w="956" w:type="dxa"/>
            <w:tcBorders>
              <w:top w:val="nil"/>
              <w:left w:val="nil"/>
              <w:bottom w:val="nil"/>
              <w:right w:val="nil"/>
            </w:tcBorders>
            <w:vAlign w:val="center"/>
          </w:tcPr>
          <w:p w:rsidR="005B77DC" w:rsidRPr="00AD62E8" w:rsidRDefault="004F6C22" w:rsidP="00AD62E8">
            <w:pPr>
              <w:pStyle w:val="Normal1"/>
              <w:ind w:firstLine="0"/>
              <w:rPr>
                <w:color w:val="auto"/>
                <w:sz w:val="20"/>
                <w:szCs w:val="20"/>
              </w:rPr>
            </w:pPr>
            <w:r w:rsidRPr="00AD62E8">
              <w:rPr>
                <w:color w:val="auto"/>
                <w:sz w:val="20"/>
                <w:szCs w:val="20"/>
              </w:rPr>
              <w:t>12,3</w:t>
            </w:r>
          </w:p>
        </w:tc>
        <w:tc>
          <w:tcPr>
            <w:tcW w:w="1197" w:type="dxa"/>
            <w:tcBorders>
              <w:top w:val="nil"/>
              <w:left w:val="nil"/>
              <w:bottom w:val="nil"/>
              <w:right w:val="nil"/>
            </w:tcBorders>
            <w:vAlign w:val="center"/>
          </w:tcPr>
          <w:p w:rsidR="005B77DC" w:rsidRPr="00AD62E8" w:rsidRDefault="004F6C22" w:rsidP="00AD62E8">
            <w:pPr>
              <w:pStyle w:val="Normal1"/>
              <w:ind w:firstLine="0"/>
              <w:rPr>
                <w:color w:val="auto"/>
                <w:sz w:val="20"/>
                <w:szCs w:val="20"/>
              </w:rPr>
            </w:pPr>
            <w:r w:rsidRPr="00AD62E8">
              <w:rPr>
                <w:color w:val="auto"/>
                <w:sz w:val="20"/>
                <w:szCs w:val="20"/>
              </w:rPr>
              <w:t>11,34</w:t>
            </w:r>
          </w:p>
        </w:tc>
        <w:tc>
          <w:tcPr>
            <w:tcW w:w="1197" w:type="dxa"/>
            <w:tcBorders>
              <w:top w:val="nil"/>
              <w:left w:val="nil"/>
              <w:bottom w:val="nil"/>
              <w:right w:val="nil"/>
            </w:tcBorders>
            <w:vAlign w:val="center"/>
          </w:tcPr>
          <w:p w:rsidR="005B77DC" w:rsidRPr="00AD62E8" w:rsidRDefault="004F6C22" w:rsidP="00AD62E8">
            <w:pPr>
              <w:pStyle w:val="Normal1"/>
              <w:ind w:firstLine="0"/>
              <w:rPr>
                <w:color w:val="auto"/>
                <w:sz w:val="20"/>
                <w:szCs w:val="20"/>
              </w:rPr>
            </w:pPr>
            <w:r w:rsidRPr="00AD62E8">
              <w:rPr>
                <w:color w:val="auto"/>
                <w:sz w:val="20"/>
                <w:szCs w:val="20"/>
              </w:rPr>
              <w:t>563</w:t>
            </w:r>
          </w:p>
        </w:tc>
        <w:tc>
          <w:tcPr>
            <w:tcW w:w="1170" w:type="dxa"/>
            <w:tcBorders>
              <w:top w:val="nil"/>
              <w:left w:val="nil"/>
              <w:bottom w:val="nil"/>
              <w:right w:val="nil"/>
            </w:tcBorders>
            <w:vAlign w:val="center"/>
          </w:tcPr>
          <w:p w:rsidR="005B77DC" w:rsidRPr="00AD62E8" w:rsidRDefault="004F6C22" w:rsidP="00AD62E8">
            <w:pPr>
              <w:pStyle w:val="Normal1"/>
              <w:ind w:firstLine="0"/>
              <w:rPr>
                <w:color w:val="auto"/>
                <w:sz w:val="20"/>
                <w:szCs w:val="20"/>
              </w:rPr>
            </w:pPr>
            <w:r w:rsidRPr="00AD62E8">
              <w:rPr>
                <w:color w:val="auto"/>
                <w:sz w:val="20"/>
                <w:szCs w:val="20"/>
              </w:rPr>
              <w:t>21,81</w:t>
            </w:r>
          </w:p>
        </w:tc>
        <w:tc>
          <w:tcPr>
            <w:tcW w:w="1115" w:type="dxa"/>
            <w:tcBorders>
              <w:top w:val="nil"/>
              <w:left w:val="nil"/>
              <w:bottom w:val="nil"/>
              <w:right w:val="nil"/>
            </w:tcBorders>
            <w:vAlign w:val="center"/>
          </w:tcPr>
          <w:p w:rsidR="005B77DC" w:rsidRPr="00AD62E8" w:rsidRDefault="004F6C22" w:rsidP="00AD62E8">
            <w:pPr>
              <w:pStyle w:val="Normal1"/>
              <w:ind w:firstLine="0"/>
              <w:rPr>
                <w:color w:val="auto"/>
                <w:sz w:val="20"/>
                <w:szCs w:val="20"/>
              </w:rPr>
            </w:pPr>
            <w:r w:rsidRPr="00AD62E8">
              <w:rPr>
                <w:color w:val="auto"/>
                <w:sz w:val="20"/>
                <w:szCs w:val="20"/>
              </w:rPr>
              <w:t>82</w:t>
            </w:r>
          </w:p>
        </w:tc>
        <w:tc>
          <w:tcPr>
            <w:tcW w:w="1115" w:type="dxa"/>
            <w:tcBorders>
              <w:top w:val="nil"/>
              <w:left w:val="nil"/>
              <w:bottom w:val="nil"/>
              <w:right w:val="nil"/>
            </w:tcBorders>
            <w:vAlign w:val="center"/>
          </w:tcPr>
          <w:p w:rsidR="005B77DC" w:rsidRPr="00AD62E8" w:rsidRDefault="004F6C22" w:rsidP="00AD62E8">
            <w:pPr>
              <w:pStyle w:val="Normal1"/>
              <w:ind w:firstLine="0"/>
              <w:rPr>
                <w:color w:val="auto"/>
                <w:sz w:val="20"/>
                <w:szCs w:val="20"/>
              </w:rPr>
            </w:pPr>
            <w:r w:rsidRPr="00AD62E8">
              <w:rPr>
                <w:color w:val="auto"/>
                <w:sz w:val="20"/>
                <w:szCs w:val="20"/>
              </w:rPr>
              <w:t>229</w:t>
            </w:r>
          </w:p>
        </w:tc>
        <w:tc>
          <w:tcPr>
            <w:tcW w:w="1031" w:type="dxa"/>
            <w:tcBorders>
              <w:top w:val="nil"/>
              <w:left w:val="nil"/>
              <w:bottom w:val="nil"/>
              <w:right w:val="nil"/>
            </w:tcBorders>
            <w:vAlign w:val="center"/>
          </w:tcPr>
          <w:p w:rsidR="005B77DC" w:rsidRPr="00AD62E8" w:rsidRDefault="004F6C22" w:rsidP="00AD62E8">
            <w:pPr>
              <w:pStyle w:val="Normal1"/>
              <w:ind w:firstLine="0"/>
              <w:rPr>
                <w:color w:val="auto"/>
                <w:sz w:val="20"/>
                <w:szCs w:val="20"/>
              </w:rPr>
            </w:pPr>
            <w:r w:rsidRPr="00AD62E8">
              <w:rPr>
                <w:color w:val="auto"/>
                <w:sz w:val="20"/>
                <w:szCs w:val="20"/>
              </w:rPr>
              <w:t>&lt;2,00</w:t>
            </w:r>
          </w:p>
        </w:tc>
        <w:tc>
          <w:tcPr>
            <w:tcW w:w="1400" w:type="dxa"/>
            <w:tcBorders>
              <w:top w:val="nil"/>
              <w:left w:val="nil"/>
              <w:bottom w:val="nil"/>
              <w:right w:val="nil"/>
            </w:tcBorders>
            <w:vAlign w:val="center"/>
          </w:tcPr>
          <w:p w:rsidR="005B77DC" w:rsidRPr="00AD62E8" w:rsidRDefault="004F6C22" w:rsidP="00AD62E8">
            <w:pPr>
              <w:pStyle w:val="Normal1"/>
              <w:ind w:firstLine="0"/>
              <w:rPr>
                <w:color w:val="auto"/>
                <w:sz w:val="20"/>
                <w:szCs w:val="20"/>
              </w:rPr>
            </w:pPr>
            <w:r w:rsidRPr="00AD62E8">
              <w:rPr>
                <w:color w:val="auto"/>
                <w:sz w:val="20"/>
                <w:szCs w:val="20"/>
              </w:rPr>
              <w:t>209,9</w:t>
            </w:r>
          </w:p>
        </w:tc>
        <w:tc>
          <w:tcPr>
            <w:tcW w:w="1078" w:type="dxa"/>
            <w:tcBorders>
              <w:top w:val="nil"/>
              <w:left w:val="nil"/>
              <w:bottom w:val="nil"/>
              <w:right w:val="nil"/>
            </w:tcBorders>
            <w:shd w:val="clear" w:color="auto" w:fill="auto"/>
            <w:vAlign w:val="center"/>
          </w:tcPr>
          <w:p w:rsidR="005B77DC" w:rsidRPr="00AD62E8" w:rsidRDefault="004F6C22" w:rsidP="00AD62E8">
            <w:pPr>
              <w:pStyle w:val="Normal1"/>
              <w:ind w:firstLine="0"/>
              <w:rPr>
                <w:color w:val="auto"/>
                <w:sz w:val="20"/>
                <w:szCs w:val="20"/>
              </w:rPr>
            </w:pPr>
            <w:r w:rsidRPr="00AD62E8">
              <w:rPr>
                <w:color w:val="auto"/>
                <w:sz w:val="20"/>
                <w:szCs w:val="20"/>
              </w:rPr>
              <w:t>7</w:t>
            </w:r>
          </w:p>
        </w:tc>
      </w:tr>
      <w:tr w:rsidR="00AD62E8" w:rsidRPr="00AD62E8" w:rsidTr="00AD62E8">
        <w:trPr>
          <w:trHeight w:val="247"/>
        </w:trPr>
        <w:tc>
          <w:tcPr>
            <w:tcW w:w="880" w:type="dxa"/>
            <w:tcBorders>
              <w:top w:val="nil"/>
              <w:left w:val="nil"/>
              <w:bottom w:val="nil"/>
              <w:right w:val="nil"/>
            </w:tcBorders>
            <w:vAlign w:val="center"/>
          </w:tcPr>
          <w:p w:rsidR="005B77DC" w:rsidRPr="00AD62E8" w:rsidRDefault="004F6C22" w:rsidP="00AD62E8">
            <w:pPr>
              <w:pStyle w:val="Normal1"/>
              <w:ind w:firstLine="0"/>
              <w:rPr>
                <w:color w:val="auto"/>
                <w:sz w:val="20"/>
                <w:szCs w:val="20"/>
              </w:rPr>
            </w:pPr>
            <w:r w:rsidRPr="00AD62E8">
              <w:rPr>
                <w:color w:val="auto"/>
                <w:sz w:val="20"/>
                <w:szCs w:val="20"/>
              </w:rPr>
              <w:t>7</w:t>
            </w:r>
          </w:p>
        </w:tc>
        <w:tc>
          <w:tcPr>
            <w:tcW w:w="725" w:type="dxa"/>
            <w:tcBorders>
              <w:top w:val="nil"/>
              <w:left w:val="nil"/>
              <w:bottom w:val="nil"/>
              <w:right w:val="nil"/>
            </w:tcBorders>
            <w:vAlign w:val="center"/>
          </w:tcPr>
          <w:p w:rsidR="005B77DC" w:rsidRPr="00AD62E8" w:rsidRDefault="004F6C22" w:rsidP="00AD62E8">
            <w:pPr>
              <w:pStyle w:val="Normal1"/>
              <w:ind w:firstLine="0"/>
              <w:rPr>
                <w:color w:val="auto"/>
                <w:sz w:val="20"/>
                <w:szCs w:val="20"/>
              </w:rPr>
            </w:pPr>
            <w:r w:rsidRPr="00AD62E8">
              <w:rPr>
                <w:color w:val="auto"/>
                <w:sz w:val="20"/>
                <w:szCs w:val="20"/>
              </w:rPr>
              <w:t>3</w:t>
            </w:r>
          </w:p>
        </w:tc>
        <w:tc>
          <w:tcPr>
            <w:tcW w:w="757" w:type="dxa"/>
            <w:tcBorders>
              <w:top w:val="nil"/>
              <w:left w:val="nil"/>
              <w:bottom w:val="nil"/>
              <w:right w:val="nil"/>
            </w:tcBorders>
            <w:vAlign w:val="center"/>
          </w:tcPr>
          <w:p w:rsidR="005B77DC" w:rsidRPr="00AD62E8" w:rsidRDefault="004F6C22" w:rsidP="00AD62E8">
            <w:pPr>
              <w:pStyle w:val="Normal1"/>
              <w:ind w:firstLine="0"/>
              <w:rPr>
                <w:color w:val="auto"/>
                <w:sz w:val="20"/>
                <w:szCs w:val="20"/>
              </w:rPr>
            </w:pPr>
            <w:r w:rsidRPr="00AD62E8">
              <w:rPr>
                <w:color w:val="auto"/>
                <w:sz w:val="20"/>
                <w:szCs w:val="20"/>
              </w:rPr>
              <w:t>K</w:t>
            </w:r>
          </w:p>
        </w:tc>
        <w:tc>
          <w:tcPr>
            <w:tcW w:w="956" w:type="dxa"/>
            <w:tcBorders>
              <w:top w:val="nil"/>
              <w:left w:val="nil"/>
              <w:bottom w:val="nil"/>
              <w:right w:val="nil"/>
            </w:tcBorders>
            <w:vAlign w:val="center"/>
          </w:tcPr>
          <w:p w:rsidR="005B77DC" w:rsidRPr="00AD62E8" w:rsidRDefault="004F6C22" w:rsidP="00AD62E8">
            <w:pPr>
              <w:pStyle w:val="Normal1"/>
              <w:ind w:firstLine="0"/>
              <w:rPr>
                <w:color w:val="auto"/>
                <w:sz w:val="20"/>
                <w:szCs w:val="20"/>
              </w:rPr>
            </w:pPr>
            <w:r w:rsidRPr="00AD62E8">
              <w:rPr>
                <w:color w:val="auto"/>
                <w:sz w:val="20"/>
                <w:szCs w:val="20"/>
              </w:rPr>
              <w:t>11,9</w:t>
            </w:r>
          </w:p>
        </w:tc>
        <w:tc>
          <w:tcPr>
            <w:tcW w:w="1197" w:type="dxa"/>
            <w:tcBorders>
              <w:top w:val="nil"/>
              <w:left w:val="nil"/>
              <w:bottom w:val="nil"/>
              <w:right w:val="nil"/>
            </w:tcBorders>
            <w:vAlign w:val="center"/>
          </w:tcPr>
          <w:p w:rsidR="005B77DC" w:rsidRPr="00AD62E8" w:rsidRDefault="004F6C22" w:rsidP="00AD62E8">
            <w:pPr>
              <w:pStyle w:val="Normal1"/>
              <w:ind w:firstLine="0"/>
              <w:rPr>
                <w:color w:val="auto"/>
                <w:sz w:val="20"/>
                <w:szCs w:val="20"/>
              </w:rPr>
            </w:pPr>
            <w:r w:rsidRPr="00AD62E8">
              <w:rPr>
                <w:color w:val="auto"/>
                <w:sz w:val="20"/>
                <w:szCs w:val="20"/>
              </w:rPr>
              <w:t>10,23</w:t>
            </w:r>
          </w:p>
        </w:tc>
        <w:tc>
          <w:tcPr>
            <w:tcW w:w="1197" w:type="dxa"/>
            <w:tcBorders>
              <w:top w:val="nil"/>
              <w:left w:val="nil"/>
              <w:bottom w:val="nil"/>
              <w:right w:val="nil"/>
            </w:tcBorders>
            <w:vAlign w:val="center"/>
          </w:tcPr>
          <w:p w:rsidR="005B77DC" w:rsidRPr="00AD62E8" w:rsidRDefault="004F6C22" w:rsidP="00AD62E8">
            <w:pPr>
              <w:pStyle w:val="Normal1"/>
              <w:ind w:firstLine="0"/>
              <w:rPr>
                <w:color w:val="auto"/>
                <w:sz w:val="20"/>
                <w:szCs w:val="20"/>
              </w:rPr>
            </w:pPr>
            <w:r w:rsidRPr="00AD62E8">
              <w:rPr>
                <w:color w:val="auto"/>
                <w:sz w:val="20"/>
                <w:szCs w:val="20"/>
              </w:rPr>
              <w:t>674</w:t>
            </w:r>
          </w:p>
        </w:tc>
        <w:tc>
          <w:tcPr>
            <w:tcW w:w="1170" w:type="dxa"/>
            <w:tcBorders>
              <w:top w:val="nil"/>
              <w:left w:val="nil"/>
              <w:bottom w:val="nil"/>
              <w:right w:val="nil"/>
            </w:tcBorders>
            <w:vAlign w:val="center"/>
          </w:tcPr>
          <w:p w:rsidR="005B77DC" w:rsidRPr="00AD62E8" w:rsidRDefault="004F6C22" w:rsidP="00AD62E8">
            <w:pPr>
              <w:pStyle w:val="Normal1"/>
              <w:ind w:firstLine="0"/>
              <w:rPr>
                <w:color w:val="auto"/>
                <w:sz w:val="20"/>
                <w:szCs w:val="20"/>
              </w:rPr>
            </w:pPr>
            <w:r w:rsidRPr="00AD62E8">
              <w:rPr>
                <w:color w:val="auto"/>
                <w:sz w:val="20"/>
                <w:szCs w:val="20"/>
              </w:rPr>
              <w:t>22,61</w:t>
            </w:r>
          </w:p>
        </w:tc>
        <w:tc>
          <w:tcPr>
            <w:tcW w:w="1115" w:type="dxa"/>
            <w:tcBorders>
              <w:top w:val="nil"/>
              <w:left w:val="nil"/>
              <w:bottom w:val="nil"/>
              <w:right w:val="nil"/>
            </w:tcBorders>
            <w:vAlign w:val="center"/>
          </w:tcPr>
          <w:p w:rsidR="005B77DC" w:rsidRPr="00AD62E8" w:rsidRDefault="004F6C22" w:rsidP="00AD62E8">
            <w:pPr>
              <w:pStyle w:val="Normal1"/>
              <w:ind w:firstLine="0"/>
              <w:rPr>
                <w:color w:val="auto"/>
                <w:sz w:val="20"/>
                <w:szCs w:val="20"/>
              </w:rPr>
            </w:pPr>
            <w:r w:rsidRPr="00AD62E8">
              <w:rPr>
                <w:color w:val="auto"/>
                <w:sz w:val="20"/>
                <w:szCs w:val="20"/>
              </w:rPr>
              <w:t>93</w:t>
            </w:r>
          </w:p>
        </w:tc>
        <w:tc>
          <w:tcPr>
            <w:tcW w:w="1115" w:type="dxa"/>
            <w:tcBorders>
              <w:top w:val="nil"/>
              <w:left w:val="nil"/>
              <w:bottom w:val="nil"/>
              <w:right w:val="nil"/>
            </w:tcBorders>
            <w:vAlign w:val="center"/>
          </w:tcPr>
          <w:p w:rsidR="005B77DC" w:rsidRPr="00AD62E8" w:rsidRDefault="004F6C22" w:rsidP="00AD62E8">
            <w:pPr>
              <w:pStyle w:val="Normal1"/>
              <w:ind w:firstLine="0"/>
              <w:rPr>
                <w:color w:val="auto"/>
                <w:sz w:val="20"/>
                <w:szCs w:val="20"/>
              </w:rPr>
            </w:pPr>
            <w:r w:rsidRPr="00AD62E8">
              <w:rPr>
                <w:color w:val="auto"/>
                <w:sz w:val="20"/>
                <w:szCs w:val="20"/>
              </w:rPr>
              <w:t>234</w:t>
            </w:r>
          </w:p>
        </w:tc>
        <w:tc>
          <w:tcPr>
            <w:tcW w:w="1031" w:type="dxa"/>
            <w:tcBorders>
              <w:top w:val="nil"/>
              <w:left w:val="nil"/>
              <w:bottom w:val="nil"/>
              <w:right w:val="nil"/>
            </w:tcBorders>
            <w:vAlign w:val="center"/>
          </w:tcPr>
          <w:p w:rsidR="005B77DC" w:rsidRPr="00AD62E8" w:rsidRDefault="004F6C22" w:rsidP="00AD62E8">
            <w:pPr>
              <w:pStyle w:val="Normal1"/>
              <w:ind w:firstLine="0"/>
              <w:rPr>
                <w:color w:val="auto"/>
                <w:sz w:val="20"/>
                <w:szCs w:val="20"/>
              </w:rPr>
            </w:pPr>
            <w:r w:rsidRPr="00AD62E8">
              <w:rPr>
                <w:color w:val="auto"/>
                <w:sz w:val="20"/>
                <w:szCs w:val="20"/>
              </w:rPr>
              <w:t>&lt;2,00</w:t>
            </w:r>
          </w:p>
        </w:tc>
        <w:tc>
          <w:tcPr>
            <w:tcW w:w="1400" w:type="dxa"/>
            <w:tcBorders>
              <w:top w:val="nil"/>
              <w:left w:val="nil"/>
              <w:bottom w:val="nil"/>
              <w:right w:val="nil"/>
            </w:tcBorders>
            <w:vAlign w:val="center"/>
          </w:tcPr>
          <w:p w:rsidR="005B77DC" w:rsidRPr="00AD62E8" w:rsidRDefault="004F6C22" w:rsidP="00AD62E8">
            <w:pPr>
              <w:pStyle w:val="Normal1"/>
              <w:ind w:firstLine="0"/>
              <w:rPr>
                <w:color w:val="auto"/>
                <w:sz w:val="20"/>
                <w:szCs w:val="20"/>
              </w:rPr>
            </w:pPr>
            <w:r w:rsidRPr="00AD62E8">
              <w:rPr>
                <w:color w:val="auto"/>
                <w:sz w:val="20"/>
                <w:szCs w:val="20"/>
              </w:rPr>
              <w:t>249,8</w:t>
            </w:r>
          </w:p>
        </w:tc>
        <w:tc>
          <w:tcPr>
            <w:tcW w:w="1078" w:type="dxa"/>
            <w:tcBorders>
              <w:top w:val="nil"/>
              <w:left w:val="nil"/>
              <w:bottom w:val="nil"/>
              <w:right w:val="nil"/>
            </w:tcBorders>
            <w:shd w:val="clear" w:color="auto" w:fill="auto"/>
            <w:vAlign w:val="center"/>
          </w:tcPr>
          <w:p w:rsidR="005B77DC" w:rsidRPr="00AD62E8" w:rsidRDefault="004F6C22" w:rsidP="00AD62E8">
            <w:pPr>
              <w:pStyle w:val="Normal1"/>
              <w:ind w:firstLine="0"/>
              <w:rPr>
                <w:color w:val="auto"/>
                <w:sz w:val="20"/>
                <w:szCs w:val="20"/>
              </w:rPr>
            </w:pPr>
            <w:r w:rsidRPr="00AD62E8">
              <w:rPr>
                <w:color w:val="auto"/>
                <w:sz w:val="20"/>
                <w:szCs w:val="20"/>
              </w:rPr>
              <w:t>8</w:t>
            </w:r>
          </w:p>
        </w:tc>
      </w:tr>
      <w:tr w:rsidR="00AD62E8" w:rsidRPr="00AD62E8" w:rsidTr="00AD62E8">
        <w:trPr>
          <w:trHeight w:val="247"/>
        </w:trPr>
        <w:tc>
          <w:tcPr>
            <w:tcW w:w="880" w:type="dxa"/>
            <w:tcBorders>
              <w:top w:val="nil"/>
              <w:left w:val="nil"/>
              <w:bottom w:val="nil"/>
              <w:right w:val="nil"/>
            </w:tcBorders>
            <w:vAlign w:val="center"/>
          </w:tcPr>
          <w:p w:rsidR="005B77DC" w:rsidRPr="00AD62E8" w:rsidRDefault="004F6C22" w:rsidP="00AD62E8">
            <w:pPr>
              <w:pStyle w:val="Normal1"/>
              <w:ind w:firstLine="0"/>
              <w:rPr>
                <w:color w:val="auto"/>
                <w:sz w:val="20"/>
                <w:szCs w:val="20"/>
              </w:rPr>
            </w:pPr>
            <w:r w:rsidRPr="00AD62E8">
              <w:rPr>
                <w:color w:val="auto"/>
                <w:sz w:val="20"/>
                <w:szCs w:val="20"/>
              </w:rPr>
              <w:t>8</w:t>
            </w:r>
          </w:p>
        </w:tc>
        <w:tc>
          <w:tcPr>
            <w:tcW w:w="725" w:type="dxa"/>
            <w:tcBorders>
              <w:top w:val="nil"/>
              <w:left w:val="nil"/>
              <w:bottom w:val="nil"/>
              <w:right w:val="nil"/>
            </w:tcBorders>
            <w:vAlign w:val="center"/>
          </w:tcPr>
          <w:p w:rsidR="005B77DC" w:rsidRPr="00AD62E8" w:rsidRDefault="004F6C22" w:rsidP="00AD62E8">
            <w:pPr>
              <w:pStyle w:val="Normal1"/>
              <w:ind w:firstLine="0"/>
              <w:rPr>
                <w:color w:val="auto"/>
                <w:sz w:val="20"/>
                <w:szCs w:val="20"/>
              </w:rPr>
            </w:pPr>
            <w:r w:rsidRPr="00AD62E8">
              <w:rPr>
                <w:color w:val="auto"/>
                <w:sz w:val="20"/>
                <w:szCs w:val="20"/>
              </w:rPr>
              <w:t>5</w:t>
            </w:r>
          </w:p>
        </w:tc>
        <w:tc>
          <w:tcPr>
            <w:tcW w:w="757" w:type="dxa"/>
            <w:tcBorders>
              <w:top w:val="nil"/>
              <w:left w:val="nil"/>
              <w:bottom w:val="nil"/>
              <w:right w:val="nil"/>
            </w:tcBorders>
            <w:vAlign w:val="center"/>
          </w:tcPr>
          <w:p w:rsidR="005B77DC" w:rsidRPr="00AD62E8" w:rsidRDefault="004F6C22" w:rsidP="00AD62E8">
            <w:pPr>
              <w:pStyle w:val="Normal1"/>
              <w:ind w:firstLine="0"/>
              <w:rPr>
                <w:color w:val="auto"/>
                <w:sz w:val="20"/>
                <w:szCs w:val="20"/>
              </w:rPr>
            </w:pPr>
            <w:r w:rsidRPr="00AD62E8">
              <w:rPr>
                <w:color w:val="auto"/>
                <w:sz w:val="20"/>
                <w:szCs w:val="20"/>
              </w:rPr>
              <w:t>K</w:t>
            </w:r>
          </w:p>
        </w:tc>
        <w:tc>
          <w:tcPr>
            <w:tcW w:w="956" w:type="dxa"/>
            <w:tcBorders>
              <w:top w:val="nil"/>
              <w:left w:val="nil"/>
              <w:bottom w:val="nil"/>
              <w:right w:val="nil"/>
            </w:tcBorders>
            <w:vAlign w:val="center"/>
          </w:tcPr>
          <w:p w:rsidR="005B77DC" w:rsidRPr="00AD62E8" w:rsidRDefault="004F6C22" w:rsidP="00AD62E8">
            <w:pPr>
              <w:pStyle w:val="Normal1"/>
              <w:ind w:firstLine="0"/>
              <w:rPr>
                <w:color w:val="auto"/>
                <w:sz w:val="20"/>
                <w:szCs w:val="20"/>
              </w:rPr>
            </w:pPr>
            <w:r w:rsidRPr="00AD62E8">
              <w:rPr>
                <w:color w:val="auto"/>
                <w:sz w:val="20"/>
                <w:szCs w:val="20"/>
              </w:rPr>
              <w:t>10,9</w:t>
            </w:r>
          </w:p>
        </w:tc>
        <w:tc>
          <w:tcPr>
            <w:tcW w:w="1197" w:type="dxa"/>
            <w:tcBorders>
              <w:top w:val="nil"/>
              <w:left w:val="nil"/>
              <w:bottom w:val="nil"/>
              <w:right w:val="nil"/>
            </w:tcBorders>
            <w:vAlign w:val="center"/>
          </w:tcPr>
          <w:p w:rsidR="005B77DC" w:rsidRPr="00AD62E8" w:rsidRDefault="004F6C22" w:rsidP="00AD62E8">
            <w:pPr>
              <w:pStyle w:val="Normal1"/>
              <w:ind w:firstLine="0"/>
              <w:rPr>
                <w:color w:val="auto"/>
                <w:sz w:val="20"/>
                <w:szCs w:val="20"/>
              </w:rPr>
            </w:pPr>
            <w:r w:rsidRPr="00AD62E8">
              <w:rPr>
                <w:color w:val="auto"/>
                <w:sz w:val="20"/>
                <w:szCs w:val="20"/>
              </w:rPr>
              <w:t>11,90</w:t>
            </w:r>
          </w:p>
        </w:tc>
        <w:tc>
          <w:tcPr>
            <w:tcW w:w="1197" w:type="dxa"/>
            <w:tcBorders>
              <w:top w:val="nil"/>
              <w:left w:val="nil"/>
              <w:bottom w:val="nil"/>
              <w:right w:val="nil"/>
            </w:tcBorders>
            <w:vAlign w:val="center"/>
          </w:tcPr>
          <w:p w:rsidR="005B77DC" w:rsidRPr="00AD62E8" w:rsidRDefault="004F6C22" w:rsidP="00AD62E8">
            <w:pPr>
              <w:pStyle w:val="Normal1"/>
              <w:ind w:firstLine="0"/>
              <w:rPr>
                <w:color w:val="auto"/>
                <w:sz w:val="20"/>
                <w:szCs w:val="20"/>
              </w:rPr>
            </w:pPr>
            <w:r w:rsidRPr="00AD62E8">
              <w:rPr>
                <w:color w:val="auto"/>
                <w:sz w:val="20"/>
                <w:szCs w:val="20"/>
              </w:rPr>
              <w:t>830</w:t>
            </w:r>
          </w:p>
        </w:tc>
        <w:tc>
          <w:tcPr>
            <w:tcW w:w="1170" w:type="dxa"/>
            <w:tcBorders>
              <w:top w:val="nil"/>
              <w:left w:val="nil"/>
              <w:bottom w:val="nil"/>
              <w:right w:val="nil"/>
            </w:tcBorders>
            <w:vAlign w:val="center"/>
          </w:tcPr>
          <w:p w:rsidR="005B77DC" w:rsidRPr="00AD62E8" w:rsidRDefault="004F6C22" w:rsidP="00AD62E8">
            <w:pPr>
              <w:pStyle w:val="Normal1"/>
              <w:ind w:firstLine="0"/>
              <w:rPr>
                <w:color w:val="auto"/>
                <w:sz w:val="20"/>
                <w:szCs w:val="20"/>
              </w:rPr>
            </w:pPr>
            <w:r w:rsidRPr="00AD62E8">
              <w:rPr>
                <w:color w:val="auto"/>
                <w:sz w:val="20"/>
                <w:szCs w:val="20"/>
              </w:rPr>
              <w:t>62,32</w:t>
            </w:r>
          </w:p>
        </w:tc>
        <w:tc>
          <w:tcPr>
            <w:tcW w:w="1115" w:type="dxa"/>
            <w:tcBorders>
              <w:top w:val="nil"/>
              <w:left w:val="nil"/>
              <w:bottom w:val="nil"/>
              <w:right w:val="nil"/>
            </w:tcBorders>
            <w:vAlign w:val="center"/>
          </w:tcPr>
          <w:p w:rsidR="005B77DC" w:rsidRPr="00AD62E8" w:rsidRDefault="004F6C22" w:rsidP="00AD62E8">
            <w:pPr>
              <w:pStyle w:val="Normal1"/>
              <w:ind w:firstLine="0"/>
              <w:rPr>
                <w:color w:val="auto"/>
                <w:sz w:val="20"/>
                <w:szCs w:val="20"/>
              </w:rPr>
            </w:pPr>
            <w:r w:rsidRPr="00AD62E8">
              <w:rPr>
                <w:color w:val="auto"/>
                <w:sz w:val="20"/>
                <w:szCs w:val="20"/>
              </w:rPr>
              <w:t>49</w:t>
            </w:r>
          </w:p>
        </w:tc>
        <w:tc>
          <w:tcPr>
            <w:tcW w:w="1115" w:type="dxa"/>
            <w:tcBorders>
              <w:top w:val="nil"/>
              <w:left w:val="nil"/>
              <w:bottom w:val="nil"/>
              <w:right w:val="nil"/>
            </w:tcBorders>
            <w:vAlign w:val="center"/>
          </w:tcPr>
          <w:p w:rsidR="005B77DC" w:rsidRPr="00AD62E8" w:rsidRDefault="004F6C22" w:rsidP="00AD62E8">
            <w:pPr>
              <w:pStyle w:val="Normal1"/>
              <w:ind w:firstLine="0"/>
              <w:rPr>
                <w:color w:val="auto"/>
                <w:sz w:val="20"/>
                <w:szCs w:val="20"/>
              </w:rPr>
            </w:pPr>
            <w:r w:rsidRPr="00AD62E8">
              <w:rPr>
                <w:color w:val="auto"/>
                <w:sz w:val="20"/>
                <w:szCs w:val="20"/>
              </w:rPr>
              <w:t>318</w:t>
            </w:r>
          </w:p>
        </w:tc>
        <w:tc>
          <w:tcPr>
            <w:tcW w:w="1031" w:type="dxa"/>
            <w:tcBorders>
              <w:top w:val="nil"/>
              <w:left w:val="nil"/>
              <w:bottom w:val="nil"/>
              <w:right w:val="nil"/>
            </w:tcBorders>
            <w:vAlign w:val="center"/>
          </w:tcPr>
          <w:p w:rsidR="005B77DC" w:rsidRPr="00AD62E8" w:rsidRDefault="004F6C22" w:rsidP="00AD62E8">
            <w:pPr>
              <w:pStyle w:val="Normal1"/>
              <w:ind w:firstLine="0"/>
              <w:rPr>
                <w:color w:val="auto"/>
                <w:sz w:val="20"/>
                <w:szCs w:val="20"/>
              </w:rPr>
            </w:pPr>
            <w:r w:rsidRPr="00AD62E8">
              <w:rPr>
                <w:color w:val="auto"/>
                <w:sz w:val="20"/>
                <w:szCs w:val="20"/>
              </w:rPr>
              <w:t>3,60</w:t>
            </w:r>
          </w:p>
        </w:tc>
        <w:tc>
          <w:tcPr>
            <w:tcW w:w="1400" w:type="dxa"/>
            <w:tcBorders>
              <w:top w:val="nil"/>
              <w:left w:val="nil"/>
              <w:bottom w:val="nil"/>
              <w:right w:val="nil"/>
            </w:tcBorders>
            <w:vAlign w:val="center"/>
          </w:tcPr>
          <w:p w:rsidR="005B77DC" w:rsidRPr="00AD62E8" w:rsidRDefault="004F6C22" w:rsidP="00AD62E8">
            <w:pPr>
              <w:pStyle w:val="Normal1"/>
              <w:ind w:firstLine="0"/>
              <w:rPr>
                <w:color w:val="auto"/>
                <w:sz w:val="20"/>
                <w:szCs w:val="20"/>
              </w:rPr>
            </w:pPr>
            <w:r w:rsidRPr="00AD62E8">
              <w:rPr>
                <w:color w:val="auto"/>
                <w:sz w:val="20"/>
                <w:szCs w:val="20"/>
              </w:rPr>
              <w:t>306,0</w:t>
            </w:r>
          </w:p>
        </w:tc>
        <w:tc>
          <w:tcPr>
            <w:tcW w:w="1078" w:type="dxa"/>
            <w:tcBorders>
              <w:top w:val="nil"/>
              <w:left w:val="nil"/>
              <w:bottom w:val="nil"/>
              <w:right w:val="nil"/>
            </w:tcBorders>
            <w:shd w:val="clear" w:color="auto" w:fill="auto"/>
            <w:vAlign w:val="center"/>
          </w:tcPr>
          <w:p w:rsidR="005B77DC" w:rsidRPr="00AD62E8" w:rsidRDefault="004F6C22" w:rsidP="00AD62E8">
            <w:pPr>
              <w:pStyle w:val="Normal1"/>
              <w:ind w:firstLine="0"/>
              <w:rPr>
                <w:color w:val="auto"/>
                <w:sz w:val="20"/>
                <w:szCs w:val="20"/>
              </w:rPr>
            </w:pPr>
            <w:r w:rsidRPr="00AD62E8">
              <w:rPr>
                <w:color w:val="auto"/>
                <w:sz w:val="20"/>
                <w:szCs w:val="20"/>
              </w:rPr>
              <w:t>9</w:t>
            </w:r>
          </w:p>
        </w:tc>
      </w:tr>
      <w:tr w:rsidR="00AD62E8" w:rsidRPr="00AD62E8" w:rsidTr="00AD62E8">
        <w:trPr>
          <w:trHeight w:val="247"/>
        </w:trPr>
        <w:tc>
          <w:tcPr>
            <w:tcW w:w="880" w:type="dxa"/>
            <w:tcBorders>
              <w:top w:val="nil"/>
              <w:left w:val="nil"/>
              <w:bottom w:val="nil"/>
              <w:right w:val="nil"/>
            </w:tcBorders>
            <w:vAlign w:val="center"/>
          </w:tcPr>
          <w:p w:rsidR="005B77DC" w:rsidRPr="00AD62E8" w:rsidRDefault="004F6C22" w:rsidP="00AD62E8">
            <w:pPr>
              <w:pStyle w:val="Normal1"/>
              <w:ind w:firstLine="0"/>
              <w:rPr>
                <w:color w:val="auto"/>
                <w:sz w:val="20"/>
                <w:szCs w:val="20"/>
              </w:rPr>
            </w:pPr>
            <w:r w:rsidRPr="00AD62E8">
              <w:rPr>
                <w:color w:val="auto"/>
                <w:sz w:val="20"/>
                <w:szCs w:val="20"/>
              </w:rPr>
              <w:t>9</w:t>
            </w:r>
          </w:p>
        </w:tc>
        <w:tc>
          <w:tcPr>
            <w:tcW w:w="725" w:type="dxa"/>
            <w:tcBorders>
              <w:top w:val="nil"/>
              <w:left w:val="nil"/>
              <w:bottom w:val="nil"/>
              <w:right w:val="nil"/>
            </w:tcBorders>
            <w:vAlign w:val="center"/>
          </w:tcPr>
          <w:p w:rsidR="005B77DC" w:rsidRPr="00AD62E8" w:rsidRDefault="004F6C22" w:rsidP="00AD62E8">
            <w:pPr>
              <w:pStyle w:val="Normal1"/>
              <w:ind w:firstLine="0"/>
              <w:rPr>
                <w:color w:val="auto"/>
                <w:sz w:val="20"/>
                <w:szCs w:val="20"/>
              </w:rPr>
            </w:pPr>
            <w:r w:rsidRPr="00AD62E8">
              <w:rPr>
                <w:color w:val="auto"/>
                <w:sz w:val="20"/>
                <w:szCs w:val="20"/>
              </w:rPr>
              <w:t>8</w:t>
            </w:r>
          </w:p>
        </w:tc>
        <w:tc>
          <w:tcPr>
            <w:tcW w:w="757" w:type="dxa"/>
            <w:tcBorders>
              <w:top w:val="nil"/>
              <w:left w:val="nil"/>
              <w:bottom w:val="nil"/>
              <w:right w:val="nil"/>
            </w:tcBorders>
            <w:vAlign w:val="center"/>
          </w:tcPr>
          <w:p w:rsidR="005B77DC" w:rsidRPr="00AD62E8" w:rsidRDefault="004F6C22" w:rsidP="00AD62E8">
            <w:pPr>
              <w:pStyle w:val="Normal1"/>
              <w:ind w:firstLine="0"/>
              <w:rPr>
                <w:color w:val="auto"/>
                <w:sz w:val="20"/>
                <w:szCs w:val="20"/>
              </w:rPr>
            </w:pPr>
            <w:r w:rsidRPr="00AD62E8">
              <w:rPr>
                <w:color w:val="auto"/>
                <w:sz w:val="20"/>
                <w:szCs w:val="20"/>
              </w:rPr>
              <w:t>E</w:t>
            </w:r>
          </w:p>
        </w:tc>
        <w:tc>
          <w:tcPr>
            <w:tcW w:w="956" w:type="dxa"/>
            <w:tcBorders>
              <w:top w:val="nil"/>
              <w:left w:val="nil"/>
              <w:bottom w:val="nil"/>
              <w:right w:val="nil"/>
            </w:tcBorders>
            <w:vAlign w:val="center"/>
          </w:tcPr>
          <w:p w:rsidR="005B77DC" w:rsidRPr="00AD62E8" w:rsidRDefault="004F6C22" w:rsidP="00AD62E8">
            <w:pPr>
              <w:pStyle w:val="Normal1"/>
              <w:ind w:firstLine="0"/>
              <w:rPr>
                <w:color w:val="auto"/>
                <w:sz w:val="20"/>
                <w:szCs w:val="20"/>
              </w:rPr>
            </w:pPr>
            <w:r w:rsidRPr="00AD62E8">
              <w:rPr>
                <w:color w:val="auto"/>
                <w:sz w:val="20"/>
                <w:szCs w:val="20"/>
              </w:rPr>
              <w:t>12,5</w:t>
            </w:r>
          </w:p>
        </w:tc>
        <w:tc>
          <w:tcPr>
            <w:tcW w:w="1197" w:type="dxa"/>
            <w:tcBorders>
              <w:top w:val="nil"/>
              <w:left w:val="nil"/>
              <w:bottom w:val="nil"/>
              <w:right w:val="nil"/>
            </w:tcBorders>
            <w:vAlign w:val="center"/>
          </w:tcPr>
          <w:p w:rsidR="005B77DC" w:rsidRPr="00AD62E8" w:rsidRDefault="004F6C22" w:rsidP="00AD62E8">
            <w:pPr>
              <w:pStyle w:val="Normal1"/>
              <w:ind w:firstLine="0"/>
              <w:rPr>
                <w:color w:val="auto"/>
                <w:sz w:val="20"/>
                <w:szCs w:val="20"/>
              </w:rPr>
            </w:pPr>
            <w:r w:rsidRPr="00AD62E8">
              <w:rPr>
                <w:color w:val="auto"/>
                <w:sz w:val="20"/>
                <w:szCs w:val="20"/>
              </w:rPr>
              <w:t>8,03</w:t>
            </w:r>
          </w:p>
        </w:tc>
        <w:tc>
          <w:tcPr>
            <w:tcW w:w="1197" w:type="dxa"/>
            <w:tcBorders>
              <w:top w:val="nil"/>
              <w:left w:val="nil"/>
              <w:bottom w:val="nil"/>
              <w:right w:val="nil"/>
            </w:tcBorders>
            <w:vAlign w:val="center"/>
          </w:tcPr>
          <w:p w:rsidR="005B77DC" w:rsidRPr="00AD62E8" w:rsidRDefault="004F6C22" w:rsidP="00AD62E8">
            <w:pPr>
              <w:pStyle w:val="Normal1"/>
              <w:ind w:firstLine="0"/>
              <w:rPr>
                <w:color w:val="auto"/>
                <w:sz w:val="20"/>
                <w:szCs w:val="20"/>
              </w:rPr>
            </w:pPr>
            <w:r w:rsidRPr="00AD62E8">
              <w:rPr>
                <w:color w:val="auto"/>
                <w:sz w:val="20"/>
                <w:szCs w:val="20"/>
              </w:rPr>
              <w:t>571</w:t>
            </w:r>
          </w:p>
        </w:tc>
        <w:tc>
          <w:tcPr>
            <w:tcW w:w="1170" w:type="dxa"/>
            <w:tcBorders>
              <w:top w:val="nil"/>
              <w:left w:val="nil"/>
              <w:bottom w:val="nil"/>
              <w:right w:val="nil"/>
            </w:tcBorders>
            <w:vAlign w:val="center"/>
          </w:tcPr>
          <w:p w:rsidR="005B77DC" w:rsidRPr="00AD62E8" w:rsidRDefault="004F6C22" w:rsidP="00AD62E8">
            <w:pPr>
              <w:pStyle w:val="Normal1"/>
              <w:ind w:firstLine="0"/>
              <w:rPr>
                <w:color w:val="auto"/>
                <w:sz w:val="20"/>
                <w:szCs w:val="20"/>
              </w:rPr>
            </w:pPr>
            <w:r w:rsidRPr="00AD62E8">
              <w:rPr>
                <w:color w:val="auto"/>
                <w:sz w:val="20"/>
                <w:szCs w:val="20"/>
              </w:rPr>
              <w:t>21,86</w:t>
            </w:r>
          </w:p>
        </w:tc>
        <w:tc>
          <w:tcPr>
            <w:tcW w:w="1115" w:type="dxa"/>
            <w:tcBorders>
              <w:top w:val="nil"/>
              <w:left w:val="nil"/>
              <w:bottom w:val="nil"/>
              <w:right w:val="nil"/>
            </w:tcBorders>
            <w:vAlign w:val="center"/>
          </w:tcPr>
          <w:p w:rsidR="005B77DC" w:rsidRPr="00AD62E8" w:rsidRDefault="004F6C22" w:rsidP="00AD62E8">
            <w:pPr>
              <w:pStyle w:val="Normal1"/>
              <w:ind w:firstLine="0"/>
              <w:rPr>
                <w:color w:val="auto"/>
                <w:sz w:val="20"/>
                <w:szCs w:val="20"/>
              </w:rPr>
            </w:pPr>
            <w:r w:rsidRPr="00AD62E8">
              <w:rPr>
                <w:color w:val="auto"/>
                <w:sz w:val="20"/>
                <w:szCs w:val="20"/>
              </w:rPr>
              <w:t>79</w:t>
            </w:r>
          </w:p>
        </w:tc>
        <w:tc>
          <w:tcPr>
            <w:tcW w:w="1115" w:type="dxa"/>
            <w:tcBorders>
              <w:top w:val="nil"/>
              <w:left w:val="nil"/>
              <w:bottom w:val="nil"/>
              <w:right w:val="nil"/>
            </w:tcBorders>
            <w:vAlign w:val="center"/>
          </w:tcPr>
          <w:p w:rsidR="005B77DC" w:rsidRPr="00AD62E8" w:rsidRDefault="004F6C22" w:rsidP="00AD62E8">
            <w:pPr>
              <w:pStyle w:val="Normal1"/>
              <w:ind w:firstLine="0"/>
              <w:rPr>
                <w:color w:val="auto"/>
                <w:sz w:val="20"/>
                <w:szCs w:val="20"/>
              </w:rPr>
            </w:pPr>
            <w:r w:rsidRPr="00AD62E8">
              <w:rPr>
                <w:color w:val="auto"/>
                <w:sz w:val="20"/>
                <w:szCs w:val="20"/>
              </w:rPr>
              <w:t>252</w:t>
            </w:r>
          </w:p>
        </w:tc>
        <w:tc>
          <w:tcPr>
            <w:tcW w:w="1031" w:type="dxa"/>
            <w:tcBorders>
              <w:top w:val="nil"/>
              <w:left w:val="nil"/>
              <w:bottom w:val="nil"/>
              <w:right w:val="nil"/>
            </w:tcBorders>
            <w:vAlign w:val="center"/>
          </w:tcPr>
          <w:p w:rsidR="005B77DC" w:rsidRPr="00AD62E8" w:rsidRDefault="004F6C22" w:rsidP="00AD62E8">
            <w:pPr>
              <w:pStyle w:val="Normal1"/>
              <w:ind w:firstLine="0"/>
              <w:rPr>
                <w:color w:val="auto"/>
                <w:sz w:val="20"/>
                <w:szCs w:val="20"/>
              </w:rPr>
            </w:pPr>
            <w:r w:rsidRPr="00AD62E8">
              <w:rPr>
                <w:color w:val="auto"/>
                <w:sz w:val="20"/>
                <w:szCs w:val="20"/>
              </w:rPr>
              <w:t>&lt;2,00</w:t>
            </w:r>
          </w:p>
        </w:tc>
        <w:tc>
          <w:tcPr>
            <w:tcW w:w="1400" w:type="dxa"/>
            <w:tcBorders>
              <w:top w:val="nil"/>
              <w:left w:val="nil"/>
              <w:bottom w:val="nil"/>
              <w:right w:val="nil"/>
            </w:tcBorders>
            <w:vAlign w:val="center"/>
          </w:tcPr>
          <w:p w:rsidR="005B77DC" w:rsidRPr="00AD62E8" w:rsidRDefault="004F6C22" w:rsidP="00AD62E8">
            <w:pPr>
              <w:pStyle w:val="Normal1"/>
              <w:ind w:firstLine="0"/>
              <w:rPr>
                <w:color w:val="auto"/>
                <w:sz w:val="20"/>
                <w:szCs w:val="20"/>
              </w:rPr>
            </w:pPr>
            <w:r w:rsidRPr="00AD62E8">
              <w:rPr>
                <w:color w:val="auto"/>
                <w:sz w:val="20"/>
                <w:szCs w:val="20"/>
              </w:rPr>
              <w:t>241,6</w:t>
            </w:r>
          </w:p>
        </w:tc>
        <w:tc>
          <w:tcPr>
            <w:tcW w:w="1078" w:type="dxa"/>
            <w:tcBorders>
              <w:top w:val="nil"/>
              <w:left w:val="nil"/>
              <w:bottom w:val="nil"/>
              <w:right w:val="nil"/>
            </w:tcBorders>
            <w:shd w:val="clear" w:color="auto" w:fill="auto"/>
            <w:vAlign w:val="center"/>
          </w:tcPr>
          <w:p w:rsidR="005B77DC" w:rsidRPr="00AD62E8" w:rsidRDefault="004F6C22" w:rsidP="00AD62E8">
            <w:pPr>
              <w:pStyle w:val="Normal1"/>
              <w:ind w:firstLine="0"/>
              <w:rPr>
                <w:color w:val="auto"/>
                <w:sz w:val="20"/>
                <w:szCs w:val="20"/>
              </w:rPr>
            </w:pPr>
            <w:r w:rsidRPr="00AD62E8">
              <w:rPr>
                <w:color w:val="auto"/>
                <w:sz w:val="20"/>
                <w:szCs w:val="20"/>
              </w:rPr>
              <w:t>8</w:t>
            </w:r>
          </w:p>
        </w:tc>
      </w:tr>
      <w:tr w:rsidR="00AD62E8" w:rsidRPr="00AD62E8" w:rsidTr="00AD62E8">
        <w:trPr>
          <w:trHeight w:val="247"/>
        </w:trPr>
        <w:tc>
          <w:tcPr>
            <w:tcW w:w="880" w:type="dxa"/>
            <w:tcBorders>
              <w:top w:val="nil"/>
              <w:left w:val="nil"/>
              <w:bottom w:val="nil"/>
              <w:right w:val="nil"/>
            </w:tcBorders>
            <w:vAlign w:val="center"/>
          </w:tcPr>
          <w:p w:rsidR="005B77DC" w:rsidRPr="00AD62E8" w:rsidRDefault="004F6C22" w:rsidP="00AD62E8">
            <w:pPr>
              <w:pStyle w:val="Normal1"/>
              <w:ind w:firstLine="0"/>
              <w:rPr>
                <w:color w:val="auto"/>
                <w:sz w:val="20"/>
                <w:szCs w:val="20"/>
              </w:rPr>
            </w:pPr>
            <w:r w:rsidRPr="00AD62E8">
              <w:rPr>
                <w:color w:val="auto"/>
                <w:sz w:val="20"/>
                <w:szCs w:val="20"/>
              </w:rPr>
              <w:t>10</w:t>
            </w:r>
          </w:p>
        </w:tc>
        <w:tc>
          <w:tcPr>
            <w:tcW w:w="725" w:type="dxa"/>
            <w:tcBorders>
              <w:top w:val="nil"/>
              <w:left w:val="nil"/>
              <w:bottom w:val="nil"/>
              <w:right w:val="nil"/>
            </w:tcBorders>
            <w:vAlign w:val="center"/>
          </w:tcPr>
          <w:p w:rsidR="005B77DC" w:rsidRPr="00AD62E8" w:rsidRDefault="004F6C22" w:rsidP="00AD62E8">
            <w:pPr>
              <w:pStyle w:val="Normal1"/>
              <w:ind w:firstLine="0"/>
              <w:rPr>
                <w:color w:val="auto"/>
                <w:sz w:val="20"/>
                <w:szCs w:val="20"/>
              </w:rPr>
            </w:pPr>
            <w:r w:rsidRPr="00AD62E8">
              <w:rPr>
                <w:color w:val="auto"/>
                <w:sz w:val="20"/>
                <w:szCs w:val="20"/>
              </w:rPr>
              <w:t>8</w:t>
            </w:r>
          </w:p>
        </w:tc>
        <w:tc>
          <w:tcPr>
            <w:tcW w:w="757" w:type="dxa"/>
            <w:tcBorders>
              <w:top w:val="nil"/>
              <w:left w:val="nil"/>
              <w:bottom w:val="nil"/>
              <w:right w:val="nil"/>
            </w:tcBorders>
            <w:vAlign w:val="center"/>
          </w:tcPr>
          <w:p w:rsidR="005B77DC" w:rsidRPr="00AD62E8" w:rsidRDefault="004F6C22" w:rsidP="00AD62E8">
            <w:pPr>
              <w:pStyle w:val="Normal1"/>
              <w:ind w:firstLine="0"/>
              <w:rPr>
                <w:color w:val="auto"/>
                <w:sz w:val="20"/>
                <w:szCs w:val="20"/>
              </w:rPr>
            </w:pPr>
            <w:r w:rsidRPr="00AD62E8">
              <w:rPr>
                <w:color w:val="auto"/>
                <w:sz w:val="20"/>
                <w:szCs w:val="20"/>
              </w:rPr>
              <w:t>K</w:t>
            </w:r>
          </w:p>
        </w:tc>
        <w:tc>
          <w:tcPr>
            <w:tcW w:w="956" w:type="dxa"/>
            <w:tcBorders>
              <w:top w:val="nil"/>
              <w:left w:val="nil"/>
              <w:bottom w:val="nil"/>
              <w:right w:val="nil"/>
            </w:tcBorders>
            <w:vAlign w:val="center"/>
          </w:tcPr>
          <w:p w:rsidR="005B77DC" w:rsidRPr="00AD62E8" w:rsidRDefault="004F6C22" w:rsidP="00AD62E8">
            <w:pPr>
              <w:pStyle w:val="Normal1"/>
              <w:ind w:firstLine="0"/>
              <w:rPr>
                <w:color w:val="auto"/>
                <w:sz w:val="20"/>
                <w:szCs w:val="20"/>
              </w:rPr>
            </w:pPr>
            <w:r w:rsidRPr="00AD62E8">
              <w:rPr>
                <w:color w:val="auto"/>
                <w:sz w:val="20"/>
                <w:szCs w:val="20"/>
              </w:rPr>
              <w:t>13,6</w:t>
            </w:r>
          </w:p>
        </w:tc>
        <w:tc>
          <w:tcPr>
            <w:tcW w:w="1197" w:type="dxa"/>
            <w:tcBorders>
              <w:top w:val="nil"/>
              <w:left w:val="nil"/>
              <w:bottom w:val="nil"/>
              <w:right w:val="nil"/>
            </w:tcBorders>
            <w:vAlign w:val="center"/>
          </w:tcPr>
          <w:p w:rsidR="005B77DC" w:rsidRPr="00AD62E8" w:rsidRDefault="004F6C22" w:rsidP="00AD62E8">
            <w:pPr>
              <w:pStyle w:val="Normal1"/>
              <w:ind w:firstLine="0"/>
              <w:rPr>
                <w:color w:val="auto"/>
                <w:sz w:val="20"/>
                <w:szCs w:val="20"/>
              </w:rPr>
            </w:pPr>
            <w:r w:rsidRPr="00AD62E8">
              <w:rPr>
                <w:color w:val="auto"/>
                <w:sz w:val="20"/>
                <w:szCs w:val="20"/>
              </w:rPr>
              <w:t>11,29</w:t>
            </w:r>
          </w:p>
        </w:tc>
        <w:tc>
          <w:tcPr>
            <w:tcW w:w="1197" w:type="dxa"/>
            <w:tcBorders>
              <w:top w:val="nil"/>
              <w:left w:val="nil"/>
              <w:bottom w:val="nil"/>
              <w:right w:val="nil"/>
            </w:tcBorders>
            <w:vAlign w:val="center"/>
          </w:tcPr>
          <w:p w:rsidR="005B77DC" w:rsidRPr="00AD62E8" w:rsidRDefault="004F6C22" w:rsidP="00AD62E8">
            <w:pPr>
              <w:pStyle w:val="Normal1"/>
              <w:ind w:firstLine="0"/>
              <w:rPr>
                <w:color w:val="auto"/>
                <w:sz w:val="20"/>
                <w:szCs w:val="20"/>
              </w:rPr>
            </w:pPr>
            <w:r w:rsidRPr="00AD62E8">
              <w:rPr>
                <w:color w:val="auto"/>
                <w:sz w:val="20"/>
                <w:szCs w:val="20"/>
              </w:rPr>
              <w:t>604</w:t>
            </w:r>
          </w:p>
        </w:tc>
        <w:tc>
          <w:tcPr>
            <w:tcW w:w="1170" w:type="dxa"/>
            <w:tcBorders>
              <w:top w:val="nil"/>
              <w:left w:val="nil"/>
              <w:bottom w:val="nil"/>
              <w:right w:val="nil"/>
            </w:tcBorders>
            <w:vAlign w:val="center"/>
          </w:tcPr>
          <w:p w:rsidR="005B77DC" w:rsidRPr="00AD62E8" w:rsidRDefault="004F6C22" w:rsidP="00AD62E8">
            <w:pPr>
              <w:pStyle w:val="Normal1"/>
              <w:ind w:firstLine="0"/>
              <w:rPr>
                <w:color w:val="auto"/>
                <w:sz w:val="20"/>
                <w:szCs w:val="20"/>
              </w:rPr>
            </w:pPr>
            <w:r w:rsidRPr="00AD62E8">
              <w:rPr>
                <w:color w:val="auto"/>
                <w:sz w:val="20"/>
                <w:szCs w:val="20"/>
              </w:rPr>
              <w:t>24,67</w:t>
            </w:r>
          </w:p>
        </w:tc>
        <w:tc>
          <w:tcPr>
            <w:tcW w:w="1115" w:type="dxa"/>
            <w:tcBorders>
              <w:top w:val="nil"/>
              <w:left w:val="nil"/>
              <w:bottom w:val="nil"/>
              <w:right w:val="nil"/>
            </w:tcBorders>
            <w:vAlign w:val="center"/>
          </w:tcPr>
          <w:p w:rsidR="005B77DC" w:rsidRPr="00AD62E8" w:rsidRDefault="004F6C22" w:rsidP="00AD62E8">
            <w:pPr>
              <w:pStyle w:val="Normal1"/>
              <w:ind w:firstLine="0"/>
              <w:rPr>
                <w:color w:val="auto"/>
                <w:sz w:val="20"/>
                <w:szCs w:val="20"/>
              </w:rPr>
            </w:pPr>
            <w:r w:rsidRPr="00AD62E8">
              <w:rPr>
                <w:color w:val="auto"/>
                <w:sz w:val="20"/>
                <w:szCs w:val="20"/>
              </w:rPr>
              <w:t>61</w:t>
            </w:r>
          </w:p>
        </w:tc>
        <w:tc>
          <w:tcPr>
            <w:tcW w:w="1115" w:type="dxa"/>
            <w:tcBorders>
              <w:top w:val="nil"/>
              <w:left w:val="nil"/>
              <w:bottom w:val="nil"/>
              <w:right w:val="nil"/>
            </w:tcBorders>
            <w:vAlign w:val="center"/>
          </w:tcPr>
          <w:p w:rsidR="005B77DC" w:rsidRPr="00AD62E8" w:rsidRDefault="004F6C22" w:rsidP="00AD62E8">
            <w:pPr>
              <w:pStyle w:val="Normal1"/>
              <w:ind w:firstLine="0"/>
              <w:rPr>
                <w:color w:val="auto"/>
                <w:sz w:val="20"/>
                <w:szCs w:val="20"/>
              </w:rPr>
            </w:pPr>
            <w:r w:rsidRPr="00AD62E8">
              <w:rPr>
                <w:color w:val="auto"/>
                <w:sz w:val="20"/>
                <w:szCs w:val="20"/>
              </w:rPr>
              <w:t>298</w:t>
            </w:r>
          </w:p>
        </w:tc>
        <w:tc>
          <w:tcPr>
            <w:tcW w:w="1031" w:type="dxa"/>
            <w:tcBorders>
              <w:top w:val="nil"/>
              <w:left w:val="nil"/>
              <w:bottom w:val="nil"/>
              <w:right w:val="nil"/>
            </w:tcBorders>
            <w:vAlign w:val="center"/>
          </w:tcPr>
          <w:p w:rsidR="005B77DC" w:rsidRPr="00AD62E8" w:rsidRDefault="004F6C22" w:rsidP="00AD62E8">
            <w:pPr>
              <w:pStyle w:val="Normal1"/>
              <w:ind w:firstLine="0"/>
              <w:rPr>
                <w:color w:val="auto"/>
                <w:sz w:val="20"/>
                <w:szCs w:val="20"/>
              </w:rPr>
            </w:pPr>
            <w:r w:rsidRPr="00AD62E8">
              <w:rPr>
                <w:color w:val="auto"/>
                <w:sz w:val="20"/>
                <w:szCs w:val="20"/>
              </w:rPr>
              <w:t>2,60</w:t>
            </w:r>
          </w:p>
        </w:tc>
        <w:tc>
          <w:tcPr>
            <w:tcW w:w="1400" w:type="dxa"/>
            <w:tcBorders>
              <w:top w:val="nil"/>
              <w:left w:val="nil"/>
              <w:bottom w:val="nil"/>
              <w:right w:val="nil"/>
            </w:tcBorders>
            <w:vAlign w:val="center"/>
          </w:tcPr>
          <w:p w:rsidR="005B77DC" w:rsidRPr="00AD62E8" w:rsidRDefault="004F6C22" w:rsidP="00AD62E8">
            <w:pPr>
              <w:pStyle w:val="Normal1"/>
              <w:ind w:firstLine="0"/>
              <w:rPr>
                <w:color w:val="auto"/>
                <w:sz w:val="20"/>
                <w:szCs w:val="20"/>
              </w:rPr>
            </w:pPr>
            <w:r w:rsidRPr="00AD62E8">
              <w:rPr>
                <w:color w:val="auto"/>
                <w:sz w:val="20"/>
                <w:szCs w:val="20"/>
              </w:rPr>
              <w:t>349,0</w:t>
            </w:r>
          </w:p>
        </w:tc>
        <w:tc>
          <w:tcPr>
            <w:tcW w:w="1078" w:type="dxa"/>
            <w:tcBorders>
              <w:top w:val="nil"/>
              <w:left w:val="nil"/>
              <w:bottom w:val="nil"/>
              <w:right w:val="nil"/>
            </w:tcBorders>
            <w:shd w:val="clear" w:color="auto" w:fill="auto"/>
            <w:vAlign w:val="center"/>
          </w:tcPr>
          <w:p w:rsidR="005B77DC" w:rsidRPr="00AD62E8" w:rsidRDefault="004F6C22" w:rsidP="00AD62E8">
            <w:pPr>
              <w:pStyle w:val="Normal1"/>
              <w:ind w:firstLine="0"/>
              <w:rPr>
                <w:color w:val="auto"/>
                <w:sz w:val="20"/>
                <w:szCs w:val="20"/>
              </w:rPr>
            </w:pPr>
            <w:r w:rsidRPr="00AD62E8">
              <w:rPr>
                <w:color w:val="auto"/>
                <w:sz w:val="20"/>
                <w:szCs w:val="20"/>
              </w:rPr>
              <w:t>13</w:t>
            </w:r>
          </w:p>
        </w:tc>
      </w:tr>
      <w:tr w:rsidR="00AD62E8" w:rsidRPr="00AD62E8" w:rsidTr="00AD62E8">
        <w:trPr>
          <w:trHeight w:val="247"/>
        </w:trPr>
        <w:tc>
          <w:tcPr>
            <w:tcW w:w="880" w:type="dxa"/>
            <w:tcBorders>
              <w:top w:val="nil"/>
              <w:left w:val="nil"/>
              <w:bottom w:val="nil"/>
              <w:right w:val="nil"/>
            </w:tcBorders>
            <w:vAlign w:val="center"/>
          </w:tcPr>
          <w:p w:rsidR="005B77DC" w:rsidRPr="00AD62E8" w:rsidRDefault="004F6C22" w:rsidP="00AD62E8">
            <w:pPr>
              <w:pStyle w:val="Normal1"/>
              <w:ind w:firstLine="0"/>
              <w:rPr>
                <w:color w:val="auto"/>
                <w:sz w:val="20"/>
                <w:szCs w:val="20"/>
              </w:rPr>
            </w:pPr>
            <w:r w:rsidRPr="00AD62E8">
              <w:rPr>
                <w:color w:val="auto"/>
                <w:sz w:val="20"/>
                <w:szCs w:val="20"/>
              </w:rPr>
              <w:t>11</w:t>
            </w:r>
          </w:p>
        </w:tc>
        <w:tc>
          <w:tcPr>
            <w:tcW w:w="725" w:type="dxa"/>
            <w:tcBorders>
              <w:top w:val="nil"/>
              <w:left w:val="nil"/>
              <w:bottom w:val="nil"/>
              <w:right w:val="nil"/>
            </w:tcBorders>
            <w:vAlign w:val="center"/>
          </w:tcPr>
          <w:p w:rsidR="005B77DC" w:rsidRPr="00AD62E8" w:rsidRDefault="004F6C22" w:rsidP="00AD62E8">
            <w:pPr>
              <w:pStyle w:val="Normal1"/>
              <w:ind w:firstLine="0"/>
              <w:rPr>
                <w:color w:val="auto"/>
                <w:sz w:val="20"/>
                <w:szCs w:val="20"/>
              </w:rPr>
            </w:pPr>
            <w:r w:rsidRPr="00AD62E8">
              <w:rPr>
                <w:color w:val="auto"/>
                <w:sz w:val="20"/>
                <w:szCs w:val="20"/>
              </w:rPr>
              <w:t>5</w:t>
            </w:r>
          </w:p>
        </w:tc>
        <w:tc>
          <w:tcPr>
            <w:tcW w:w="757" w:type="dxa"/>
            <w:tcBorders>
              <w:top w:val="nil"/>
              <w:left w:val="nil"/>
              <w:bottom w:val="nil"/>
              <w:right w:val="nil"/>
            </w:tcBorders>
            <w:vAlign w:val="center"/>
          </w:tcPr>
          <w:p w:rsidR="005B77DC" w:rsidRPr="00AD62E8" w:rsidRDefault="004F6C22" w:rsidP="00AD62E8">
            <w:pPr>
              <w:pStyle w:val="Normal1"/>
              <w:ind w:firstLine="0"/>
              <w:rPr>
                <w:color w:val="auto"/>
                <w:sz w:val="20"/>
                <w:szCs w:val="20"/>
              </w:rPr>
            </w:pPr>
            <w:r w:rsidRPr="00AD62E8">
              <w:rPr>
                <w:color w:val="auto"/>
                <w:sz w:val="20"/>
                <w:szCs w:val="20"/>
              </w:rPr>
              <w:t>E</w:t>
            </w:r>
          </w:p>
        </w:tc>
        <w:tc>
          <w:tcPr>
            <w:tcW w:w="956" w:type="dxa"/>
            <w:tcBorders>
              <w:top w:val="nil"/>
              <w:left w:val="nil"/>
              <w:bottom w:val="nil"/>
              <w:right w:val="nil"/>
            </w:tcBorders>
            <w:vAlign w:val="center"/>
          </w:tcPr>
          <w:p w:rsidR="005B77DC" w:rsidRPr="00AD62E8" w:rsidRDefault="004F6C22" w:rsidP="00AD62E8">
            <w:pPr>
              <w:pStyle w:val="Normal1"/>
              <w:ind w:firstLine="0"/>
              <w:rPr>
                <w:color w:val="auto"/>
                <w:sz w:val="20"/>
                <w:szCs w:val="20"/>
              </w:rPr>
            </w:pPr>
            <w:r w:rsidRPr="00AD62E8">
              <w:rPr>
                <w:color w:val="auto"/>
                <w:sz w:val="20"/>
                <w:szCs w:val="20"/>
              </w:rPr>
              <w:t>14,1</w:t>
            </w:r>
          </w:p>
        </w:tc>
        <w:tc>
          <w:tcPr>
            <w:tcW w:w="1197" w:type="dxa"/>
            <w:tcBorders>
              <w:top w:val="nil"/>
              <w:left w:val="nil"/>
              <w:bottom w:val="nil"/>
              <w:right w:val="nil"/>
            </w:tcBorders>
            <w:vAlign w:val="center"/>
          </w:tcPr>
          <w:p w:rsidR="005B77DC" w:rsidRPr="00AD62E8" w:rsidRDefault="004F6C22" w:rsidP="00AD62E8">
            <w:pPr>
              <w:pStyle w:val="Normal1"/>
              <w:ind w:firstLine="0"/>
              <w:rPr>
                <w:color w:val="auto"/>
                <w:sz w:val="20"/>
                <w:szCs w:val="20"/>
              </w:rPr>
            </w:pPr>
            <w:r w:rsidRPr="00AD62E8">
              <w:rPr>
                <w:color w:val="auto"/>
                <w:sz w:val="20"/>
                <w:szCs w:val="20"/>
              </w:rPr>
              <w:t>11,65</w:t>
            </w:r>
          </w:p>
        </w:tc>
        <w:tc>
          <w:tcPr>
            <w:tcW w:w="1197" w:type="dxa"/>
            <w:tcBorders>
              <w:top w:val="nil"/>
              <w:left w:val="nil"/>
              <w:bottom w:val="nil"/>
              <w:right w:val="nil"/>
            </w:tcBorders>
            <w:vAlign w:val="center"/>
          </w:tcPr>
          <w:p w:rsidR="005B77DC" w:rsidRPr="00AD62E8" w:rsidRDefault="004F6C22" w:rsidP="00AD62E8">
            <w:pPr>
              <w:pStyle w:val="Normal1"/>
              <w:ind w:firstLine="0"/>
              <w:rPr>
                <w:color w:val="auto"/>
                <w:sz w:val="20"/>
                <w:szCs w:val="20"/>
              </w:rPr>
            </w:pPr>
            <w:r w:rsidRPr="00AD62E8">
              <w:rPr>
                <w:color w:val="auto"/>
                <w:sz w:val="20"/>
                <w:szCs w:val="20"/>
              </w:rPr>
              <w:t>706</w:t>
            </w:r>
          </w:p>
        </w:tc>
        <w:tc>
          <w:tcPr>
            <w:tcW w:w="1170" w:type="dxa"/>
            <w:tcBorders>
              <w:top w:val="nil"/>
              <w:left w:val="nil"/>
              <w:bottom w:val="nil"/>
              <w:right w:val="nil"/>
            </w:tcBorders>
            <w:vAlign w:val="center"/>
          </w:tcPr>
          <w:p w:rsidR="005B77DC" w:rsidRPr="00AD62E8" w:rsidRDefault="004F6C22" w:rsidP="00AD62E8">
            <w:pPr>
              <w:pStyle w:val="Normal1"/>
              <w:ind w:firstLine="0"/>
              <w:rPr>
                <w:color w:val="auto"/>
                <w:sz w:val="20"/>
                <w:szCs w:val="20"/>
              </w:rPr>
            </w:pPr>
            <w:r w:rsidRPr="00AD62E8">
              <w:rPr>
                <w:color w:val="auto"/>
                <w:sz w:val="20"/>
                <w:szCs w:val="20"/>
              </w:rPr>
              <w:t>21,82</w:t>
            </w:r>
          </w:p>
        </w:tc>
        <w:tc>
          <w:tcPr>
            <w:tcW w:w="1115" w:type="dxa"/>
            <w:tcBorders>
              <w:top w:val="nil"/>
              <w:left w:val="nil"/>
              <w:bottom w:val="nil"/>
              <w:right w:val="nil"/>
            </w:tcBorders>
            <w:vAlign w:val="center"/>
          </w:tcPr>
          <w:p w:rsidR="005B77DC" w:rsidRPr="00AD62E8" w:rsidRDefault="004F6C22" w:rsidP="00AD62E8">
            <w:pPr>
              <w:pStyle w:val="Normal1"/>
              <w:ind w:firstLine="0"/>
              <w:rPr>
                <w:color w:val="auto"/>
                <w:sz w:val="20"/>
                <w:szCs w:val="20"/>
              </w:rPr>
            </w:pPr>
            <w:r w:rsidRPr="00AD62E8">
              <w:rPr>
                <w:color w:val="auto"/>
                <w:sz w:val="20"/>
                <w:szCs w:val="20"/>
              </w:rPr>
              <w:t>72</w:t>
            </w:r>
          </w:p>
        </w:tc>
        <w:tc>
          <w:tcPr>
            <w:tcW w:w="1115" w:type="dxa"/>
            <w:tcBorders>
              <w:top w:val="nil"/>
              <w:left w:val="nil"/>
              <w:bottom w:val="nil"/>
              <w:right w:val="nil"/>
            </w:tcBorders>
            <w:vAlign w:val="center"/>
          </w:tcPr>
          <w:p w:rsidR="005B77DC" w:rsidRPr="00AD62E8" w:rsidRDefault="004F6C22" w:rsidP="00AD62E8">
            <w:pPr>
              <w:pStyle w:val="Normal1"/>
              <w:ind w:firstLine="0"/>
              <w:rPr>
                <w:color w:val="auto"/>
                <w:sz w:val="20"/>
                <w:szCs w:val="20"/>
              </w:rPr>
            </w:pPr>
            <w:r w:rsidRPr="00AD62E8">
              <w:rPr>
                <w:color w:val="auto"/>
                <w:sz w:val="20"/>
                <w:szCs w:val="20"/>
              </w:rPr>
              <w:t>336</w:t>
            </w:r>
          </w:p>
        </w:tc>
        <w:tc>
          <w:tcPr>
            <w:tcW w:w="1031" w:type="dxa"/>
            <w:tcBorders>
              <w:top w:val="nil"/>
              <w:left w:val="nil"/>
              <w:bottom w:val="nil"/>
              <w:right w:val="nil"/>
            </w:tcBorders>
            <w:vAlign w:val="center"/>
          </w:tcPr>
          <w:p w:rsidR="005B77DC" w:rsidRPr="00AD62E8" w:rsidRDefault="004F6C22" w:rsidP="00AD62E8">
            <w:pPr>
              <w:pStyle w:val="Normal1"/>
              <w:ind w:firstLine="0"/>
              <w:rPr>
                <w:color w:val="auto"/>
                <w:sz w:val="20"/>
                <w:szCs w:val="20"/>
              </w:rPr>
            </w:pPr>
            <w:r w:rsidRPr="00AD62E8">
              <w:rPr>
                <w:color w:val="auto"/>
                <w:sz w:val="20"/>
                <w:szCs w:val="20"/>
              </w:rPr>
              <w:t>&lt;2,00</w:t>
            </w:r>
          </w:p>
        </w:tc>
        <w:tc>
          <w:tcPr>
            <w:tcW w:w="1400" w:type="dxa"/>
            <w:tcBorders>
              <w:top w:val="nil"/>
              <w:left w:val="nil"/>
              <w:bottom w:val="nil"/>
              <w:right w:val="nil"/>
            </w:tcBorders>
            <w:vAlign w:val="center"/>
          </w:tcPr>
          <w:p w:rsidR="005B77DC" w:rsidRPr="00AD62E8" w:rsidRDefault="004F6C22" w:rsidP="00AD62E8">
            <w:pPr>
              <w:pStyle w:val="Normal1"/>
              <w:ind w:firstLine="0"/>
              <w:rPr>
                <w:color w:val="auto"/>
                <w:sz w:val="20"/>
                <w:szCs w:val="20"/>
              </w:rPr>
            </w:pPr>
            <w:r w:rsidRPr="00AD62E8">
              <w:rPr>
                <w:color w:val="auto"/>
                <w:sz w:val="20"/>
                <w:szCs w:val="20"/>
              </w:rPr>
              <w:t>329,7</w:t>
            </w:r>
          </w:p>
        </w:tc>
        <w:tc>
          <w:tcPr>
            <w:tcW w:w="1078" w:type="dxa"/>
            <w:tcBorders>
              <w:top w:val="nil"/>
              <w:left w:val="nil"/>
              <w:bottom w:val="nil"/>
              <w:right w:val="nil"/>
            </w:tcBorders>
            <w:shd w:val="clear" w:color="auto" w:fill="auto"/>
            <w:vAlign w:val="center"/>
          </w:tcPr>
          <w:p w:rsidR="005B77DC" w:rsidRPr="00AD62E8" w:rsidRDefault="004F6C22" w:rsidP="00AD62E8">
            <w:pPr>
              <w:pStyle w:val="Normal1"/>
              <w:ind w:firstLine="0"/>
              <w:rPr>
                <w:color w:val="auto"/>
                <w:sz w:val="20"/>
                <w:szCs w:val="20"/>
              </w:rPr>
            </w:pPr>
            <w:r w:rsidRPr="00AD62E8">
              <w:rPr>
                <w:color w:val="auto"/>
                <w:sz w:val="20"/>
                <w:szCs w:val="20"/>
              </w:rPr>
              <w:t>18</w:t>
            </w:r>
          </w:p>
        </w:tc>
      </w:tr>
      <w:tr w:rsidR="00AD62E8" w:rsidRPr="00AD62E8" w:rsidTr="00AD62E8">
        <w:trPr>
          <w:trHeight w:val="247"/>
        </w:trPr>
        <w:tc>
          <w:tcPr>
            <w:tcW w:w="880" w:type="dxa"/>
            <w:tcBorders>
              <w:top w:val="nil"/>
              <w:left w:val="nil"/>
              <w:bottom w:val="nil"/>
              <w:right w:val="nil"/>
            </w:tcBorders>
            <w:vAlign w:val="center"/>
          </w:tcPr>
          <w:p w:rsidR="005B77DC" w:rsidRPr="00AD62E8" w:rsidRDefault="004F6C22" w:rsidP="00AD62E8">
            <w:pPr>
              <w:pStyle w:val="Normal1"/>
              <w:ind w:firstLine="0"/>
              <w:rPr>
                <w:color w:val="auto"/>
                <w:sz w:val="20"/>
                <w:szCs w:val="20"/>
              </w:rPr>
            </w:pPr>
            <w:r w:rsidRPr="00AD62E8">
              <w:rPr>
                <w:color w:val="auto"/>
                <w:sz w:val="20"/>
                <w:szCs w:val="20"/>
              </w:rPr>
              <w:t>12</w:t>
            </w:r>
          </w:p>
        </w:tc>
        <w:tc>
          <w:tcPr>
            <w:tcW w:w="725" w:type="dxa"/>
            <w:tcBorders>
              <w:top w:val="nil"/>
              <w:left w:val="nil"/>
              <w:bottom w:val="nil"/>
              <w:right w:val="nil"/>
            </w:tcBorders>
            <w:vAlign w:val="center"/>
          </w:tcPr>
          <w:p w:rsidR="005B77DC" w:rsidRPr="00AD62E8" w:rsidRDefault="004F6C22" w:rsidP="00AD62E8">
            <w:pPr>
              <w:pStyle w:val="Normal1"/>
              <w:ind w:firstLine="0"/>
              <w:rPr>
                <w:color w:val="auto"/>
                <w:sz w:val="20"/>
                <w:szCs w:val="20"/>
              </w:rPr>
            </w:pPr>
            <w:r w:rsidRPr="00AD62E8">
              <w:rPr>
                <w:color w:val="auto"/>
                <w:sz w:val="20"/>
                <w:szCs w:val="20"/>
              </w:rPr>
              <w:t>8</w:t>
            </w:r>
          </w:p>
        </w:tc>
        <w:tc>
          <w:tcPr>
            <w:tcW w:w="757" w:type="dxa"/>
            <w:tcBorders>
              <w:top w:val="nil"/>
              <w:left w:val="nil"/>
              <w:bottom w:val="nil"/>
              <w:right w:val="nil"/>
            </w:tcBorders>
            <w:vAlign w:val="center"/>
          </w:tcPr>
          <w:p w:rsidR="005B77DC" w:rsidRPr="00AD62E8" w:rsidRDefault="004F6C22" w:rsidP="00AD62E8">
            <w:pPr>
              <w:pStyle w:val="Normal1"/>
              <w:ind w:firstLine="0"/>
              <w:rPr>
                <w:color w:val="auto"/>
                <w:sz w:val="20"/>
                <w:szCs w:val="20"/>
              </w:rPr>
            </w:pPr>
            <w:r w:rsidRPr="00AD62E8">
              <w:rPr>
                <w:color w:val="auto"/>
                <w:sz w:val="20"/>
                <w:szCs w:val="20"/>
              </w:rPr>
              <w:t>K</w:t>
            </w:r>
          </w:p>
        </w:tc>
        <w:tc>
          <w:tcPr>
            <w:tcW w:w="956" w:type="dxa"/>
            <w:tcBorders>
              <w:top w:val="nil"/>
              <w:left w:val="nil"/>
              <w:bottom w:val="nil"/>
              <w:right w:val="nil"/>
            </w:tcBorders>
            <w:vAlign w:val="center"/>
          </w:tcPr>
          <w:p w:rsidR="005B77DC" w:rsidRPr="00AD62E8" w:rsidRDefault="004F6C22" w:rsidP="00AD62E8">
            <w:pPr>
              <w:pStyle w:val="Normal1"/>
              <w:ind w:firstLine="0"/>
              <w:rPr>
                <w:color w:val="auto"/>
                <w:sz w:val="20"/>
                <w:szCs w:val="20"/>
              </w:rPr>
            </w:pPr>
            <w:r w:rsidRPr="00AD62E8">
              <w:rPr>
                <w:color w:val="auto"/>
                <w:sz w:val="20"/>
                <w:szCs w:val="20"/>
              </w:rPr>
              <w:t>12,5</w:t>
            </w:r>
          </w:p>
        </w:tc>
        <w:tc>
          <w:tcPr>
            <w:tcW w:w="1197" w:type="dxa"/>
            <w:tcBorders>
              <w:top w:val="nil"/>
              <w:left w:val="nil"/>
              <w:bottom w:val="nil"/>
              <w:right w:val="nil"/>
            </w:tcBorders>
            <w:vAlign w:val="center"/>
          </w:tcPr>
          <w:p w:rsidR="005B77DC" w:rsidRPr="00AD62E8" w:rsidRDefault="004F6C22" w:rsidP="00AD62E8">
            <w:pPr>
              <w:pStyle w:val="Normal1"/>
              <w:ind w:firstLine="0"/>
              <w:rPr>
                <w:color w:val="auto"/>
                <w:sz w:val="20"/>
                <w:szCs w:val="20"/>
              </w:rPr>
            </w:pPr>
            <w:r w:rsidRPr="00AD62E8">
              <w:rPr>
                <w:color w:val="auto"/>
                <w:sz w:val="20"/>
                <w:szCs w:val="20"/>
              </w:rPr>
              <w:t>7,33</w:t>
            </w:r>
          </w:p>
        </w:tc>
        <w:tc>
          <w:tcPr>
            <w:tcW w:w="1197" w:type="dxa"/>
            <w:tcBorders>
              <w:top w:val="nil"/>
              <w:left w:val="nil"/>
              <w:bottom w:val="nil"/>
              <w:right w:val="nil"/>
            </w:tcBorders>
            <w:vAlign w:val="center"/>
          </w:tcPr>
          <w:p w:rsidR="005B77DC" w:rsidRPr="00AD62E8" w:rsidRDefault="004F6C22" w:rsidP="00AD62E8">
            <w:pPr>
              <w:pStyle w:val="Normal1"/>
              <w:ind w:firstLine="0"/>
              <w:rPr>
                <w:color w:val="auto"/>
                <w:sz w:val="20"/>
                <w:szCs w:val="20"/>
              </w:rPr>
            </w:pPr>
            <w:r w:rsidRPr="00AD62E8">
              <w:rPr>
                <w:color w:val="auto"/>
                <w:sz w:val="20"/>
                <w:szCs w:val="20"/>
              </w:rPr>
              <w:t>511</w:t>
            </w:r>
          </w:p>
        </w:tc>
        <w:tc>
          <w:tcPr>
            <w:tcW w:w="1170" w:type="dxa"/>
            <w:tcBorders>
              <w:top w:val="nil"/>
              <w:left w:val="nil"/>
              <w:bottom w:val="nil"/>
              <w:right w:val="nil"/>
            </w:tcBorders>
            <w:vAlign w:val="center"/>
          </w:tcPr>
          <w:p w:rsidR="005B77DC" w:rsidRPr="00AD62E8" w:rsidRDefault="004F6C22" w:rsidP="00AD62E8">
            <w:pPr>
              <w:pStyle w:val="Normal1"/>
              <w:ind w:firstLine="0"/>
              <w:rPr>
                <w:color w:val="auto"/>
                <w:sz w:val="20"/>
                <w:szCs w:val="20"/>
              </w:rPr>
            </w:pPr>
            <w:r w:rsidRPr="00AD62E8">
              <w:rPr>
                <w:color w:val="auto"/>
                <w:sz w:val="20"/>
                <w:szCs w:val="20"/>
              </w:rPr>
              <w:t>23,87</w:t>
            </w:r>
          </w:p>
        </w:tc>
        <w:tc>
          <w:tcPr>
            <w:tcW w:w="1115" w:type="dxa"/>
            <w:tcBorders>
              <w:top w:val="nil"/>
              <w:left w:val="nil"/>
              <w:bottom w:val="nil"/>
              <w:right w:val="nil"/>
            </w:tcBorders>
            <w:vAlign w:val="center"/>
          </w:tcPr>
          <w:p w:rsidR="005B77DC" w:rsidRPr="00AD62E8" w:rsidRDefault="004F6C22" w:rsidP="00AD62E8">
            <w:pPr>
              <w:pStyle w:val="Normal1"/>
              <w:ind w:firstLine="0"/>
              <w:rPr>
                <w:color w:val="auto"/>
                <w:sz w:val="20"/>
                <w:szCs w:val="20"/>
              </w:rPr>
            </w:pPr>
            <w:r w:rsidRPr="00AD62E8">
              <w:rPr>
                <w:color w:val="auto"/>
                <w:sz w:val="20"/>
                <w:szCs w:val="20"/>
              </w:rPr>
              <w:t>93</w:t>
            </w:r>
          </w:p>
        </w:tc>
        <w:tc>
          <w:tcPr>
            <w:tcW w:w="1115" w:type="dxa"/>
            <w:tcBorders>
              <w:top w:val="nil"/>
              <w:left w:val="nil"/>
              <w:bottom w:val="nil"/>
              <w:right w:val="nil"/>
            </w:tcBorders>
            <w:vAlign w:val="center"/>
          </w:tcPr>
          <w:p w:rsidR="005B77DC" w:rsidRPr="00AD62E8" w:rsidRDefault="004F6C22" w:rsidP="00AD62E8">
            <w:pPr>
              <w:pStyle w:val="Normal1"/>
              <w:ind w:firstLine="0"/>
              <w:rPr>
                <w:color w:val="auto"/>
                <w:sz w:val="20"/>
                <w:szCs w:val="20"/>
              </w:rPr>
            </w:pPr>
            <w:r w:rsidRPr="00AD62E8">
              <w:rPr>
                <w:color w:val="auto"/>
                <w:sz w:val="20"/>
                <w:szCs w:val="20"/>
              </w:rPr>
              <w:t>282</w:t>
            </w:r>
          </w:p>
        </w:tc>
        <w:tc>
          <w:tcPr>
            <w:tcW w:w="1031" w:type="dxa"/>
            <w:tcBorders>
              <w:top w:val="nil"/>
              <w:left w:val="nil"/>
              <w:bottom w:val="nil"/>
              <w:right w:val="nil"/>
            </w:tcBorders>
            <w:vAlign w:val="center"/>
          </w:tcPr>
          <w:p w:rsidR="005B77DC" w:rsidRPr="00AD62E8" w:rsidRDefault="004F6C22" w:rsidP="00AD62E8">
            <w:pPr>
              <w:pStyle w:val="Normal1"/>
              <w:ind w:firstLine="0"/>
              <w:rPr>
                <w:color w:val="auto"/>
                <w:sz w:val="20"/>
                <w:szCs w:val="20"/>
              </w:rPr>
            </w:pPr>
            <w:r w:rsidRPr="00AD62E8">
              <w:rPr>
                <w:color w:val="auto"/>
                <w:sz w:val="20"/>
                <w:szCs w:val="20"/>
              </w:rPr>
              <w:t>&lt;2,00</w:t>
            </w:r>
          </w:p>
        </w:tc>
        <w:tc>
          <w:tcPr>
            <w:tcW w:w="1400" w:type="dxa"/>
            <w:tcBorders>
              <w:top w:val="nil"/>
              <w:left w:val="nil"/>
              <w:bottom w:val="nil"/>
              <w:right w:val="nil"/>
            </w:tcBorders>
            <w:vAlign w:val="center"/>
          </w:tcPr>
          <w:p w:rsidR="005B77DC" w:rsidRPr="00AD62E8" w:rsidRDefault="004F6C22" w:rsidP="00AD62E8">
            <w:pPr>
              <w:pStyle w:val="Normal1"/>
              <w:ind w:firstLine="0"/>
              <w:rPr>
                <w:color w:val="auto"/>
                <w:sz w:val="20"/>
                <w:szCs w:val="20"/>
              </w:rPr>
            </w:pPr>
            <w:r w:rsidRPr="00AD62E8">
              <w:rPr>
                <w:color w:val="auto"/>
                <w:sz w:val="20"/>
                <w:szCs w:val="20"/>
              </w:rPr>
              <w:t>287,0</w:t>
            </w:r>
          </w:p>
        </w:tc>
        <w:tc>
          <w:tcPr>
            <w:tcW w:w="1078" w:type="dxa"/>
            <w:tcBorders>
              <w:top w:val="nil"/>
              <w:left w:val="nil"/>
              <w:bottom w:val="nil"/>
              <w:right w:val="nil"/>
            </w:tcBorders>
            <w:shd w:val="clear" w:color="auto" w:fill="auto"/>
            <w:vAlign w:val="center"/>
          </w:tcPr>
          <w:p w:rsidR="005B77DC" w:rsidRPr="00AD62E8" w:rsidRDefault="004F6C22" w:rsidP="00AD62E8">
            <w:pPr>
              <w:pStyle w:val="Normal1"/>
              <w:ind w:firstLine="0"/>
              <w:rPr>
                <w:color w:val="auto"/>
                <w:sz w:val="20"/>
                <w:szCs w:val="20"/>
              </w:rPr>
            </w:pPr>
            <w:r w:rsidRPr="00AD62E8">
              <w:rPr>
                <w:color w:val="auto"/>
                <w:sz w:val="20"/>
                <w:szCs w:val="20"/>
              </w:rPr>
              <w:t>5</w:t>
            </w:r>
          </w:p>
        </w:tc>
      </w:tr>
      <w:tr w:rsidR="00AD62E8" w:rsidRPr="00AD62E8" w:rsidTr="00AD62E8">
        <w:trPr>
          <w:trHeight w:val="247"/>
        </w:trPr>
        <w:tc>
          <w:tcPr>
            <w:tcW w:w="880" w:type="dxa"/>
            <w:tcBorders>
              <w:top w:val="nil"/>
              <w:left w:val="nil"/>
              <w:bottom w:val="nil"/>
              <w:right w:val="nil"/>
            </w:tcBorders>
            <w:vAlign w:val="center"/>
          </w:tcPr>
          <w:p w:rsidR="005B77DC" w:rsidRPr="00AD62E8" w:rsidRDefault="004F6C22" w:rsidP="00AD62E8">
            <w:pPr>
              <w:pStyle w:val="Normal1"/>
              <w:ind w:firstLine="0"/>
              <w:rPr>
                <w:color w:val="auto"/>
                <w:sz w:val="20"/>
                <w:szCs w:val="20"/>
              </w:rPr>
            </w:pPr>
            <w:r w:rsidRPr="00AD62E8">
              <w:rPr>
                <w:color w:val="auto"/>
                <w:sz w:val="20"/>
                <w:szCs w:val="20"/>
              </w:rPr>
              <w:t>13</w:t>
            </w:r>
          </w:p>
        </w:tc>
        <w:tc>
          <w:tcPr>
            <w:tcW w:w="725" w:type="dxa"/>
            <w:tcBorders>
              <w:top w:val="nil"/>
              <w:left w:val="nil"/>
              <w:bottom w:val="nil"/>
              <w:right w:val="nil"/>
            </w:tcBorders>
            <w:vAlign w:val="center"/>
          </w:tcPr>
          <w:p w:rsidR="005B77DC" w:rsidRPr="00AD62E8" w:rsidRDefault="004F6C22" w:rsidP="00AD62E8">
            <w:pPr>
              <w:pStyle w:val="Normal1"/>
              <w:ind w:firstLine="0"/>
              <w:rPr>
                <w:color w:val="auto"/>
                <w:sz w:val="20"/>
                <w:szCs w:val="20"/>
              </w:rPr>
            </w:pPr>
            <w:r w:rsidRPr="00AD62E8">
              <w:rPr>
                <w:color w:val="auto"/>
                <w:sz w:val="20"/>
                <w:szCs w:val="20"/>
              </w:rPr>
              <w:t>12</w:t>
            </w:r>
          </w:p>
        </w:tc>
        <w:tc>
          <w:tcPr>
            <w:tcW w:w="757" w:type="dxa"/>
            <w:tcBorders>
              <w:top w:val="nil"/>
              <w:left w:val="nil"/>
              <w:bottom w:val="nil"/>
              <w:right w:val="nil"/>
            </w:tcBorders>
            <w:vAlign w:val="center"/>
          </w:tcPr>
          <w:p w:rsidR="005B77DC" w:rsidRPr="00AD62E8" w:rsidRDefault="004F6C22" w:rsidP="00AD62E8">
            <w:pPr>
              <w:pStyle w:val="Normal1"/>
              <w:ind w:firstLine="0"/>
              <w:rPr>
                <w:color w:val="auto"/>
                <w:sz w:val="20"/>
                <w:szCs w:val="20"/>
              </w:rPr>
            </w:pPr>
            <w:r w:rsidRPr="00AD62E8">
              <w:rPr>
                <w:color w:val="auto"/>
                <w:sz w:val="20"/>
                <w:szCs w:val="20"/>
              </w:rPr>
              <w:t>E</w:t>
            </w:r>
          </w:p>
        </w:tc>
        <w:tc>
          <w:tcPr>
            <w:tcW w:w="956" w:type="dxa"/>
            <w:tcBorders>
              <w:top w:val="nil"/>
              <w:left w:val="nil"/>
              <w:bottom w:val="nil"/>
              <w:right w:val="nil"/>
            </w:tcBorders>
            <w:vAlign w:val="center"/>
          </w:tcPr>
          <w:p w:rsidR="005B77DC" w:rsidRPr="00AD62E8" w:rsidRDefault="004F6C22" w:rsidP="00AD62E8">
            <w:pPr>
              <w:pStyle w:val="Normal1"/>
              <w:ind w:firstLine="0"/>
              <w:rPr>
                <w:color w:val="auto"/>
                <w:sz w:val="20"/>
                <w:szCs w:val="20"/>
              </w:rPr>
            </w:pPr>
            <w:r w:rsidRPr="00AD62E8">
              <w:rPr>
                <w:color w:val="auto"/>
                <w:sz w:val="20"/>
                <w:szCs w:val="20"/>
              </w:rPr>
              <w:t>12,7</w:t>
            </w:r>
          </w:p>
        </w:tc>
        <w:tc>
          <w:tcPr>
            <w:tcW w:w="1197" w:type="dxa"/>
            <w:tcBorders>
              <w:top w:val="nil"/>
              <w:left w:val="nil"/>
              <w:bottom w:val="nil"/>
              <w:right w:val="nil"/>
            </w:tcBorders>
            <w:vAlign w:val="center"/>
          </w:tcPr>
          <w:p w:rsidR="005B77DC" w:rsidRPr="00AD62E8" w:rsidRDefault="004F6C22" w:rsidP="00AD62E8">
            <w:pPr>
              <w:pStyle w:val="Normal1"/>
              <w:ind w:firstLine="0"/>
              <w:rPr>
                <w:color w:val="auto"/>
                <w:sz w:val="20"/>
                <w:szCs w:val="20"/>
              </w:rPr>
            </w:pPr>
            <w:r w:rsidRPr="00AD62E8">
              <w:rPr>
                <w:color w:val="auto"/>
                <w:sz w:val="20"/>
                <w:szCs w:val="20"/>
              </w:rPr>
              <w:t>6,63</w:t>
            </w:r>
          </w:p>
        </w:tc>
        <w:tc>
          <w:tcPr>
            <w:tcW w:w="1197" w:type="dxa"/>
            <w:tcBorders>
              <w:top w:val="nil"/>
              <w:left w:val="nil"/>
              <w:bottom w:val="nil"/>
              <w:right w:val="nil"/>
            </w:tcBorders>
            <w:vAlign w:val="center"/>
          </w:tcPr>
          <w:p w:rsidR="005B77DC" w:rsidRPr="00AD62E8" w:rsidRDefault="004F6C22" w:rsidP="00AD62E8">
            <w:pPr>
              <w:pStyle w:val="Normal1"/>
              <w:ind w:firstLine="0"/>
              <w:rPr>
                <w:color w:val="auto"/>
                <w:sz w:val="20"/>
                <w:szCs w:val="20"/>
              </w:rPr>
            </w:pPr>
            <w:r w:rsidRPr="00AD62E8">
              <w:rPr>
                <w:color w:val="auto"/>
                <w:sz w:val="20"/>
                <w:szCs w:val="20"/>
              </w:rPr>
              <w:t>814</w:t>
            </w:r>
          </w:p>
        </w:tc>
        <w:tc>
          <w:tcPr>
            <w:tcW w:w="1170" w:type="dxa"/>
            <w:tcBorders>
              <w:top w:val="nil"/>
              <w:left w:val="nil"/>
              <w:bottom w:val="nil"/>
              <w:right w:val="nil"/>
            </w:tcBorders>
            <w:vAlign w:val="center"/>
          </w:tcPr>
          <w:p w:rsidR="005B77DC" w:rsidRPr="00AD62E8" w:rsidRDefault="004F6C22" w:rsidP="00AD62E8">
            <w:pPr>
              <w:pStyle w:val="Normal1"/>
              <w:ind w:firstLine="0"/>
              <w:rPr>
                <w:color w:val="auto"/>
                <w:sz w:val="20"/>
                <w:szCs w:val="20"/>
              </w:rPr>
            </w:pPr>
            <w:r w:rsidRPr="00AD62E8">
              <w:rPr>
                <w:color w:val="auto"/>
                <w:sz w:val="20"/>
                <w:szCs w:val="20"/>
              </w:rPr>
              <w:t>27,09</w:t>
            </w:r>
          </w:p>
        </w:tc>
        <w:tc>
          <w:tcPr>
            <w:tcW w:w="1115" w:type="dxa"/>
            <w:tcBorders>
              <w:top w:val="nil"/>
              <w:left w:val="nil"/>
              <w:bottom w:val="nil"/>
              <w:right w:val="nil"/>
            </w:tcBorders>
            <w:vAlign w:val="center"/>
          </w:tcPr>
          <w:p w:rsidR="005B77DC" w:rsidRPr="00AD62E8" w:rsidRDefault="004F6C22" w:rsidP="00AD62E8">
            <w:pPr>
              <w:pStyle w:val="Normal1"/>
              <w:ind w:firstLine="0"/>
              <w:rPr>
                <w:color w:val="auto"/>
                <w:sz w:val="20"/>
                <w:szCs w:val="20"/>
              </w:rPr>
            </w:pPr>
            <w:r w:rsidRPr="00AD62E8">
              <w:rPr>
                <w:color w:val="auto"/>
                <w:sz w:val="20"/>
                <w:szCs w:val="20"/>
              </w:rPr>
              <w:t>50</w:t>
            </w:r>
          </w:p>
        </w:tc>
        <w:tc>
          <w:tcPr>
            <w:tcW w:w="1115" w:type="dxa"/>
            <w:tcBorders>
              <w:top w:val="nil"/>
              <w:left w:val="nil"/>
              <w:bottom w:val="nil"/>
              <w:right w:val="nil"/>
            </w:tcBorders>
            <w:vAlign w:val="center"/>
          </w:tcPr>
          <w:p w:rsidR="005B77DC" w:rsidRPr="00AD62E8" w:rsidRDefault="004F6C22" w:rsidP="00AD62E8">
            <w:pPr>
              <w:pStyle w:val="Normal1"/>
              <w:ind w:firstLine="0"/>
              <w:rPr>
                <w:color w:val="auto"/>
                <w:sz w:val="20"/>
                <w:szCs w:val="20"/>
              </w:rPr>
            </w:pPr>
            <w:r w:rsidRPr="00AD62E8">
              <w:rPr>
                <w:color w:val="auto"/>
                <w:sz w:val="20"/>
                <w:szCs w:val="20"/>
              </w:rPr>
              <w:t>344</w:t>
            </w:r>
          </w:p>
        </w:tc>
        <w:tc>
          <w:tcPr>
            <w:tcW w:w="1031" w:type="dxa"/>
            <w:tcBorders>
              <w:top w:val="nil"/>
              <w:left w:val="nil"/>
              <w:bottom w:val="nil"/>
              <w:right w:val="nil"/>
            </w:tcBorders>
            <w:vAlign w:val="center"/>
          </w:tcPr>
          <w:p w:rsidR="005B77DC" w:rsidRPr="00AD62E8" w:rsidRDefault="004F6C22" w:rsidP="00AD62E8">
            <w:pPr>
              <w:pStyle w:val="Normal1"/>
              <w:ind w:firstLine="0"/>
              <w:rPr>
                <w:color w:val="auto"/>
                <w:sz w:val="20"/>
                <w:szCs w:val="20"/>
              </w:rPr>
            </w:pPr>
            <w:r w:rsidRPr="00AD62E8">
              <w:rPr>
                <w:color w:val="auto"/>
                <w:sz w:val="20"/>
                <w:szCs w:val="20"/>
              </w:rPr>
              <w:t>&lt;2,00</w:t>
            </w:r>
          </w:p>
        </w:tc>
        <w:tc>
          <w:tcPr>
            <w:tcW w:w="1400" w:type="dxa"/>
            <w:tcBorders>
              <w:top w:val="nil"/>
              <w:left w:val="nil"/>
              <w:bottom w:val="nil"/>
              <w:right w:val="nil"/>
            </w:tcBorders>
            <w:vAlign w:val="center"/>
          </w:tcPr>
          <w:p w:rsidR="005B77DC" w:rsidRPr="00AD62E8" w:rsidRDefault="004F6C22" w:rsidP="00AD62E8">
            <w:pPr>
              <w:pStyle w:val="Normal1"/>
              <w:ind w:firstLine="0"/>
              <w:rPr>
                <w:color w:val="auto"/>
                <w:sz w:val="20"/>
                <w:szCs w:val="20"/>
              </w:rPr>
            </w:pPr>
            <w:r w:rsidRPr="00AD62E8">
              <w:rPr>
                <w:color w:val="auto"/>
                <w:sz w:val="20"/>
                <w:szCs w:val="20"/>
              </w:rPr>
              <w:t>329,4</w:t>
            </w:r>
          </w:p>
        </w:tc>
        <w:tc>
          <w:tcPr>
            <w:tcW w:w="1078" w:type="dxa"/>
            <w:tcBorders>
              <w:top w:val="nil"/>
              <w:left w:val="nil"/>
              <w:bottom w:val="nil"/>
              <w:right w:val="nil"/>
            </w:tcBorders>
            <w:shd w:val="clear" w:color="auto" w:fill="auto"/>
            <w:vAlign w:val="center"/>
          </w:tcPr>
          <w:p w:rsidR="005B77DC" w:rsidRPr="00AD62E8" w:rsidRDefault="004F6C22" w:rsidP="00AD62E8">
            <w:pPr>
              <w:pStyle w:val="Normal1"/>
              <w:ind w:firstLine="0"/>
              <w:rPr>
                <w:color w:val="auto"/>
                <w:sz w:val="20"/>
                <w:szCs w:val="20"/>
              </w:rPr>
            </w:pPr>
            <w:r w:rsidRPr="00AD62E8">
              <w:rPr>
                <w:color w:val="auto"/>
                <w:sz w:val="20"/>
                <w:szCs w:val="20"/>
              </w:rPr>
              <w:t>5</w:t>
            </w:r>
          </w:p>
        </w:tc>
      </w:tr>
      <w:tr w:rsidR="00AD62E8" w:rsidRPr="00AD62E8" w:rsidTr="00AD62E8">
        <w:trPr>
          <w:trHeight w:val="247"/>
        </w:trPr>
        <w:tc>
          <w:tcPr>
            <w:tcW w:w="880" w:type="dxa"/>
            <w:tcBorders>
              <w:top w:val="nil"/>
              <w:left w:val="nil"/>
              <w:bottom w:val="nil"/>
              <w:right w:val="nil"/>
            </w:tcBorders>
            <w:vAlign w:val="center"/>
          </w:tcPr>
          <w:p w:rsidR="005B77DC" w:rsidRPr="00AD62E8" w:rsidRDefault="004F6C22" w:rsidP="00AD62E8">
            <w:pPr>
              <w:pStyle w:val="Normal1"/>
              <w:ind w:firstLine="0"/>
              <w:rPr>
                <w:color w:val="auto"/>
                <w:sz w:val="20"/>
                <w:szCs w:val="20"/>
              </w:rPr>
            </w:pPr>
            <w:r w:rsidRPr="00AD62E8">
              <w:rPr>
                <w:color w:val="auto"/>
                <w:sz w:val="20"/>
                <w:szCs w:val="20"/>
              </w:rPr>
              <w:t>14</w:t>
            </w:r>
          </w:p>
        </w:tc>
        <w:tc>
          <w:tcPr>
            <w:tcW w:w="725" w:type="dxa"/>
            <w:tcBorders>
              <w:top w:val="nil"/>
              <w:left w:val="nil"/>
              <w:bottom w:val="nil"/>
              <w:right w:val="nil"/>
            </w:tcBorders>
            <w:vAlign w:val="center"/>
          </w:tcPr>
          <w:p w:rsidR="005B77DC" w:rsidRPr="00AD62E8" w:rsidRDefault="004F6C22" w:rsidP="00AD62E8">
            <w:pPr>
              <w:pStyle w:val="Normal1"/>
              <w:ind w:firstLine="0"/>
              <w:rPr>
                <w:color w:val="auto"/>
                <w:sz w:val="20"/>
                <w:szCs w:val="20"/>
              </w:rPr>
            </w:pPr>
            <w:r w:rsidRPr="00AD62E8">
              <w:rPr>
                <w:color w:val="auto"/>
                <w:sz w:val="20"/>
                <w:szCs w:val="20"/>
              </w:rPr>
              <w:t>5</w:t>
            </w:r>
          </w:p>
        </w:tc>
        <w:tc>
          <w:tcPr>
            <w:tcW w:w="757" w:type="dxa"/>
            <w:tcBorders>
              <w:top w:val="nil"/>
              <w:left w:val="nil"/>
              <w:bottom w:val="nil"/>
              <w:right w:val="nil"/>
            </w:tcBorders>
            <w:vAlign w:val="center"/>
          </w:tcPr>
          <w:p w:rsidR="005B77DC" w:rsidRPr="00AD62E8" w:rsidRDefault="004F6C22" w:rsidP="00AD62E8">
            <w:pPr>
              <w:pStyle w:val="Normal1"/>
              <w:ind w:firstLine="0"/>
              <w:rPr>
                <w:color w:val="auto"/>
                <w:sz w:val="20"/>
                <w:szCs w:val="20"/>
              </w:rPr>
            </w:pPr>
            <w:r w:rsidRPr="00AD62E8">
              <w:rPr>
                <w:color w:val="auto"/>
                <w:sz w:val="20"/>
                <w:szCs w:val="20"/>
              </w:rPr>
              <w:t>K</w:t>
            </w:r>
          </w:p>
        </w:tc>
        <w:tc>
          <w:tcPr>
            <w:tcW w:w="956" w:type="dxa"/>
            <w:tcBorders>
              <w:top w:val="nil"/>
              <w:left w:val="nil"/>
              <w:bottom w:val="nil"/>
              <w:right w:val="nil"/>
            </w:tcBorders>
            <w:vAlign w:val="center"/>
          </w:tcPr>
          <w:p w:rsidR="005B77DC" w:rsidRPr="00AD62E8" w:rsidRDefault="004F6C22" w:rsidP="00AD62E8">
            <w:pPr>
              <w:pStyle w:val="Normal1"/>
              <w:ind w:firstLine="0"/>
              <w:rPr>
                <w:color w:val="auto"/>
                <w:sz w:val="20"/>
                <w:szCs w:val="20"/>
              </w:rPr>
            </w:pPr>
            <w:r w:rsidRPr="00AD62E8">
              <w:rPr>
                <w:color w:val="auto"/>
                <w:sz w:val="20"/>
                <w:szCs w:val="20"/>
              </w:rPr>
              <w:t>12,3</w:t>
            </w:r>
          </w:p>
        </w:tc>
        <w:tc>
          <w:tcPr>
            <w:tcW w:w="1197" w:type="dxa"/>
            <w:tcBorders>
              <w:top w:val="nil"/>
              <w:left w:val="nil"/>
              <w:bottom w:val="nil"/>
              <w:right w:val="nil"/>
            </w:tcBorders>
            <w:vAlign w:val="center"/>
          </w:tcPr>
          <w:p w:rsidR="005B77DC" w:rsidRPr="00AD62E8" w:rsidRDefault="004F6C22" w:rsidP="00AD62E8">
            <w:pPr>
              <w:pStyle w:val="Normal1"/>
              <w:ind w:firstLine="0"/>
              <w:rPr>
                <w:color w:val="auto"/>
                <w:sz w:val="20"/>
                <w:szCs w:val="20"/>
              </w:rPr>
            </w:pPr>
            <w:r w:rsidRPr="00AD62E8">
              <w:rPr>
                <w:color w:val="auto"/>
                <w:sz w:val="20"/>
                <w:szCs w:val="20"/>
              </w:rPr>
              <w:t>11,19</w:t>
            </w:r>
          </w:p>
        </w:tc>
        <w:tc>
          <w:tcPr>
            <w:tcW w:w="1197" w:type="dxa"/>
            <w:tcBorders>
              <w:top w:val="nil"/>
              <w:left w:val="nil"/>
              <w:bottom w:val="nil"/>
              <w:right w:val="nil"/>
            </w:tcBorders>
            <w:vAlign w:val="center"/>
          </w:tcPr>
          <w:p w:rsidR="005B77DC" w:rsidRPr="00AD62E8" w:rsidRDefault="004F6C22" w:rsidP="00AD62E8">
            <w:pPr>
              <w:pStyle w:val="Normal1"/>
              <w:ind w:firstLine="0"/>
              <w:rPr>
                <w:color w:val="auto"/>
                <w:sz w:val="20"/>
                <w:szCs w:val="20"/>
              </w:rPr>
            </w:pPr>
            <w:r w:rsidRPr="00AD62E8">
              <w:rPr>
                <w:color w:val="auto"/>
                <w:sz w:val="20"/>
                <w:szCs w:val="20"/>
              </w:rPr>
              <w:t>504</w:t>
            </w:r>
          </w:p>
        </w:tc>
        <w:tc>
          <w:tcPr>
            <w:tcW w:w="1170" w:type="dxa"/>
            <w:tcBorders>
              <w:top w:val="nil"/>
              <w:left w:val="nil"/>
              <w:bottom w:val="nil"/>
              <w:right w:val="nil"/>
            </w:tcBorders>
            <w:vAlign w:val="center"/>
          </w:tcPr>
          <w:p w:rsidR="005B77DC" w:rsidRPr="00AD62E8" w:rsidRDefault="004F6C22" w:rsidP="00AD62E8">
            <w:pPr>
              <w:pStyle w:val="Normal1"/>
              <w:ind w:firstLine="0"/>
              <w:rPr>
                <w:color w:val="auto"/>
                <w:sz w:val="20"/>
                <w:szCs w:val="20"/>
              </w:rPr>
            </w:pPr>
            <w:r w:rsidRPr="00AD62E8">
              <w:rPr>
                <w:color w:val="auto"/>
                <w:sz w:val="20"/>
                <w:szCs w:val="20"/>
              </w:rPr>
              <w:t>24,92</w:t>
            </w:r>
          </w:p>
        </w:tc>
        <w:tc>
          <w:tcPr>
            <w:tcW w:w="1115" w:type="dxa"/>
            <w:tcBorders>
              <w:top w:val="nil"/>
              <w:left w:val="nil"/>
              <w:bottom w:val="nil"/>
              <w:right w:val="nil"/>
            </w:tcBorders>
            <w:vAlign w:val="center"/>
          </w:tcPr>
          <w:p w:rsidR="005B77DC" w:rsidRPr="00AD62E8" w:rsidRDefault="004F6C22" w:rsidP="00AD62E8">
            <w:pPr>
              <w:pStyle w:val="Normal1"/>
              <w:ind w:firstLine="0"/>
              <w:rPr>
                <w:color w:val="auto"/>
                <w:sz w:val="20"/>
                <w:szCs w:val="20"/>
              </w:rPr>
            </w:pPr>
            <w:r w:rsidRPr="00AD62E8">
              <w:rPr>
                <w:color w:val="auto"/>
                <w:sz w:val="20"/>
                <w:szCs w:val="20"/>
              </w:rPr>
              <w:t>116</w:t>
            </w:r>
          </w:p>
        </w:tc>
        <w:tc>
          <w:tcPr>
            <w:tcW w:w="1115" w:type="dxa"/>
            <w:tcBorders>
              <w:top w:val="nil"/>
              <w:left w:val="nil"/>
              <w:bottom w:val="nil"/>
              <w:right w:val="nil"/>
            </w:tcBorders>
            <w:vAlign w:val="center"/>
          </w:tcPr>
          <w:p w:rsidR="005B77DC" w:rsidRPr="00AD62E8" w:rsidRDefault="004F6C22" w:rsidP="00AD62E8">
            <w:pPr>
              <w:pStyle w:val="Normal1"/>
              <w:ind w:firstLine="0"/>
              <w:rPr>
                <w:color w:val="auto"/>
                <w:sz w:val="20"/>
                <w:szCs w:val="20"/>
              </w:rPr>
            </w:pPr>
            <w:r w:rsidRPr="00AD62E8">
              <w:rPr>
                <w:color w:val="auto"/>
                <w:sz w:val="20"/>
                <w:szCs w:val="20"/>
              </w:rPr>
              <w:t>213</w:t>
            </w:r>
          </w:p>
        </w:tc>
        <w:tc>
          <w:tcPr>
            <w:tcW w:w="1031" w:type="dxa"/>
            <w:tcBorders>
              <w:top w:val="nil"/>
              <w:left w:val="nil"/>
              <w:bottom w:val="nil"/>
              <w:right w:val="nil"/>
            </w:tcBorders>
            <w:vAlign w:val="center"/>
          </w:tcPr>
          <w:p w:rsidR="005B77DC" w:rsidRPr="00AD62E8" w:rsidRDefault="004F6C22" w:rsidP="00AD62E8">
            <w:pPr>
              <w:pStyle w:val="Normal1"/>
              <w:ind w:firstLine="0"/>
              <w:rPr>
                <w:color w:val="auto"/>
                <w:sz w:val="20"/>
                <w:szCs w:val="20"/>
              </w:rPr>
            </w:pPr>
            <w:r w:rsidRPr="00AD62E8">
              <w:rPr>
                <w:color w:val="auto"/>
                <w:sz w:val="20"/>
                <w:szCs w:val="20"/>
              </w:rPr>
              <w:t>&lt;2,00</w:t>
            </w:r>
          </w:p>
        </w:tc>
        <w:tc>
          <w:tcPr>
            <w:tcW w:w="1400" w:type="dxa"/>
            <w:tcBorders>
              <w:top w:val="nil"/>
              <w:left w:val="nil"/>
              <w:bottom w:val="nil"/>
              <w:right w:val="nil"/>
            </w:tcBorders>
            <w:vAlign w:val="center"/>
          </w:tcPr>
          <w:p w:rsidR="005B77DC" w:rsidRPr="00AD62E8" w:rsidRDefault="004F6C22" w:rsidP="00AD62E8">
            <w:pPr>
              <w:pStyle w:val="Normal1"/>
              <w:ind w:firstLine="0"/>
              <w:rPr>
                <w:color w:val="auto"/>
                <w:sz w:val="20"/>
                <w:szCs w:val="20"/>
              </w:rPr>
            </w:pPr>
            <w:r w:rsidRPr="00AD62E8">
              <w:rPr>
                <w:color w:val="auto"/>
                <w:sz w:val="20"/>
                <w:szCs w:val="20"/>
              </w:rPr>
              <w:t>244,9</w:t>
            </w:r>
          </w:p>
        </w:tc>
        <w:tc>
          <w:tcPr>
            <w:tcW w:w="1078" w:type="dxa"/>
            <w:tcBorders>
              <w:top w:val="nil"/>
              <w:left w:val="nil"/>
              <w:bottom w:val="nil"/>
              <w:right w:val="nil"/>
            </w:tcBorders>
            <w:shd w:val="clear" w:color="auto" w:fill="auto"/>
            <w:vAlign w:val="center"/>
          </w:tcPr>
          <w:p w:rsidR="005B77DC" w:rsidRPr="00AD62E8" w:rsidRDefault="004F6C22" w:rsidP="00AD62E8">
            <w:pPr>
              <w:pStyle w:val="Normal1"/>
              <w:ind w:firstLine="0"/>
              <w:rPr>
                <w:color w:val="auto"/>
                <w:sz w:val="20"/>
                <w:szCs w:val="20"/>
              </w:rPr>
            </w:pPr>
            <w:r w:rsidRPr="00AD62E8">
              <w:rPr>
                <w:color w:val="auto"/>
                <w:sz w:val="20"/>
                <w:szCs w:val="20"/>
              </w:rPr>
              <w:t>5</w:t>
            </w:r>
          </w:p>
        </w:tc>
      </w:tr>
      <w:tr w:rsidR="00AD62E8" w:rsidRPr="00AD62E8" w:rsidTr="00AD62E8">
        <w:trPr>
          <w:trHeight w:val="247"/>
        </w:trPr>
        <w:tc>
          <w:tcPr>
            <w:tcW w:w="880" w:type="dxa"/>
            <w:tcBorders>
              <w:top w:val="nil"/>
              <w:left w:val="nil"/>
              <w:bottom w:val="nil"/>
              <w:right w:val="nil"/>
            </w:tcBorders>
            <w:vAlign w:val="center"/>
          </w:tcPr>
          <w:p w:rsidR="005B77DC" w:rsidRPr="00AD62E8" w:rsidRDefault="004F6C22" w:rsidP="00AD62E8">
            <w:pPr>
              <w:pStyle w:val="Normal1"/>
              <w:ind w:firstLine="0"/>
              <w:rPr>
                <w:color w:val="auto"/>
                <w:sz w:val="20"/>
                <w:szCs w:val="20"/>
              </w:rPr>
            </w:pPr>
            <w:r w:rsidRPr="00AD62E8">
              <w:rPr>
                <w:color w:val="auto"/>
                <w:sz w:val="20"/>
                <w:szCs w:val="20"/>
              </w:rPr>
              <w:t>15</w:t>
            </w:r>
          </w:p>
        </w:tc>
        <w:tc>
          <w:tcPr>
            <w:tcW w:w="725" w:type="dxa"/>
            <w:tcBorders>
              <w:top w:val="nil"/>
              <w:left w:val="nil"/>
              <w:bottom w:val="nil"/>
              <w:right w:val="nil"/>
            </w:tcBorders>
            <w:vAlign w:val="center"/>
          </w:tcPr>
          <w:p w:rsidR="005B77DC" w:rsidRPr="00AD62E8" w:rsidRDefault="004F6C22" w:rsidP="00AD62E8">
            <w:pPr>
              <w:pStyle w:val="Normal1"/>
              <w:ind w:firstLine="0"/>
              <w:rPr>
                <w:color w:val="auto"/>
                <w:sz w:val="20"/>
                <w:szCs w:val="20"/>
              </w:rPr>
            </w:pPr>
            <w:r w:rsidRPr="00AD62E8">
              <w:rPr>
                <w:color w:val="auto"/>
                <w:sz w:val="20"/>
                <w:szCs w:val="20"/>
              </w:rPr>
              <w:t>8</w:t>
            </w:r>
          </w:p>
        </w:tc>
        <w:tc>
          <w:tcPr>
            <w:tcW w:w="757" w:type="dxa"/>
            <w:tcBorders>
              <w:top w:val="nil"/>
              <w:left w:val="nil"/>
              <w:bottom w:val="nil"/>
              <w:right w:val="nil"/>
            </w:tcBorders>
            <w:vAlign w:val="center"/>
          </w:tcPr>
          <w:p w:rsidR="005B77DC" w:rsidRPr="00AD62E8" w:rsidRDefault="004F6C22" w:rsidP="00AD62E8">
            <w:pPr>
              <w:pStyle w:val="Normal1"/>
              <w:ind w:firstLine="0"/>
              <w:rPr>
                <w:color w:val="auto"/>
                <w:sz w:val="20"/>
                <w:szCs w:val="20"/>
              </w:rPr>
            </w:pPr>
            <w:r w:rsidRPr="00AD62E8">
              <w:rPr>
                <w:color w:val="auto"/>
                <w:sz w:val="20"/>
                <w:szCs w:val="20"/>
              </w:rPr>
              <w:t>K</w:t>
            </w:r>
          </w:p>
        </w:tc>
        <w:tc>
          <w:tcPr>
            <w:tcW w:w="956" w:type="dxa"/>
            <w:tcBorders>
              <w:top w:val="nil"/>
              <w:left w:val="nil"/>
              <w:bottom w:val="nil"/>
              <w:right w:val="nil"/>
            </w:tcBorders>
            <w:vAlign w:val="center"/>
          </w:tcPr>
          <w:p w:rsidR="005B77DC" w:rsidRPr="00AD62E8" w:rsidRDefault="004F6C22" w:rsidP="00AD62E8">
            <w:pPr>
              <w:pStyle w:val="Normal1"/>
              <w:ind w:firstLine="0"/>
              <w:rPr>
                <w:color w:val="auto"/>
                <w:sz w:val="20"/>
                <w:szCs w:val="20"/>
              </w:rPr>
            </w:pPr>
            <w:r w:rsidRPr="00AD62E8">
              <w:rPr>
                <w:color w:val="auto"/>
                <w:sz w:val="20"/>
                <w:szCs w:val="20"/>
              </w:rPr>
              <w:t>12,3</w:t>
            </w:r>
          </w:p>
        </w:tc>
        <w:tc>
          <w:tcPr>
            <w:tcW w:w="1197" w:type="dxa"/>
            <w:tcBorders>
              <w:top w:val="nil"/>
              <w:left w:val="nil"/>
              <w:bottom w:val="nil"/>
              <w:right w:val="nil"/>
            </w:tcBorders>
            <w:vAlign w:val="center"/>
          </w:tcPr>
          <w:p w:rsidR="005B77DC" w:rsidRPr="00AD62E8" w:rsidRDefault="004F6C22" w:rsidP="00AD62E8">
            <w:pPr>
              <w:pStyle w:val="Normal1"/>
              <w:ind w:firstLine="0"/>
              <w:rPr>
                <w:color w:val="auto"/>
                <w:sz w:val="20"/>
                <w:szCs w:val="20"/>
              </w:rPr>
            </w:pPr>
            <w:r w:rsidRPr="00AD62E8">
              <w:rPr>
                <w:color w:val="auto"/>
                <w:sz w:val="20"/>
                <w:szCs w:val="20"/>
              </w:rPr>
              <w:t>9,61</w:t>
            </w:r>
          </w:p>
        </w:tc>
        <w:tc>
          <w:tcPr>
            <w:tcW w:w="1197" w:type="dxa"/>
            <w:tcBorders>
              <w:top w:val="nil"/>
              <w:left w:val="nil"/>
              <w:bottom w:val="nil"/>
              <w:right w:val="nil"/>
            </w:tcBorders>
            <w:vAlign w:val="center"/>
          </w:tcPr>
          <w:p w:rsidR="005B77DC" w:rsidRPr="00AD62E8" w:rsidRDefault="004F6C22" w:rsidP="00AD62E8">
            <w:pPr>
              <w:pStyle w:val="Normal1"/>
              <w:ind w:firstLine="0"/>
              <w:rPr>
                <w:color w:val="auto"/>
                <w:sz w:val="20"/>
                <w:szCs w:val="20"/>
              </w:rPr>
            </w:pPr>
            <w:r w:rsidRPr="00AD62E8">
              <w:rPr>
                <w:color w:val="auto"/>
                <w:sz w:val="20"/>
                <w:szCs w:val="20"/>
              </w:rPr>
              <w:t>536</w:t>
            </w:r>
          </w:p>
        </w:tc>
        <w:tc>
          <w:tcPr>
            <w:tcW w:w="1170" w:type="dxa"/>
            <w:tcBorders>
              <w:top w:val="nil"/>
              <w:left w:val="nil"/>
              <w:bottom w:val="nil"/>
              <w:right w:val="nil"/>
            </w:tcBorders>
            <w:vAlign w:val="center"/>
          </w:tcPr>
          <w:p w:rsidR="005B77DC" w:rsidRPr="00AD62E8" w:rsidRDefault="004F6C22" w:rsidP="00AD62E8">
            <w:pPr>
              <w:pStyle w:val="Normal1"/>
              <w:ind w:firstLine="0"/>
              <w:rPr>
                <w:color w:val="auto"/>
                <w:sz w:val="20"/>
                <w:szCs w:val="20"/>
              </w:rPr>
            </w:pPr>
            <w:r w:rsidRPr="00AD62E8">
              <w:rPr>
                <w:color w:val="auto"/>
                <w:sz w:val="20"/>
                <w:szCs w:val="20"/>
              </w:rPr>
              <w:t>22,70</w:t>
            </w:r>
          </w:p>
        </w:tc>
        <w:tc>
          <w:tcPr>
            <w:tcW w:w="1115" w:type="dxa"/>
            <w:tcBorders>
              <w:top w:val="nil"/>
              <w:left w:val="nil"/>
              <w:bottom w:val="nil"/>
              <w:right w:val="nil"/>
            </w:tcBorders>
            <w:vAlign w:val="center"/>
          </w:tcPr>
          <w:p w:rsidR="005B77DC" w:rsidRPr="00AD62E8" w:rsidRDefault="004F6C22" w:rsidP="00AD62E8">
            <w:pPr>
              <w:pStyle w:val="Normal1"/>
              <w:ind w:firstLine="0"/>
              <w:rPr>
                <w:color w:val="auto"/>
                <w:sz w:val="20"/>
                <w:szCs w:val="20"/>
              </w:rPr>
            </w:pPr>
            <w:r w:rsidRPr="00AD62E8">
              <w:rPr>
                <w:color w:val="auto"/>
                <w:sz w:val="20"/>
                <w:szCs w:val="20"/>
              </w:rPr>
              <w:t>95</w:t>
            </w:r>
          </w:p>
        </w:tc>
        <w:tc>
          <w:tcPr>
            <w:tcW w:w="1115" w:type="dxa"/>
            <w:tcBorders>
              <w:top w:val="nil"/>
              <w:left w:val="nil"/>
              <w:bottom w:val="nil"/>
              <w:right w:val="nil"/>
            </w:tcBorders>
            <w:vAlign w:val="center"/>
          </w:tcPr>
          <w:p w:rsidR="005B77DC" w:rsidRPr="00AD62E8" w:rsidRDefault="004F6C22" w:rsidP="00AD62E8">
            <w:pPr>
              <w:pStyle w:val="Normal1"/>
              <w:ind w:firstLine="0"/>
              <w:rPr>
                <w:color w:val="auto"/>
                <w:sz w:val="20"/>
                <w:szCs w:val="20"/>
              </w:rPr>
            </w:pPr>
            <w:r w:rsidRPr="00AD62E8">
              <w:rPr>
                <w:color w:val="auto"/>
                <w:sz w:val="20"/>
                <w:szCs w:val="20"/>
              </w:rPr>
              <w:t>249</w:t>
            </w:r>
          </w:p>
        </w:tc>
        <w:tc>
          <w:tcPr>
            <w:tcW w:w="1031" w:type="dxa"/>
            <w:tcBorders>
              <w:top w:val="nil"/>
              <w:left w:val="nil"/>
              <w:bottom w:val="nil"/>
              <w:right w:val="nil"/>
            </w:tcBorders>
            <w:vAlign w:val="center"/>
          </w:tcPr>
          <w:p w:rsidR="005B77DC" w:rsidRPr="00AD62E8" w:rsidRDefault="004F6C22" w:rsidP="00AD62E8">
            <w:pPr>
              <w:pStyle w:val="Normal1"/>
              <w:ind w:firstLine="0"/>
              <w:rPr>
                <w:color w:val="auto"/>
                <w:sz w:val="20"/>
                <w:szCs w:val="20"/>
              </w:rPr>
            </w:pPr>
            <w:r w:rsidRPr="00AD62E8">
              <w:rPr>
                <w:color w:val="auto"/>
                <w:sz w:val="20"/>
                <w:szCs w:val="20"/>
              </w:rPr>
              <w:t>&lt;2,00</w:t>
            </w:r>
          </w:p>
        </w:tc>
        <w:tc>
          <w:tcPr>
            <w:tcW w:w="1400" w:type="dxa"/>
            <w:tcBorders>
              <w:top w:val="nil"/>
              <w:left w:val="nil"/>
              <w:bottom w:val="nil"/>
              <w:right w:val="nil"/>
            </w:tcBorders>
            <w:vAlign w:val="center"/>
          </w:tcPr>
          <w:p w:rsidR="005B77DC" w:rsidRPr="00AD62E8" w:rsidRDefault="004F6C22" w:rsidP="00AD62E8">
            <w:pPr>
              <w:pStyle w:val="Normal1"/>
              <w:ind w:firstLine="0"/>
              <w:rPr>
                <w:color w:val="auto"/>
                <w:sz w:val="20"/>
                <w:szCs w:val="20"/>
              </w:rPr>
            </w:pPr>
            <w:r w:rsidRPr="00AD62E8">
              <w:rPr>
                <w:color w:val="auto"/>
                <w:sz w:val="20"/>
                <w:szCs w:val="20"/>
              </w:rPr>
              <w:t>321,6</w:t>
            </w:r>
          </w:p>
        </w:tc>
        <w:tc>
          <w:tcPr>
            <w:tcW w:w="1078" w:type="dxa"/>
            <w:tcBorders>
              <w:top w:val="nil"/>
              <w:left w:val="nil"/>
              <w:bottom w:val="nil"/>
              <w:right w:val="nil"/>
            </w:tcBorders>
            <w:shd w:val="clear" w:color="auto" w:fill="auto"/>
            <w:vAlign w:val="center"/>
          </w:tcPr>
          <w:p w:rsidR="005B77DC" w:rsidRPr="00AD62E8" w:rsidRDefault="004F6C22" w:rsidP="00AD62E8">
            <w:pPr>
              <w:pStyle w:val="Normal1"/>
              <w:ind w:firstLine="0"/>
              <w:rPr>
                <w:color w:val="auto"/>
                <w:sz w:val="20"/>
                <w:szCs w:val="20"/>
              </w:rPr>
            </w:pPr>
            <w:r w:rsidRPr="00AD62E8">
              <w:rPr>
                <w:color w:val="auto"/>
                <w:sz w:val="20"/>
                <w:szCs w:val="20"/>
              </w:rPr>
              <w:t>7</w:t>
            </w:r>
          </w:p>
        </w:tc>
      </w:tr>
      <w:tr w:rsidR="00AD62E8" w:rsidRPr="00AD62E8" w:rsidTr="00AD62E8">
        <w:trPr>
          <w:trHeight w:val="247"/>
        </w:trPr>
        <w:tc>
          <w:tcPr>
            <w:tcW w:w="880" w:type="dxa"/>
            <w:tcBorders>
              <w:top w:val="nil"/>
              <w:left w:val="nil"/>
              <w:bottom w:val="nil"/>
              <w:right w:val="nil"/>
            </w:tcBorders>
            <w:vAlign w:val="center"/>
          </w:tcPr>
          <w:p w:rsidR="005B77DC" w:rsidRPr="00AD62E8" w:rsidRDefault="004F6C22" w:rsidP="00AD62E8">
            <w:pPr>
              <w:pStyle w:val="Normal1"/>
              <w:ind w:firstLine="0"/>
              <w:rPr>
                <w:color w:val="auto"/>
                <w:sz w:val="20"/>
                <w:szCs w:val="20"/>
              </w:rPr>
            </w:pPr>
            <w:r w:rsidRPr="00AD62E8">
              <w:rPr>
                <w:color w:val="auto"/>
                <w:sz w:val="20"/>
                <w:szCs w:val="20"/>
              </w:rPr>
              <w:t>16</w:t>
            </w:r>
          </w:p>
        </w:tc>
        <w:tc>
          <w:tcPr>
            <w:tcW w:w="725" w:type="dxa"/>
            <w:tcBorders>
              <w:top w:val="nil"/>
              <w:left w:val="nil"/>
              <w:bottom w:val="nil"/>
              <w:right w:val="nil"/>
            </w:tcBorders>
            <w:vAlign w:val="center"/>
          </w:tcPr>
          <w:p w:rsidR="005B77DC" w:rsidRPr="00AD62E8" w:rsidRDefault="004F6C22" w:rsidP="00AD62E8">
            <w:pPr>
              <w:pStyle w:val="Normal1"/>
              <w:ind w:firstLine="0"/>
              <w:rPr>
                <w:color w:val="auto"/>
                <w:sz w:val="20"/>
                <w:szCs w:val="20"/>
              </w:rPr>
            </w:pPr>
            <w:r w:rsidRPr="00AD62E8">
              <w:rPr>
                <w:color w:val="auto"/>
                <w:sz w:val="20"/>
                <w:szCs w:val="20"/>
              </w:rPr>
              <w:t>4</w:t>
            </w:r>
          </w:p>
        </w:tc>
        <w:tc>
          <w:tcPr>
            <w:tcW w:w="757" w:type="dxa"/>
            <w:tcBorders>
              <w:top w:val="nil"/>
              <w:left w:val="nil"/>
              <w:bottom w:val="nil"/>
              <w:right w:val="nil"/>
            </w:tcBorders>
            <w:vAlign w:val="center"/>
          </w:tcPr>
          <w:p w:rsidR="005B77DC" w:rsidRPr="00AD62E8" w:rsidRDefault="004F6C22" w:rsidP="00AD62E8">
            <w:pPr>
              <w:pStyle w:val="Normal1"/>
              <w:ind w:firstLine="0"/>
              <w:rPr>
                <w:color w:val="auto"/>
                <w:sz w:val="20"/>
                <w:szCs w:val="20"/>
              </w:rPr>
            </w:pPr>
            <w:r w:rsidRPr="00AD62E8">
              <w:rPr>
                <w:color w:val="auto"/>
                <w:sz w:val="20"/>
                <w:szCs w:val="20"/>
              </w:rPr>
              <w:t>E</w:t>
            </w:r>
          </w:p>
        </w:tc>
        <w:tc>
          <w:tcPr>
            <w:tcW w:w="956" w:type="dxa"/>
            <w:tcBorders>
              <w:top w:val="nil"/>
              <w:left w:val="nil"/>
              <w:bottom w:val="nil"/>
              <w:right w:val="nil"/>
            </w:tcBorders>
            <w:vAlign w:val="center"/>
          </w:tcPr>
          <w:p w:rsidR="005B77DC" w:rsidRPr="00AD62E8" w:rsidRDefault="004F6C22" w:rsidP="00AD62E8">
            <w:pPr>
              <w:pStyle w:val="Normal1"/>
              <w:ind w:firstLine="0"/>
              <w:rPr>
                <w:color w:val="auto"/>
                <w:sz w:val="20"/>
                <w:szCs w:val="20"/>
              </w:rPr>
            </w:pPr>
            <w:r w:rsidRPr="00AD62E8">
              <w:rPr>
                <w:color w:val="auto"/>
                <w:sz w:val="20"/>
                <w:szCs w:val="20"/>
              </w:rPr>
              <w:t>10,7</w:t>
            </w:r>
          </w:p>
        </w:tc>
        <w:tc>
          <w:tcPr>
            <w:tcW w:w="1197" w:type="dxa"/>
            <w:tcBorders>
              <w:top w:val="nil"/>
              <w:left w:val="nil"/>
              <w:bottom w:val="nil"/>
              <w:right w:val="nil"/>
            </w:tcBorders>
            <w:vAlign w:val="center"/>
          </w:tcPr>
          <w:p w:rsidR="005B77DC" w:rsidRPr="00AD62E8" w:rsidRDefault="004F6C22" w:rsidP="00AD62E8">
            <w:pPr>
              <w:pStyle w:val="Normal1"/>
              <w:ind w:firstLine="0"/>
              <w:rPr>
                <w:color w:val="auto"/>
                <w:sz w:val="20"/>
                <w:szCs w:val="20"/>
              </w:rPr>
            </w:pPr>
            <w:r w:rsidRPr="00AD62E8">
              <w:rPr>
                <w:color w:val="auto"/>
                <w:sz w:val="20"/>
                <w:szCs w:val="20"/>
              </w:rPr>
              <w:t>8,92</w:t>
            </w:r>
          </w:p>
        </w:tc>
        <w:tc>
          <w:tcPr>
            <w:tcW w:w="1197" w:type="dxa"/>
            <w:tcBorders>
              <w:top w:val="nil"/>
              <w:left w:val="nil"/>
              <w:bottom w:val="nil"/>
              <w:right w:val="nil"/>
            </w:tcBorders>
            <w:vAlign w:val="center"/>
          </w:tcPr>
          <w:p w:rsidR="005B77DC" w:rsidRPr="00AD62E8" w:rsidRDefault="004F6C22" w:rsidP="00AD62E8">
            <w:pPr>
              <w:pStyle w:val="Normal1"/>
              <w:ind w:firstLine="0"/>
              <w:rPr>
                <w:color w:val="auto"/>
                <w:sz w:val="20"/>
                <w:szCs w:val="20"/>
              </w:rPr>
            </w:pPr>
            <w:r w:rsidRPr="00AD62E8">
              <w:rPr>
                <w:color w:val="auto"/>
                <w:sz w:val="20"/>
                <w:szCs w:val="20"/>
              </w:rPr>
              <w:t>608</w:t>
            </w:r>
          </w:p>
        </w:tc>
        <w:tc>
          <w:tcPr>
            <w:tcW w:w="1170" w:type="dxa"/>
            <w:tcBorders>
              <w:top w:val="nil"/>
              <w:left w:val="nil"/>
              <w:bottom w:val="nil"/>
              <w:right w:val="nil"/>
            </w:tcBorders>
            <w:vAlign w:val="center"/>
          </w:tcPr>
          <w:p w:rsidR="005B77DC" w:rsidRPr="00AD62E8" w:rsidRDefault="004F6C22" w:rsidP="00AD62E8">
            <w:pPr>
              <w:pStyle w:val="Normal1"/>
              <w:ind w:firstLine="0"/>
              <w:rPr>
                <w:color w:val="auto"/>
                <w:sz w:val="20"/>
                <w:szCs w:val="20"/>
              </w:rPr>
            </w:pPr>
            <w:r w:rsidRPr="00AD62E8">
              <w:rPr>
                <w:color w:val="auto"/>
                <w:sz w:val="20"/>
                <w:szCs w:val="20"/>
              </w:rPr>
              <w:t>23,71</w:t>
            </w:r>
          </w:p>
        </w:tc>
        <w:tc>
          <w:tcPr>
            <w:tcW w:w="1115" w:type="dxa"/>
            <w:tcBorders>
              <w:top w:val="nil"/>
              <w:left w:val="nil"/>
              <w:bottom w:val="nil"/>
              <w:right w:val="nil"/>
            </w:tcBorders>
            <w:vAlign w:val="center"/>
          </w:tcPr>
          <w:p w:rsidR="005B77DC" w:rsidRPr="00AD62E8" w:rsidRDefault="004F6C22" w:rsidP="00AD62E8">
            <w:pPr>
              <w:pStyle w:val="Normal1"/>
              <w:ind w:firstLine="0"/>
              <w:rPr>
                <w:color w:val="auto"/>
                <w:sz w:val="20"/>
                <w:szCs w:val="20"/>
              </w:rPr>
            </w:pPr>
            <w:r w:rsidRPr="00AD62E8">
              <w:rPr>
                <w:color w:val="auto"/>
                <w:sz w:val="20"/>
                <w:szCs w:val="20"/>
              </w:rPr>
              <w:t>68</w:t>
            </w:r>
          </w:p>
        </w:tc>
        <w:tc>
          <w:tcPr>
            <w:tcW w:w="1115" w:type="dxa"/>
            <w:tcBorders>
              <w:top w:val="nil"/>
              <w:left w:val="nil"/>
              <w:bottom w:val="nil"/>
              <w:right w:val="nil"/>
            </w:tcBorders>
            <w:vAlign w:val="center"/>
          </w:tcPr>
          <w:p w:rsidR="005B77DC" w:rsidRPr="00AD62E8" w:rsidRDefault="004F6C22" w:rsidP="00AD62E8">
            <w:pPr>
              <w:pStyle w:val="Normal1"/>
              <w:ind w:firstLine="0"/>
              <w:rPr>
                <w:color w:val="auto"/>
                <w:sz w:val="20"/>
                <w:szCs w:val="20"/>
              </w:rPr>
            </w:pPr>
            <w:r w:rsidRPr="00AD62E8">
              <w:rPr>
                <w:color w:val="auto"/>
                <w:sz w:val="20"/>
                <w:szCs w:val="20"/>
              </w:rPr>
              <w:t>215</w:t>
            </w:r>
          </w:p>
        </w:tc>
        <w:tc>
          <w:tcPr>
            <w:tcW w:w="1031" w:type="dxa"/>
            <w:tcBorders>
              <w:top w:val="nil"/>
              <w:left w:val="nil"/>
              <w:bottom w:val="nil"/>
              <w:right w:val="nil"/>
            </w:tcBorders>
            <w:vAlign w:val="center"/>
          </w:tcPr>
          <w:p w:rsidR="005B77DC" w:rsidRPr="00AD62E8" w:rsidRDefault="004F6C22" w:rsidP="00AD62E8">
            <w:pPr>
              <w:pStyle w:val="Normal1"/>
              <w:ind w:firstLine="0"/>
              <w:rPr>
                <w:color w:val="auto"/>
                <w:sz w:val="20"/>
                <w:szCs w:val="20"/>
              </w:rPr>
            </w:pPr>
            <w:r w:rsidRPr="00AD62E8">
              <w:rPr>
                <w:color w:val="auto"/>
                <w:sz w:val="20"/>
                <w:szCs w:val="20"/>
              </w:rPr>
              <w:t>&lt;2,00</w:t>
            </w:r>
          </w:p>
        </w:tc>
        <w:tc>
          <w:tcPr>
            <w:tcW w:w="1400" w:type="dxa"/>
            <w:tcBorders>
              <w:top w:val="nil"/>
              <w:left w:val="nil"/>
              <w:bottom w:val="nil"/>
              <w:right w:val="nil"/>
            </w:tcBorders>
            <w:vAlign w:val="center"/>
          </w:tcPr>
          <w:p w:rsidR="005B77DC" w:rsidRPr="00AD62E8" w:rsidRDefault="004F6C22" w:rsidP="00AD62E8">
            <w:pPr>
              <w:pStyle w:val="Normal1"/>
              <w:ind w:firstLine="0"/>
              <w:rPr>
                <w:color w:val="auto"/>
                <w:sz w:val="20"/>
                <w:szCs w:val="20"/>
              </w:rPr>
            </w:pPr>
            <w:r w:rsidRPr="00AD62E8">
              <w:rPr>
                <w:color w:val="auto"/>
                <w:sz w:val="20"/>
                <w:szCs w:val="20"/>
              </w:rPr>
              <w:t>296,0</w:t>
            </w:r>
          </w:p>
        </w:tc>
        <w:tc>
          <w:tcPr>
            <w:tcW w:w="1078" w:type="dxa"/>
            <w:tcBorders>
              <w:top w:val="nil"/>
              <w:left w:val="nil"/>
              <w:bottom w:val="nil"/>
              <w:right w:val="nil"/>
            </w:tcBorders>
            <w:shd w:val="clear" w:color="auto" w:fill="auto"/>
            <w:vAlign w:val="center"/>
          </w:tcPr>
          <w:p w:rsidR="005B77DC" w:rsidRPr="00AD62E8" w:rsidRDefault="004F6C22" w:rsidP="00AD62E8">
            <w:pPr>
              <w:pStyle w:val="Normal1"/>
              <w:ind w:firstLine="0"/>
              <w:rPr>
                <w:color w:val="auto"/>
                <w:sz w:val="20"/>
                <w:szCs w:val="20"/>
              </w:rPr>
            </w:pPr>
            <w:r w:rsidRPr="00AD62E8">
              <w:rPr>
                <w:color w:val="auto"/>
                <w:sz w:val="20"/>
                <w:szCs w:val="20"/>
              </w:rPr>
              <w:t>6</w:t>
            </w:r>
          </w:p>
        </w:tc>
      </w:tr>
      <w:tr w:rsidR="00AD62E8" w:rsidRPr="00AD62E8" w:rsidTr="00AD62E8">
        <w:trPr>
          <w:trHeight w:val="247"/>
        </w:trPr>
        <w:tc>
          <w:tcPr>
            <w:tcW w:w="880" w:type="dxa"/>
            <w:tcBorders>
              <w:top w:val="nil"/>
              <w:left w:val="nil"/>
              <w:bottom w:val="nil"/>
              <w:right w:val="nil"/>
            </w:tcBorders>
            <w:vAlign w:val="center"/>
          </w:tcPr>
          <w:p w:rsidR="005B77DC" w:rsidRPr="00AD62E8" w:rsidRDefault="004F6C22" w:rsidP="00AD62E8">
            <w:pPr>
              <w:pStyle w:val="Normal1"/>
              <w:ind w:firstLine="0"/>
              <w:rPr>
                <w:color w:val="auto"/>
                <w:sz w:val="20"/>
                <w:szCs w:val="20"/>
              </w:rPr>
            </w:pPr>
            <w:r w:rsidRPr="00AD62E8">
              <w:rPr>
                <w:color w:val="auto"/>
                <w:sz w:val="20"/>
                <w:szCs w:val="20"/>
              </w:rPr>
              <w:t>17</w:t>
            </w:r>
          </w:p>
        </w:tc>
        <w:tc>
          <w:tcPr>
            <w:tcW w:w="725" w:type="dxa"/>
            <w:tcBorders>
              <w:top w:val="nil"/>
              <w:left w:val="nil"/>
              <w:bottom w:val="nil"/>
              <w:right w:val="nil"/>
            </w:tcBorders>
            <w:vAlign w:val="center"/>
          </w:tcPr>
          <w:p w:rsidR="005B77DC" w:rsidRPr="00AD62E8" w:rsidRDefault="004F6C22" w:rsidP="00AD62E8">
            <w:pPr>
              <w:pStyle w:val="Normal1"/>
              <w:ind w:firstLine="0"/>
              <w:rPr>
                <w:color w:val="auto"/>
                <w:sz w:val="20"/>
                <w:szCs w:val="20"/>
              </w:rPr>
            </w:pPr>
            <w:r w:rsidRPr="00AD62E8">
              <w:rPr>
                <w:color w:val="auto"/>
                <w:sz w:val="20"/>
                <w:szCs w:val="20"/>
              </w:rPr>
              <w:t>6</w:t>
            </w:r>
          </w:p>
        </w:tc>
        <w:tc>
          <w:tcPr>
            <w:tcW w:w="757" w:type="dxa"/>
            <w:tcBorders>
              <w:top w:val="nil"/>
              <w:left w:val="nil"/>
              <w:bottom w:val="nil"/>
              <w:right w:val="nil"/>
            </w:tcBorders>
            <w:vAlign w:val="center"/>
          </w:tcPr>
          <w:p w:rsidR="005B77DC" w:rsidRPr="00AD62E8" w:rsidRDefault="004F6C22" w:rsidP="00AD62E8">
            <w:pPr>
              <w:pStyle w:val="Normal1"/>
              <w:ind w:firstLine="0"/>
              <w:rPr>
                <w:color w:val="auto"/>
                <w:sz w:val="20"/>
                <w:szCs w:val="20"/>
              </w:rPr>
            </w:pPr>
            <w:r w:rsidRPr="00AD62E8">
              <w:rPr>
                <w:color w:val="auto"/>
                <w:sz w:val="20"/>
                <w:szCs w:val="20"/>
              </w:rPr>
              <w:t>K</w:t>
            </w:r>
          </w:p>
        </w:tc>
        <w:tc>
          <w:tcPr>
            <w:tcW w:w="956" w:type="dxa"/>
            <w:tcBorders>
              <w:top w:val="nil"/>
              <w:left w:val="nil"/>
              <w:bottom w:val="nil"/>
              <w:right w:val="nil"/>
            </w:tcBorders>
            <w:vAlign w:val="center"/>
          </w:tcPr>
          <w:p w:rsidR="005B77DC" w:rsidRPr="00AD62E8" w:rsidRDefault="004F6C22" w:rsidP="00AD62E8">
            <w:pPr>
              <w:pStyle w:val="Normal1"/>
              <w:ind w:firstLine="0"/>
              <w:rPr>
                <w:color w:val="auto"/>
                <w:sz w:val="20"/>
                <w:szCs w:val="20"/>
              </w:rPr>
            </w:pPr>
            <w:r w:rsidRPr="00AD62E8">
              <w:rPr>
                <w:color w:val="auto"/>
                <w:sz w:val="20"/>
                <w:szCs w:val="20"/>
              </w:rPr>
              <w:t>11,2</w:t>
            </w:r>
          </w:p>
        </w:tc>
        <w:tc>
          <w:tcPr>
            <w:tcW w:w="1197" w:type="dxa"/>
            <w:tcBorders>
              <w:top w:val="nil"/>
              <w:left w:val="nil"/>
              <w:bottom w:val="nil"/>
              <w:right w:val="nil"/>
            </w:tcBorders>
            <w:vAlign w:val="center"/>
          </w:tcPr>
          <w:p w:rsidR="005B77DC" w:rsidRPr="00AD62E8" w:rsidRDefault="004F6C22" w:rsidP="00AD62E8">
            <w:pPr>
              <w:pStyle w:val="Normal1"/>
              <w:ind w:firstLine="0"/>
              <w:rPr>
                <w:color w:val="auto"/>
                <w:sz w:val="20"/>
                <w:szCs w:val="20"/>
              </w:rPr>
            </w:pPr>
            <w:r w:rsidRPr="00AD62E8">
              <w:rPr>
                <w:color w:val="auto"/>
                <w:sz w:val="20"/>
                <w:szCs w:val="20"/>
              </w:rPr>
              <w:t>11,10</w:t>
            </w:r>
          </w:p>
        </w:tc>
        <w:tc>
          <w:tcPr>
            <w:tcW w:w="1197" w:type="dxa"/>
            <w:tcBorders>
              <w:top w:val="nil"/>
              <w:left w:val="nil"/>
              <w:bottom w:val="nil"/>
              <w:right w:val="nil"/>
            </w:tcBorders>
            <w:vAlign w:val="center"/>
          </w:tcPr>
          <w:p w:rsidR="005B77DC" w:rsidRPr="00AD62E8" w:rsidRDefault="004F6C22" w:rsidP="00AD62E8">
            <w:pPr>
              <w:pStyle w:val="Normal1"/>
              <w:ind w:firstLine="0"/>
              <w:rPr>
                <w:color w:val="auto"/>
                <w:sz w:val="20"/>
                <w:szCs w:val="20"/>
              </w:rPr>
            </w:pPr>
            <w:r w:rsidRPr="00AD62E8">
              <w:rPr>
                <w:color w:val="auto"/>
                <w:sz w:val="20"/>
                <w:szCs w:val="20"/>
              </w:rPr>
              <w:t>594</w:t>
            </w:r>
          </w:p>
        </w:tc>
        <w:tc>
          <w:tcPr>
            <w:tcW w:w="1170" w:type="dxa"/>
            <w:tcBorders>
              <w:top w:val="nil"/>
              <w:left w:val="nil"/>
              <w:bottom w:val="nil"/>
              <w:right w:val="nil"/>
            </w:tcBorders>
            <w:vAlign w:val="center"/>
          </w:tcPr>
          <w:p w:rsidR="005B77DC" w:rsidRPr="00AD62E8" w:rsidRDefault="004F6C22" w:rsidP="00AD62E8">
            <w:pPr>
              <w:pStyle w:val="Normal1"/>
              <w:ind w:firstLine="0"/>
              <w:rPr>
                <w:color w:val="auto"/>
                <w:sz w:val="20"/>
                <w:szCs w:val="20"/>
              </w:rPr>
            </w:pPr>
            <w:r w:rsidRPr="00AD62E8">
              <w:rPr>
                <w:color w:val="auto"/>
                <w:sz w:val="20"/>
                <w:szCs w:val="20"/>
              </w:rPr>
              <w:t>23,55</w:t>
            </w:r>
          </w:p>
        </w:tc>
        <w:tc>
          <w:tcPr>
            <w:tcW w:w="1115" w:type="dxa"/>
            <w:tcBorders>
              <w:top w:val="nil"/>
              <w:left w:val="nil"/>
              <w:bottom w:val="nil"/>
              <w:right w:val="nil"/>
            </w:tcBorders>
            <w:vAlign w:val="center"/>
          </w:tcPr>
          <w:p w:rsidR="005B77DC" w:rsidRPr="00AD62E8" w:rsidRDefault="004F6C22" w:rsidP="00AD62E8">
            <w:pPr>
              <w:pStyle w:val="Normal1"/>
              <w:ind w:firstLine="0"/>
              <w:rPr>
                <w:color w:val="auto"/>
                <w:sz w:val="20"/>
                <w:szCs w:val="20"/>
              </w:rPr>
            </w:pPr>
            <w:r w:rsidRPr="00AD62E8">
              <w:rPr>
                <w:color w:val="auto"/>
                <w:sz w:val="20"/>
                <w:szCs w:val="20"/>
              </w:rPr>
              <w:t>35</w:t>
            </w:r>
          </w:p>
        </w:tc>
        <w:tc>
          <w:tcPr>
            <w:tcW w:w="1115" w:type="dxa"/>
            <w:tcBorders>
              <w:top w:val="nil"/>
              <w:left w:val="nil"/>
              <w:bottom w:val="nil"/>
              <w:right w:val="nil"/>
            </w:tcBorders>
            <w:vAlign w:val="center"/>
          </w:tcPr>
          <w:p w:rsidR="005B77DC" w:rsidRPr="00AD62E8" w:rsidRDefault="004F6C22" w:rsidP="00AD62E8">
            <w:pPr>
              <w:pStyle w:val="Normal1"/>
              <w:ind w:firstLine="0"/>
              <w:rPr>
                <w:color w:val="auto"/>
                <w:sz w:val="20"/>
                <w:szCs w:val="20"/>
              </w:rPr>
            </w:pPr>
            <w:r w:rsidRPr="00AD62E8">
              <w:rPr>
                <w:color w:val="auto"/>
                <w:sz w:val="20"/>
                <w:szCs w:val="20"/>
              </w:rPr>
              <w:t>226</w:t>
            </w:r>
          </w:p>
        </w:tc>
        <w:tc>
          <w:tcPr>
            <w:tcW w:w="1031" w:type="dxa"/>
            <w:tcBorders>
              <w:top w:val="nil"/>
              <w:left w:val="nil"/>
              <w:bottom w:val="nil"/>
              <w:right w:val="nil"/>
            </w:tcBorders>
            <w:vAlign w:val="center"/>
          </w:tcPr>
          <w:p w:rsidR="005B77DC" w:rsidRPr="00AD62E8" w:rsidRDefault="004F6C22" w:rsidP="00AD62E8">
            <w:pPr>
              <w:pStyle w:val="Normal1"/>
              <w:ind w:firstLine="0"/>
              <w:rPr>
                <w:color w:val="auto"/>
                <w:sz w:val="20"/>
                <w:szCs w:val="20"/>
              </w:rPr>
            </w:pPr>
            <w:r w:rsidRPr="00AD62E8">
              <w:rPr>
                <w:color w:val="auto"/>
                <w:sz w:val="20"/>
                <w:szCs w:val="20"/>
              </w:rPr>
              <w:t>&lt;2,00</w:t>
            </w:r>
          </w:p>
        </w:tc>
        <w:tc>
          <w:tcPr>
            <w:tcW w:w="1400" w:type="dxa"/>
            <w:tcBorders>
              <w:top w:val="nil"/>
              <w:left w:val="nil"/>
              <w:bottom w:val="nil"/>
              <w:right w:val="nil"/>
            </w:tcBorders>
            <w:vAlign w:val="center"/>
          </w:tcPr>
          <w:p w:rsidR="005B77DC" w:rsidRPr="00AD62E8" w:rsidRDefault="004F6C22" w:rsidP="00AD62E8">
            <w:pPr>
              <w:pStyle w:val="Normal1"/>
              <w:ind w:firstLine="0"/>
              <w:rPr>
                <w:color w:val="auto"/>
                <w:sz w:val="20"/>
                <w:szCs w:val="20"/>
              </w:rPr>
            </w:pPr>
            <w:r w:rsidRPr="00AD62E8">
              <w:rPr>
                <w:color w:val="auto"/>
                <w:sz w:val="20"/>
                <w:szCs w:val="20"/>
              </w:rPr>
              <w:t>286,4</w:t>
            </w:r>
          </w:p>
        </w:tc>
        <w:tc>
          <w:tcPr>
            <w:tcW w:w="1078" w:type="dxa"/>
            <w:tcBorders>
              <w:top w:val="nil"/>
              <w:left w:val="nil"/>
              <w:bottom w:val="nil"/>
              <w:right w:val="nil"/>
            </w:tcBorders>
            <w:shd w:val="clear" w:color="auto" w:fill="auto"/>
            <w:vAlign w:val="center"/>
          </w:tcPr>
          <w:p w:rsidR="005B77DC" w:rsidRPr="00AD62E8" w:rsidRDefault="004F6C22" w:rsidP="00AD62E8">
            <w:pPr>
              <w:pStyle w:val="Normal1"/>
              <w:ind w:firstLine="0"/>
              <w:rPr>
                <w:color w:val="auto"/>
                <w:sz w:val="20"/>
                <w:szCs w:val="20"/>
              </w:rPr>
            </w:pPr>
            <w:r w:rsidRPr="00AD62E8">
              <w:rPr>
                <w:color w:val="auto"/>
                <w:sz w:val="20"/>
                <w:szCs w:val="20"/>
              </w:rPr>
              <w:t>17</w:t>
            </w:r>
          </w:p>
        </w:tc>
      </w:tr>
      <w:tr w:rsidR="00AD62E8" w:rsidRPr="00AD62E8" w:rsidTr="00AD62E8">
        <w:trPr>
          <w:trHeight w:val="247"/>
        </w:trPr>
        <w:tc>
          <w:tcPr>
            <w:tcW w:w="880" w:type="dxa"/>
            <w:tcBorders>
              <w:top w:val="nil"/>
              <w:left w:val="nil"/>
              <w:bottom w:val="nil"/>
              <w:right w:val="nil"/>
            </w:tcBorders>
            <w:vAlign w:val="center"/>
          </w:tcPr>
          <w:p w:rsidR="005B77DC" w:rsidRPr="00AD62E8" w:rsidRDefault="004F6C22" w:rsidP="00AD62E8">
            <w:pPr>
              <w:pStyle w:val="Normal1"/>
              <w:ind w:firstLine="0"/>
              <w:rPr>
                <w:color w:val="auto"/>
                <w:sz w:val="20"/>
                <w:szCs w:val="20"/>
              </w:rPr>
            </w:pPr>
            <w:r w:rsidRPr="00AD62E8">
              <w:rPr>
                <w:color w:val="auto"/>
                <w:sz w:val="20"/>
                <w:szCs w:val="20"/>
              </w:rPr>
              <w:t>18</w:t>
            </w:r>
          </w:p>
        </w:tc>
        <w:tc>
          <w:tcPr>
            <w:tcW w:w="725" w:type="dxa"/>
            <w:tcBorders>
              <w:top w:val="nil"/>
              <w:left w:val="nil"/>
              <w:bottom w:val="nil"/>
              <w:right w:val="nil"/>
            </w:tcBorders>
            <w:vAlign w:val="center"/>
          </w:tcPr>
          <w:p w:rsidR="005B77DC" w:rsidRPr="00AD62E8" w:rsidRDefault="004F6C22" w:rsidP="00AD62E8">
            <w:pPr>
              <w:pStyle w:val="Normal1"/>
              <w:ind w:firstLine="0"/>
              <w:rPr>
                <w:color w:val="auto"/>
                <w:sz w:val="20"/>
                <w:szCs w:val="20"/>
              </w:rPr>
            </w:pPr>
            <w:r w:rsidRPr="00AD62E8">
              <w:rPr>
                <w:color w:val="auto"/>
                <w:sz w:val="20"/>
                <w:szCs w:val="20"/>
              </w:rPr>
              <w:t>12</w:t>
            </w:r>
          </w:p>
        </w:tc>
        <w:tc>
          <w:tcPr>
            <w:tcW w:w="757" w:type="dxa"/>
            <w:tcBorders>
              <w:top w:val="nil"/>
              <w:left w:val="nil"/>
              <w:bottom w:val="nil"/>
              <w:right w:val="nil"/>
            </w:tcBorders>
            <w:vAlign w:val="center"/>
          </w:tcPr>
          <w:p w:rsidR="005B77DC" w:rsidRPr="00AD62E8" w:rsidRDefault="004F6C22" w:rsidP="00AD62E8">
            <w:pPr>
              <w:pStyle w:val="Normal1"/>
              <w:ind w:firstLine="0"/>
              <w:rPr>
                <w:color w:val="auto"/>
                <w:sz w:val="20"/>
                <w:szCs w:val="20"/>
              </w:rPr>
            </w:pPr>
            <w:r w:rsidRPr="00AD62E8">
              <w:rPr>
                <w:color w:val="auto"/>
                <w:sz w:val="20"/>
                <w:szCs w:val="20"/>
              </w:rPr>
              <w:t>E</w:t>
            </w:r>
          </w:p>
        </w:tc>
        <w:tc>
          <w:tcPr>
            <w:tcW w:w="956" w:type="dxa"/>
            <w:tcBorders>
              <w:top w:val="nil"/>
              <w:left w:val="nil"/>
              <w:bottom w:val="nil"/>
              <w:right w:val="nil"/>
            </w:tcBorders>
            <w:vAlign w:val="center"/>
          </w:tcPr>
          <w:p w:rsidR="005B77DC" w:rsidRPr="00AD62E8" w:rsidRDefault="004F6C22" w:rsidP="00AD62E8">
            <w:pPr>
              <w:pStyle w:val="Normal1"/>
              <w:ind w:firstLine="0"/>
              <w:rPr>
                <w:color w:val="auto"/>
                <w:sz w:val="20"/>
                <w:szCs w:val="20"/>
              </w:rPr>
            </w:pPr>
            <w:r w:rsidRPr="00AD62E8">
              <w:rPr>
                <w:color w:val="auto"/>
                <w:sz w:val="20"/>
                <w:szCs w:val="20"/>
              </w:rPr>
              <w:t>11,3</w:t>
            </w:r>
          </w:p>
        </w:tc>
        <w:tc>
          <w:tcPr>
            <w:tcW w:w="1197" w:type="dxa"/>
            <w:tcBorders>
              <w:top w:val="nil"/>
              <w:left w:val="nil"/>
              <w:bottom w:val="nil"/>
              <w:right w:val="nil"/>
            </w:tcBorders>
            <w:vAlign w:val="center"/>
          </w:tcPr>
          <w:p w:rsidR="005B77DC" w:rsidRPr="00AD62E8" w:rsidRDefault="004F6C22" w:rsidP="00AD62E8">
            <w:pPr>
              <w:pStyle w:val="Normal1"/>
              <w:ind w:firstLine="0"/>
              <w:rPr>
                <w:color w:val="auto"/>
                <w:sz w:val="20"/>
                <w:szCs w:val="20"/>
              </w:rPr>
            </w:pPr>
            <w:r w:rsidRPr="00AD62E8">
              <w:rPr>
                <w:color w:val="auto"/>
                <w:sz w:val="20"/>
                <w:szCs w:val="20"/>
              </w:rPr>
              <w:t>8,04</w:t>
            </w:r>
          </w:p>
        </w:tc>
        <w:tc>
          <w:tcPr>
            <w:tcW w:w="1197" w:type="dxa"/>
            <w:tcBorders>
              <w:top w:val="nil"/>
              <w:left w:val="nil"/>
              <w:bottom w:val="nil"/>
              <w:right w:val="nil"/>
            </w:tcBorders>
            <w:vAlign w:val="center"/>
          </w:tcPr>
          <w:p w:rsidR="005B77DC" w:rsidRPr="00AD62E8" w:rsidRDefault="004F6C22" w:rsidP="00AD62E8">
            <w:pPr>
              <w:pStyle w:val="Normal1"/>
              <w:ind w:firstLine="0"/>
              <w:rPr>
                <w:color w:val="auto"/>
                <w:sz w:val="20"/>
                <w:szCs w:val="20"/>
              </w:rPr>
            </w:pPr>
            <w:r w:rsidRPr="00AD62E8">
              <w:rPr>
                <w:color w:val="auto"/>
                <w:sz w:val="20"/>
                <w:szCs w:val="20"/>
              </w:rPr>
              <w:t>675</w:t>
            </w:r>
          </w:p>
        </w:tc>
        <w:tc>
          <w:tcPr>
            <w:tcW w:w="1170" w:type="dxa"/>
            <w:tcBorders>
              <w:top w:val="nil"/>
              <w:left w:val="nil"/>
              <w:bottom w:val="nil"/>
              <w:right w:val="nil"/>
            </w:tcBorders>
            <w:vAlign w:val="center"/>
          </w:tcPr>
          <w:p w:rsidR="005B77DC" w:rsidRPr="00AD62E8" w:rsidRDefault="004F6C22" w:rsidP="00AD62E8">
            <w:pPr>
              <w:pStyle w:val="Normal1"/>
              <w:ind w:firstLine="0"/>
              <w:rPr>
                <w:color w:val="auto"/>
                <w:sz w:val="20"/>
                <w:szCs w:val="20"/>
              </w:rPr>
            </w:pPr>
            <w:r w:rsidRPr="00AD62E8">
              <w:rPr>
                <w:color w:val="auto"/>
                <w:sz w:val="20"/>
                <w:szCs w:val="20"/>
              </w:rPr>
              <w:t>22,00</w:t>
            </w:r>
          </w:p>
        </w:tc>
        <w:tc>
          <w:tcPr>
            <w:tcW w:w="1115" w:type="dxa"/>
            <w:tcBorders>
              <w:top w:val="nil"/>
              <w:left w:val="nil"/>
              <w:bottom w:val="nil"/>
              <w:right w:val="nil"/>
            </w:tcBorders>
            <w:vAlign w:val="center"/>
          </w:tcPr>
          <w:p w:rsidR="005B77DC" w:rsidRPr="00AD62E8" w:rsidRDefault="004F6C22" w:rsidP="00AD62E8">
            <w:pPr>
              <w:pStyle w:val="Normal1"/>
              <w:ind w:firstLine="0"/>
              <w:rPr>
                <w:color w:val="auto"/>
                <w:sz w:val="20"/>
                <w:szCs w:val="20"/>
              </w:rPr>
            </w:pPr>
            <w:r w:rsidRPr="00AD62E8">
              <w:rPr>
                <w:color w:val="auto"/>
                <w:sz w:val="20"/>
                <w:szCs w:val="20"/>
              </w:rPr>
              <w:t>61</w:t>
            </w:r>
          </w:p>
        </w:tc>
        <w:tc>
          <w:tcPr>
            <w:tcW w:w="1115" w:type="dxa"/>
            <w:tcBorders>
              <w:top w:val="nil"/>
              <w:left w:val="nil"/>
              <w:bottom w:val="nil"/>
              <w:right w:val="nil"/>
            </w:tcBorders>
            <w:vAlign w:val="center"/>
          </w:tcPr>
          <w:p w:rsidR="005B77DC" w:rsidRPr="00AD62E8" w:rsidRDefault="004F6C22" w:rsidP="00AD62E8">
            <w:pPr>
              <w:pStyle w:val="Normal1"/>
              <w:ind w:firstLine="0"/>
              <w:rPr>
                <w:color w:val="auto"/>
                <w:sz w:val="20"/>
                <w:szCs w:val="20"/>
              </w:rPr>
            </w:pPr>
            <w:r w:rsidRPr="00AD62E8">
              <w:rPr>
                <w:color w:val="auto"/>
                <w:sz w:val="20"/>
                <w:szCs w:val="20"/>
              </w:rPr>
              <w:t>365</w:t>
            </w:r>
          </w:p>
        </w:tc>
        <w:tc>
          <w:tcPr>
            <w:tcW w:w="1031" w:type="dxa"/>
            <w:tcBorders>
              <w:top w:val="nil"/>
              <w:left w:val="nil"/>
              <w:bottom w:val="nil"/>
              <w:right w:val="nil"/>
            </w:tcBorders>
            <w:vAlign w:val="center"/>
          </w:tcPr>
          <w:p w:rsidR="005B77DC" w:rsidRPr="00AD62E8" w:rsidRDefault="004F6C22" w:rsidP="00AD62E8">
            <w:pPr>
              <w:pStyle w:val="Normal1"/>
              <w:ind w:firstLine="0"/>
              <w:rPr>
                <w:color w:val="auto"/>
                <w:sz w:val="20"/>
                <w:szCs w:val="20"/>
              </w:rPr>
            </w:pPr>
            <w:r w:rsidRPr="00AD62E8">
              <w:rPr>
                <w:color w:val="auto"/>
                <w:sz w:val="20"/>
                <w:szCs w:val="20"/>
              </w:rPr>
              <w:t>&lt;2,00</w:t>
            </w:r>
          </w:p>
        </w:tc>
        <w:tc>
          <w:tcPr>
            <w:tcW w:w="1400" w:type="dxa"/>
            <w:tcBorders>
              <w:top w:val="nil"/>
              <w:left w:val="nil"/>
              <w:bottom w:val="nil"/>
              <w:right w:val="nil"/>
            </w:tcBorders>
            <w:vAlign w:val="center"/>
          </w:tcPr>
          <w:p w:rsidR="005B77DC" w:rsidRPr="00AD62E8" w:rsidRDefault="004F6C22" w:rsidP="00AD62E8">
            <w:pPr>
              <w:pStyle w:val="Normal1"/>
              <w:ind w:firstLine="0"/>
              <w:rPr>
                <w:color w:val="auto"/>
                <w:sz w:val="20"/>
                <w:szCs w:val="20"/>
              </w:rPr>
            </w:pPr>
            <w:r w:rsidRPr="00AD62E8">
              <w:rPr>
                <w:color w:val="auto"/>
                <w:sz w:val="20"/>
                <w:szCs w:val="20"/>
              </w:rPr>
              <w:t>302,0</w:t>
            </w:r>
          </w:p>
        </w:tc>
        <w:tc>
          <w:tcPr>
            <w:tcW w:w="1078" w:type="dxa"/>
            <w:tcBorders>
              <w:top w:val="nil"/>
              <w:left w:val="nil"/>
              <w:bottom w:val="nil"/>
              <w:right w:val="nil"/>
            </w:tcBorders>
            <w:shd w:val="clear" w:color="auto" w:fill="auto"/>
            <w:vAlign w:val="center"/>
          </w:tcPr>
          <w:p w:rsidR="005B77DC" w:rsidRPr="00AD62E8" w:rsidRDefault="004F6C22" w:rsidP="00AD62E8">
            <w:pPr>
              <w:pStyle w:val="Normal1"/>
              <w:ind w:firstLine="0"/>
              <w:rPr>
                <w:color w:val="auto"/>
                <w:sz w:val="20"/>
                <w:szCs w:val="20"/>
              </w:rPr>
            </w:pPr>
            <w:r w:rsidRPr="00AD62E8">
              <w:rPr>
                <w:color w:val="auto"/>
                <w:sz w:val="20"/>
                <w:szCs w:val="20"/>
              </w:rPr>
              <w:t>8</w:t>
            </w:r>
          </w:p>
        </w:tc>
      </w:tr>
      <w:tr w:rsidR="00AD62E8" w:rsidRPr="00AD62E8" w:rsidTr="00AD62E8">
        <w:trPr>
          <w:trHeight w:val="247"/>
        </w:trPr>
        <w:tc>
          <w:tcPr>
            <w:tcW w:w="880" w:type="dxa"/>
            <w:tcBorders>
              <w:top w:val="nil"/>
              <w:left w:val="nil"/>
              <w:bottom w:val="nil"/>
              <w:right w:val="nil"/>
            </w:tcBorders>
            <w:vAlign w:val="center"/>
          </w:tcPr>
          <w:p w:rsidR="005B77DC" w:rsidRPr="00AD62E8" w:rsidRDefault="004F6C22" w:rsidP="00AD62E8">
            <w:pPr>
              <w:pStyle w:val="Normal1"/>
              <w:ind w:firstLine="0"/>
              <w:rPr>
                <w:color w:val="auto"/>
                <w:sz w:val="20"/>
                <w:szCs w:val="20"/>
              </w:rPr>
            </w:pPr>
            <w:r w:rsidRPr="00AD62E8">
              <w:rPr>
                <w:color w:val="auto"/>
                <w:sz w:val="20"/>
                <w:szCs w:val="20"/>
              </w:rPr>
              <w:t>19</w:t>
            </w:r>
          </w:p>
        </w:tc>
        <w:tc>
          <w:tcPr>
            <w:tcW w:w="725" w:type="dxa"/>
            <w:tcBorders>
              <w:top w:val="nil"/>
              <w:left w:val="nil"/>
              <w:bottom w:val="nil"/>
              <w:right w:val="nil"/>
            </w:tcBorders>
            <w:vAlign w:val="center"/>
          </w:tcPr>
          <w:p w:rsidR="005B77DC" w:rsidRPr="00AD62E8" w:rsidRDefault="004F6C22" w:rsidP="00AD62E8">
            <w:pPr>
              <w:pStyle w:val="Normal1"/>
              <w:ind w:firstLine="0"/>
              <w:rPr>
                <w:color w:val="auto"/>
                <w:sz w:val="20"/>
                <w:szCs w:val="20"/>
              </w:rPr>
            </w:pPr>
            <w:r w:rsidRPr="00AD62E8">
              <w:rPr>
                <w:color w:val="auto"/>
                <w:sz w:val="20"/>
                <w:szCs w:val="20"/>
              </w:rPr>
              <w:t>13</w:t>
            </w:r>
          </w:p>
        </w:tc>
        <w:tc>
          <w:tcPr>
            <w:tcW w:w="757" w:type="dxa"/>
            <w:tcBorders>
              <w:top w:val="nil"/>
              <w:left w:val="nil"/>
              <w:bottom w:val="nil"/>
              <w:right w:val="nil"/>
            </w:tcBorders>
            <w:vAlign w:val="center"/>
          </w:tcPr>
          <w:p w:rsidR="005B77DC" w:rsidRPr="00AD62E8" w:rsidRDefault="004F6C22" w:rsidP="00AD62E8">
            <w:pPr>
              <w:pStyle w:val="Normal1"/>
              <w:ind w:firstLine="0"/>
              <w:rPr>
                <w:color w:val="auto"/>
                <w:sz w:val="20"/>
                <w:szCs w:val="20"/>
              </w:rPr>
            </w:pPr>
            <w:r w:rsidRPr="00AD62E8">
              <w:rPr>
                <w:color w:val="auto"/>
                <w:sz w:val="20"/>
                <w:szCs w:val="20"/>
              </w:rPr>
              <w:t>E</w:t>
            </w:r>
          </w:p>
        </w:tc>
        <w:tc>
          <w:tcPr>
            <w:tcW w:w="956" w:type="dxa"/>
            <w:tcBorders>
              <w:top w:val="nil"/>
              <w:left w:val="nil"/>
              <w:bottom w:val="nil"/>
              <w:right w:val="nil"/>
            </w:tcBorders>
            <w:vAlign w:val="center"/>
          </w:tcPr>
          <w:p w:rsidR="005B77DC" w:rsidRPr="00AD62E8" w:rsidRDefault="004F6C22" w:rsidP="00AD62E8">
            <w:pPr>
              <w:pStyle w:val="Normal1"/>
              <w:ind w:firstLine="0"/>
              <w:rPr>
                <w:color w:val="auto"/>
                <w:sz w:val="20"/>
                <w:szCs w:val="20"/>
              </w:rPr>
            </w:pPr>
            <w:r w:rsidRPr="00AD62E8">
              <w:rPr>
                <w:color w:val="auto"/>
                <w:sz w:val="20"/>
                <w:szCs w:val="20"/>
              </w:rPr>
              <w:t>13,3</w:t>
            </w:r>
          </w:p>
        </w:tc>
        <w:tc>
          <w:tcPr>
            <w:tcW w:w="1197" w:type="dxa"/>
            <w:tcBorders>
              <w:top w:val="nil"/>
              <w:left w:val="nil"/>
              <w:bottom w:val="nil"/>
              <w:right w:val="nil"/>
            </w:tcBorders>
            <w:vAlign w:val="center"/>
          </w:tcPr>
          <w:p w:rsidR="005B77DC" w:rsidRPr="00AD62E8" w:rsidRDefault="004F6C22" w:rsidP="00AD62E8">
            <w:pPr>
              <w:pStyle w:val="Normal1"/>
              <w:ind w:firstLine="0"/>
              <w:rPr>
                <w:color w:val="auto"/>
                <w:sz w:val="20"/>
                <w:szCs w:val="20"/>
              </w:rPr>
            </w:pPr>
            <w:r w:rsidRPr="00AD62E8">
              <w:rPr>
                <w:color w:val="auto"/>
                <w:sz w:val="20"/>
                <w:szCs w:val="20"/>
              </w:rPr>
              <w:t>9,03</w:t>
            </w:r>
          </w:p>
        </w:tc>
        <w:tc>
          <w:tcPr>
            <w:tcW w:w="1197" w:type="dxa"/>
            <w:tcBorders>
              <w:top w:val="nil"/>
              <w:left w:val="nil"/>
              <w:bottom w:val="nil"/>
              <w:right w:val="nil"/>
            </w:tcBorders>
            <w:vAlign w:val="center"/>
          </w:tcPr>
          <w:p w:rsidR="005B77DC" w:rsidRPr="00AD62E8" w:rsidRDefault="004F6C22" w:rsidP="00AD62E8">
            <w:pPr>
              <w:pStyle w:val="Normal1"/>
              <w:ind w:firstLine="0"/>
              <w:rPr>
                <w:color w:val="auto"/>
                <w:sz w:val="20"/>
                <w:szCs w:val="20"/>
              </w:rPr>
            </w:pPr>
            <w:r w:rsidRPr="00AD62E8">
              <w:rPr>
                <w:color w:val="auto"/>
                <w:sz w:val="20"/>
                <w:szCs w:val="20"/>
              </w:rPr>
              <w:t>505</w:t>
            </w:r>
          </w:p>
        </w:tc>
        <w:tc>
          <w:tcPr>
            <w:tcW w:w="1170" w:type="dxa"/>
            <w:tcBorders>
              <w:top w:val="nil"/>
              <w:left w:val="nil"/>
              <w:bottom w:val="nil"/>
              <w:right w:val="nil"/>
            </w:tcBorders>
            <w:vAlign w:val="center"/>
          </w:tcPr>
          <w:p w:rsidR="005B77DC" w:rsidRPr="00AD62E8" w:rsidRDefault="004F6C22" w:rsidP="00AD62E8">
            <w:pPr>
              <w:pStyle w:val="Normal1"/>
              <w:ind w:firstLine="0"/>
              <w:rPr>
                <w:color w:val="auto"/>
                <w:sz w:val="20"/>
                <w:szCs w:val="20"/>
              </w:rPr>
            </w:pPr>
            <w:r w:rsidRPr="00AD62E8">
              <w:rPr>
                <w:color w:val="auto"/>
                <w:sz w:val="20"/>
                <w:szCs w:val="20"/>
              </w:rPr>
              <w:t>27,05</w:t>
            </w:r>
          </w:p>
        </w:tc>
        <w:tc>
          <w:tcPr>
            <w:tcW w:w="1115" w:type="dxa"/>
            <w:tcBorders>
              <w:top w:val="nil"/>
              <w:left w:val="nil"/>
              <w:bottom w:val="nil"/>
              <w:right w:val="nil"/>
            </w:tcBorders>
            <w:vAlign w:val="center"/>
          </w:tcPr>
          <w:p w:rsidR="005B77DC" w:rsidRPr="00AD62E8" w:rsidRDefault="004F6C22" w:rsidP="00AD62E8">
            <w:pPr>
              <w:pStyle w:val="Normal1"/>
              <w:ind w:firstLine="0"/>
              <w:rPr>
                <w:color w:val="auto"/>
                <w:sz w:val="20"/>
                <w:szCs w:val="20"/>
              </w:rPr>
            </w:pPr>
            <w:r w:rsidRPr="00AD62E8">
              <w:rPr>
                <w:color w:val="auto"/>
                <w:sz w:val="20"/>
                <w:szCs w:val="20"/>
              </w:rPr>
              <w:t>31</w:t>
            </w:r>
          </w:p>
        </w:tc>
        <w:tc>
          <w:tcPr>
            <w:tcW w:w="1115" w:type="dxa"/>
            <w:tcBorders>
              <w:top w:val="nil"/>
              <w:left w:val="nil"/>
              <w:bottom w:val="nil"/>
              <w:right w:val="nil"/>
            </w:tcBorders>
            <w:vAlign w:val="center"/>
          </w:tcPr>
          <w:p w:rsidR="005B77DC" w:rsidRPr="00AD62E8" w:rsidRDefault="004F6C22" w:rsidP="00AD62E8">
            <w:pPr>
              <w:pStyle w:val="Normal1"/>
              <w:ind w:firstLine="0"/>
              <w:rPr>
                <w:color w:val="auto"/>
                <w:sz w:val="20"/>
                <w:szCs w:val="20"/>
              </w:rPr>
            </w:pPr>
            <w:r w:rsidRPr="00AD62E8">
              <w:rPr>
                <w:color w:val="auto"/>
                <w:sz w:val="20"/>
                <w:szCs w:val="20"/>
              </w:rPr>
              <w:t>339</w:t>
            </w:r>
          </w:p>
        </w:tc>
        <w:tc>
          <w:tcPr>
            <w:tcW w:w="1031" w:type="dxa"/>
            <w:tcBorders>
              <w:top w:val="nil"/>
              <w:left w:val="nil"/>
              <w:bottom w:val="nil"/>
              <w:right w:val="nil"/>
            </w:tcBorders>
            <w:vAlign w:val="center"/>
          </w:tcPr>
          <w:p w:rsidR="005B77DC" w:rsidRPr="00AD62E8" w:rsidRDefault="004F6C22" w:rsidP="00AD62E8">
            <w:pPr>
              <w:pStyle w:val="Normal1"/>
              <w:ind w:firstLine="0"/>
              <w:rPr>
                <w:color w:val="auto"/>
                <w:sz w:val="20"/>
                <w:szCs w:val="20"/>
              </w:rPr>
            </w:pPr>
            <w:r w:rsidRPr="00AD62E8">
              <w:rPr>
                <w:color w:val="auto"/>
                <w:sz w:val="20"/>
                <w:szCs w:val="20"/>
              </w:rPr>
              <w:t>&lt;2,00</w:t>
            </w:r>
          </w:p>
        </w:tc>
        <w:tc>
          <w:tcPr>
            <w:tcW w:w="1400" w:type="dxa"/>
            <w:tcBorders>
              <w:top w:val="nil"/>
              <w:left w:val="nil"/>
              <w:bottom w:val="nil"/>
              <w:right w:val="nil"/>
            </w:tcBorders>
            <w:vAlign w:val="center"/>
          </w:tcPr>
          <w:p w:rsidR="005B77DC" w:rsidRPr="00AD62E8" w:rsidRDefault="004F6C22" w:rsidP="00AD62E8">
            <w:pPr>
              <w:pStyle w:val="Normal1"/>
              <w:ind w:firstLine="0"/>
              <w:rPr>
                <w:color w:val="auto"/>
                <w:sz w:val="20"/>
                <w:szCs w:val="20"/>
              </w:rPr>
            </w:pPr>
            <w:r w:rsidRPr="00AD62E8">
              <w:rPr>
                <w:color w:val="auto"/>
                <w:sz w:val="20"/>
                <w:szCs w:val="20"/>
              </w:rPr>
              <w:t>256,2</w:t>
            </w:r>
          </w:p>
        </w:tc>
        <w:tc>
          <w:tcPr>
            <w:tcW w:w="1078" w:type="dxa"/>
            <w:tcBorders>
              <w:top w:val="nil"/>
              <w:left w:val="nil"/>
              <w:bottom w:val="nil"/>
              <w:right w:val="nil"/>
            </w:tcBorders>
            <w:shd w:val="clear" w:color="auto" w:fill="auto"/>
            <w:vAlign w:val="center"/>
          </w:tcPr>
          <w:p w:rsidR="005B77DC" w:rsidRPr="00AD62E8" w:rsidRDefault="004F6C22" w:rsidP="00AD62E8">
            <w:pPr>
              <w:pStyle w:val="Normal1"/>
              <w:ind w:firstLine="0"/>
              <w:rPr>
                <w:color w:val="auto"/>
                <w:sz w:val="20"/>
                <w:szCs w:val="20"/>
              </w:rPr>
            </w:pPr>
            <w:r w:rsidRPr="00AD62E8">
              <w:rPr>
                <w:color w:val="auto"/>
                <w:sz w:val="20"/>
                <w:szCs w:val="20"/>
              </w:rPr>
              <w:t>9</w:t>
            </w:r>
          </w:p>
        </w:tc>
      </w:tr>
      <w:tr w:rsidR="00AD62E8" w:rsidRPr="00AD62E8" w:rsidTr="00AD62E8">
        <w:trPr>
          <w:trHeight w:val="236"/>
        </w:trPr>
        <w:tc>
          <w:tcPr>
            <w:tcW w:w="880" w:type="dxa"/>
            <w:tcBorders>
              <w:top w:val="nil"/>
              <w:left w:val="nil"/>
              <w:bottom w:val="nil"/>
              <w:right w:val="nil"/>
            </w:tcBorders>
            <w:vAlign w:val="center"/>
          </w:tcPr>
          <w:p w:rsidR="005B77DC" w:rsidRPr="00AD62E8" w:rsidRDefault="004F6C22" w:rsidP="00AD62E8">
            <w:pPr>
              <w:pStyle w:val="Normal1"/>
              <w:ind w:firstLine="0"/>
              <w:rPr>
                <w:color w:val="auto"/>
                <w:sz w:val="20"/>
                <w:szCs w:val="20"/>
              </w:rPr>
            </w:pPr>
            <w:r w:rsidRPr="00AD62E8">
              <w:rPr>
                <w:color w:val="auto"/>
                <w:sz w:val="20"/>
                <w:szCs w:val="20"/>
              </w:rPr>
              <w:t>20</w:t>
            </w:r>
          </w:p>
        </w:tc>
        <w:tc>
          <w:tcPr>
            <w:tcW w:w="725" w:type="dxa"/>
            <w:tcBorders>
              <w:top w:val="nil"/>
              <w:left w:val="nil"/>
              <w:bottom w:val="nil"/>
              <w:right w:val="nil"/>
            </w:tcBorders>
            <w:vAlign w:val="center"/>
          </w:tcPr>
          <w:p w:rsidR="005B77DC" w:rsidRPr="00AD62E8" w:rsidRDefault="004F6C22" w:rsidP="00AD62E8">
            <w:pPr>
              <w:pStyle w:val="Normal1"/>
              <w:ind w:firstLine="0"/>
              <w:rPr>
                <w:color w:val="auto"/>
                <w:sz w:val="20"/>
                <w:szCs w:val="20"/>
              </w:rPr>
            </w:pPr>
            <w:r w:rsidRPr="00AD62E8">
              <w:rPr>
                <w:color w:val="auto"/>
                <w:sz w:val="20"/>
                <w:szCs w:val="20"/>
              </w:rPr>
              <w:t>8</w:t>
            </w:r>
          </w:p>
        </w:tc>
        <w:tc>
          <w:tcPr>
            <w:tcW w:w="757" w:type="dxa"/>
            <w:tcBorders>
              <w:top w:val="nil"/>
              <w:left w:val="nil"/>
              <w:bottom w:val="nil"/>
              <w:right w:val="nil"/>
            </w:tcBorders>
            <w:vAlign w:val="center"/>
          </w:tcPr>
          <w:p w:rsidR="005B77DC" w:rsidRPr="00AD62E8" w:rsidRDefault="004F6C22" w:rsidP="00AD62E8">
            <w:pPr>
              <w:pStyle w:val="Normal1"/>
              <w:ind w:firstLine="0"/>
              <w:rPr>
                <w:color w:val="auto"/>
                <w:sz w:val="20"/>
                <w:szCs w:val="20"/>
              </w:rPr>
            </w:pPr>
            <w:r w:rsidRPr="00AD62E8">
              <w:rPr>
                <w:color w:val="auto"/>
                <w:sz w:val="20"/>
                <w:szCs w:val="20"/>
              </w:rPr>
              <w:t>E</w:t>
            </w:r>
          </w:p>
        </w:tc>
        <w:tc>
          <w:tcPr>
            <w:tcW w:w="956" w:type="dxa"/>
            <w:tcBorders>
              <w:top w:val="nil"/>
              <w:left w:val="nil"/>
              <w:bottom w:val="nil"/>
              <w:right w:val="nil"/>
            </w:tcBorders>
            <w:vAlign w:val="center"/>
          </w:tcPr>
          <w:p w:rsidR="005B77DC" w:rsidRPr="00AD62E8" w:rsidRDefault="004F6C22" w:rsidP="00AD62E8">
            <w:pPr>
              <w:pStyle w:val="Normal1"/>
              <w:ind w:firstLine="0"/>
              <w:rPr>
                <w:color w:val="auto"/>
                <w:sz w:val="20"/>
                <w:szCs w:val="20"/>
              </w:rPr>
            </w:pPr>
            <w:r w:rsidRPr="00AD62E8">
              <w:rPr>
                <w:color w:val="auto"/>
                <w:sz w:val="20"/>
                <w:szCs w:val="20"/>
              </w:rPr>
              <w:t>13,8</w:t>
            </w:r>
          </w:p>
        </w:tc>
        <w:tc>
          <w:tcPr>
            <w:tcW w:w="1197" w:type="dxa"/>
            <w:tcBorders>
              <w:top w:val="nil"/>
              <w:left w:val="nil"/>
              <w:bottom w:val="nil"/>
              <w:right w:val="nil"/>
            </w:tcBorders>
            <w:vAlign w:val="center"/>
          </w:tcPr>
          <w:p w:rsidR="005B77DC" w:rsidRPr="00AD62E8" w:rsidRDefault="004F6C22" w:rsidP="00AD62E8">
            <w:pPr>
              <w:pStyle w:val="Normal1"/>
              <w:ind w:firstLine="0"/>
              <w:rPr>
                <w:color w:val="auto"/>
                <w:sz w:val="20"/>
                <w:szCs w:val="20"/>
              </w:rPr>
            </w:pPr>
            <w:r w:rsidRPr="00AD62E8">
              <w:rPr>
                <w:color w:val="auto"/>
                <w:sz w:val="20"/>
                <w:szCs w:val="20"/>
              </w:rPr>
              <w:t>9,99</w:t>
            </w:r>
          </w:p>
        </w:tc>
        <w:tc>
          <w:tcPr>
            <w:tcW w:w="1197" w:type="dxa"/>
            <w:tcBorders>
              <w:top w:val="nil"/>
              <w:left w:val="nil"/>
              <w:bottom w:val="nil"/>
              <w:right w:val="nil"/>
            </w:tcBorders>
            <w:vAlign w:val="center"/>
          </w:tcPr>
          <w:p w:rsidR="005B77DC" w:rsidRPr="00AD62E8" w:rsidRDefault="004F6C22" w:rsidP="00AD62E8">
            <w:pPr>
              <w:pStyle w:val="Normal1"/>
              <w:ind w:firstLine="0"/>
              <w:rPr>
                <w:color w:val="auto"/>
                <w:sz w:val="20"/>
                <w:szCs w:val="20"/>
              </w:rPr>
            </w:pPr>
            <w:r w:rsidRPr="00AD62E8">
              <w:rPr>
                <w:color w:val="auto"/>
                <w:sz w:val="20"/>
                <w:szCs w:val="20"/>
              </w:rPr>
              <w:t>524</w:t>
            </w:r>
          </w:p>
        </w:tc>
        <w:tc>
          <w:tcPr>
            <w:tcW w:w="1170" w:type="dxa"/>
            <w:tcBorders>
              <w:top w:val="nil"/>
              <w:left w:val="nil"/>
              <w:bottom w:val="nil"/>
              <w:right w:val="nil"/>
            </w:tcBorders>
            <w:vAlign w:val="center"/>
          </w:tcPr>
          <w:p w:rsidR="005B77DC" w:rsidRPr="00AD62E8" w:rsidRDefault="004F6C22" w:rsidP="00AD62E8">
            <w:pPr>
              <w:pStyle w:val="Normal1"/>
              <w:ind w:firstLine="0"/>
              <w:rPr>
                <w:color w:val="auto"/>
                <w:sz w:val="20"/>
                <w:szCs w:val="20"/>
              </w:rPr>
            </w:pPr>
            <w:r w:rsidRPr="00AD62E8">
              <w:rPr>
                <w:color w:val="auto"/>
                <w:sz w:val="20"/>
                <w:szCs w:val="20"/>
              </w:rPr>
              <w:t>46,54</w:t>
            </w:r>
          </w:p>
        </w:tc>
        <w:tc>
          <w:tcPr>
            <w:tcW w:w="1115" w:type="dxa"/>
            <w:tcBorders>
              <w:top w:val="nil"/>
              <w:left w:val="nil"/>
              <w:bottom w:val="nil"/>
              <w:right w:val="nil"/>
            </w:tcBorders>
            <w:vAlign w:val="center"/>
          </w:tcPr>
          <w:p w:rsidR="005B77DC" w:rsidRPr="00AD62E8" w:rsidRDefault="004F6C22" w:rsidP="00AD62E8">
            <w:pPr>
              <w:pStyle w:val="Normal1"/>
              <w:ind w:firstLine="0"/>
              <w:rPr>
                <w:color w:val="auto"/>
                <w:sz w:val="20"/>
                <w:szCs w:val="20"/>
              </w:rPr>
            </w:pPr>
            <w:r w:rsidRPr="00AD62E8">
              <w:rPr>
                <w:color w:val="auto"/>
                <w:sz w:val="20"/>
                <w:szCs w:val="20"/>
              </w:rPr>
              <w:t>45</w:t>
            </w:r>
          </w:p>
        </w:tc>
        <w:tc>
          <w:tcPr>
            <w:tcW w:w="1115" w:type="dxa"/>
            <w:tcBorders>
              <w:top w:val="nil"/>
              <w:left w:val="nil"/>
              <w:bottom w:val="nil"/>
              <w:right w:val="nil"/>
            </w:tcBorders>
            <w:vAlign w:val="center"/>
          </w:tcPr>
          <w:p w:rsidR="005B77DC" w:rsidRPr="00AD62E8" w:rsidRDefault="004F6C22" w:rsidP="00AD62E8">
            <w:pPr>
              <w:pStyle w:val="Normal1"/>
              <w:ind w:firstLine="0"/>
              <w:rPr>
                <w:color w:val="auto"/>
                <w:sz w:val="20"/>
                <w:szCs w:val="20"/>
              </w:rPr>
            </w:pPr>
            <w:r w:rsidRPr="00AD62E8">
              <w:rPr>
                <w:color w:val="auto"/>
                <w:sz w:val="20"/>
                <w:szCs w:val="20"/>
              </w:rPr>
              <w:t>305</w:t>
            </w:r>
          </w:p>
        </w:tc>
        <w:tc>
          <w:tcPr>
            <w:tcW w:w="1031" w:type="dxa"/>
            <w:tcBorders>
              <w:top w:val="nil"/>
              <w:left w:val="nil"/>
              <w:bottom w:val="nil"/>
              <w:right w:val="nil"/>
            </w:tcBorders>
            <w:vAlign w:val="center"/>
          </w:tcPr>
          <w:p w:rsidR="005B77DC" w:rsidRPr="00AD62E8" w:rsidRDefault="004F6C22" w:rsidP="00AD62E8">
            <w:pPr>
              <w:pStyle w:val="Normal1"/>
              <w:ind w:firstLine="0"/>
              <w:rPr>
                <w:color w:val="auto"/>
                <w:sz w:val="20"/>
                <w:szCs w:val="20"/>
              </w:rPr>
            </w:pPr>
            <w:r w:rsidRPr="00AD62E8">
              <w:rPr>
                <w:color w:val="auto"/>
                <w:sz w:val="20"/>
                <w:szCs w:val="20"/>
              </w:rPr>
              <w:t>2,10</w:t>
            </w:r>
          </w:p>
        </w:tc>
        <w:tc>
          <w:tcPr>
            <w:tcW w:w="1400" w:type="dxa"/>
            <w:tcBorders>
              <w:top w:val="nil"/>
              <w:left w:val="nil"/>
              <w:bottom w:val="nil"/>
              <w:right w:val="nil"/>
            </w:tcBorders>
            <w:vAlign w:val="center"/>
          </w:tcPr>
          <w:p w:rsidR="005B77DC" w:rsidRPr="00AD62E8" w:rsidRDefault="004F6C22" w:rsidP="00AD62E8">
            <w:pPr>
              <w:pStyle w:val="Normal1"/>
              <w:ind w:firstLine="0"/>
              <w:rPr>
                <w:color w:val="auto"/>
                <w:sz w:val="20"/>
                <w:szCs w:val="20"/>
              </w:rPr>
            </w:pPr>
            <w:r w:rsidRPr="00AD62E8">
              <w:rPr>
                <w:color w:val="auto"/>
                <w:sz w:val="20"/>
                <w:szCs w:val="20"/>
              </w:rPr>
              <w:t>350,0</w:t>
            </w:r>
          </w:p>
        </w:tc>
        <w:tc>
          <w:tcPr>
            <w:tcW w:w="1078" w:type="dxa"/>
            <w:tcBorders>
              <w:top w:val="nil"/>
              <w:left w:val="nil"/>
              <w:bottom w:val="nil"/>
              <w:right w:val="nil"/>
            </w:tcBorders>
            <w:shd w:val="clear" w:color="auto" w:fill="auto"/>
            <w:vAlign w:val="center"/>
          </w:tcPr>
          <w:p w:rsidR="005B77DC" w:rsidRPr="00AD62E8" w:rsidRDefault="004F6C22" w:rsidP="00AD62E8">
            <w:pPr>
              <w:pStyle w:val="Normal1"/>
              <w:ind w:firstLine="0"/>
              <w:rPr>
                <w:color w:val="auto"/>
                <w:sz w:val="20"/>
                <w:szCs w:val="20"/>
              </w:rPr>
            </w:pPr>
            <w:r w:rsidRPr="00AD62E8">
              <w:rPr>
                <w:color w:val="auto"/>
                <w:sz w:val="20"/>
                <w:szCs w:val="20"/>
              </w:rPr>
              <w:t>13</w:t>
            </w:r>
          </w:p>
        </w:tc>
      </w:tr>
      <w:tr w:rsidR="00AD62E8" w:rsidRPr="00AD62E8" w:rsidTr="00AD62E8">
        <w:trPr>
          <w:trHeight w:val="247"/>
        </w:trPr>
        <w:tc>
          <w:tcPr>
            <w:tcW w:w="880" w:type="dxa"/>
            <w:tcBorders>
              <w:top w:val="nil"/>
              <w:left w:val="nil"/>
              <w:bottom w:val="single" w:sz="4" w:space="0" w:color="auto"/>
              <w:right w:val="nil"/>
            </w:tcBorders>
            <w:vAlign w:val="center"/>
          </w:tcPr>
          <w:p w:rsidR="005B77DC" w:rsidRPr="00AD62E8" w:rsidRDefault="004F6C22" w:rsidP="00AD62E8">
            <w:pPr>
              <w:pStyle w:val="Normal1"/>
              <w:ind w:firstLine="0"/>
              <w:rPr>
                <w:color w:val="auto"/>
                <w:sz w:val="20"/>
                <w:szCs w:val="20"/>
              </w:rPr>
            </w:pPr>
            <w:r w:rsidRPr="00AD62E8">
              <w:rPr>
                <w:color w:val="auto"/>
                <w:sz w:val="20"/>
                <w:szCs w:val="20"/>
              </w:rPr>
              <w:t>21</w:t>
            </w:r>
          </w:p>
        </w:tc>
        <w:tc>
          <w:tcPr>
            <w:tcW w:w="725" w:type="dxa"/>
            <w:tcBorders>
              <w:top w:val="nil"/>
              <w:left w:val="nil"/>
              <w:bottom w:val="single" w:sz="4" w:space="0" w:color="auto"/>
              <w:right w:val="nil"/>
            </w:tcBorders>
            <w:vAlign w:val="center"/>
          </w:tcPr>
          <w:p w:rsidR="005B77DC" w:rsidRPr="00AD62E8" w:rsidRDefault="004F6C22" w:rsidP="00AD62E8">
            <w:pPr>
              <w:pStyle w:val="Normal1"/>
              <w:ind w:firstLine="0"/>
              <w:rPr>
                <w:color w:val="auto"/>
                <w:sz w:val="20"/>
                <w:szCs w:val="20"/>
              </w:rPr>
            </w:pPr>
            <w:r w:rsidRPr="00AD62E8">
              <w:rPr>
                <w:color w:val="auto"/>
                <w:sz w:val="20"/>
                <w:szCs w:val="20"/>
              </w:rPr>
              <w:t>4</w:t>
            </w:r>
          </w:p>
        </w:tc>
        <w:tc>
          <w:tcPr>
            <w:tcW w:w="757" w:type="dxa"/>
            <w:tcBorders>
              <w:top w:val="nil"/>
              <w:left w:val="nil"/>
              <w:bottom w:val="single" w:sz="4" w:space="0" w:color="auto"/>
              <w:right w:val="nil"/>
            </w:tcBorders>
            <w:vAlign w:val="center"/>
          </w:tcPr>
          <w:p w:rsidR="005B77DC" w:rsidRPr="00AD62E8" w:rsidRDefault="004F6C22" w:rsidP="00AD62E8">
            <w:pPr>
              <w:pStyle w:val="Normal1"/>
              <w:ind w:firstLine="0"/>
              <w:rPr>
                <w:color w:val="auto"/>
                <w:sz w:val="20"/>
                <w:szCs w:val="20"/>
              </w:rPr>
            </w:pPr>
            <w:r w:rsidRPr="00AD62E8">
              <w:rPr>
                <w:color w:val="auto"/>
                <w:sz w:val="20"/>
                <w:szCs w:val="20"/>
              </w:rPr>
              <w:t>E</w:t>
            </w:r>
          </w:p>
        </w:tc>
        <w:tc>
          <w:tcPr>
            <w:tcW w:w="956" w:type="dxa"/>
            <w:tcBorders>
              <w:top w:val="nil"/>
              <w:left w:val="nil"/>
              <w:bottom w:val="single" w:sz="4" w:space="0" w:color="auto"/>
              <w:right w:val="nil"/>
            </w:tcBorders>
            <w:vAlign w:val="center"/>
          </w:tcPr>
          <w:p w:rsidR="005B77DC" w:rsidRPr="00AD62E8" w:rsidRDefault="004F6C22" w:rsidP="00AD62E8">
            <w:pPr>
              <w:pStyle w:val="Normal1"/>
              <w:ind w:firstLine="0"/>
              <w:rPr>
                <w:color w:val="auto"/>
                <w:sz w:val="20"/>
                <w:szCs w:val="20"/>
              </w:rPr>
            </w:pPr>
            <w:r w:rsidRPr="00AD62E8">
              <w:rPr>
                <w:color w:val="auto"/>
                <w:sz w:val="20"/>
                <w:szCs w:val="20"/>
              </w:rPr>
              <w:t>12,9</w:t>
            </w:r>
          </w:p>
        </w:tc>
        <w:tc>
          <w:tcPr>
            <w:tcW w:w="1197" w:type="dxa"/>
            <w:tcBorders>
              <w:top w:val="nil"/>
              <w:left w:val="nil"/>
              <w:bottom w:val="single" w:sz="4" w:space="0" w:color="auto"/>
              <w:right w:val="nil"/>
            </w:tcBorders>
            <w:vAlign w:val="center"/>
          </w:tcPr>
          <w:p w:rsidR="005B77DC" w:rsidRPr="00AD62E8" w:rsidRDefault="004F6C22" w:rsidP="00AD62E8">
            <w:pPr>
              <w:pStyle w:val="Normal1"/>
              <w:ind w:firstLine="0"/>
              <w:rPr>
                <w:color w:val="auto"/>
                <w:sz w:val="20"/>
                <w:szCs w:val="20"/>
              </w:rPr>
            </w:pPr>
            <w:r w:rsidRPr="00AD62E8">
              <w:rPr>
                <w:color w:val="auto"/>
                <w:sz w:val="20"/>
                <w:szCs w:val="20"/>
              </w:rPr>
              <w:t>8,61</w:t>
            </w:r>
          </w:p>
        </w:tc>
        <w:tc>
          <w:tcPr>
            <w:tcW w:w="1197" w:type="dxa"/>
            <w:tcBorders>
              <w:top w:val="nil"/>
              <w:left w:val="nil"/>
              <w:bottom w:val="single" w:sz="4" w:space="0" w:color="auto"/>
              <w:right w:val="nil"/>
            </w:tcBorders>
            <w:vAlign w:val="center"/>
          </w:tcPr>
          <w:p w:rsidR="005B77DC" w:rsidRPr="00AD62E8" w:rsidRDefault="004F6C22" w:rsidP="00AD62E8">
            <w:pPr>
              <w:pStyle w:val="Normal1"/>
              <w:ind w:firstLine="0"/>
              <w:rPr>
                <w:color w:val="auto"/>
                <w:sz w:val="20"/>
                <w:szCs w:val="20"/>
              </w:rPr>
            </w:pPr>
            <w:r w:rsidRPr="00AD62E8">
              <w:rPr>
                <w:color w:val="auto"/>
                <w:sz w:val="20"/>
                <w:szCs w:val="20"/>
              </w:rPr>
              <w:t>666</w:t>
            </w:r>
          </w:p>
        </w:tc>
        <w:tc>
          <w:tcPr>
            <w:tcW w:w="1170" w:type="dxa"/>
            <w:tcBorders>
              <w:top w:val="nil"/>
              <w:left w:val="nil"/>
              <w:bottom w:val="single" w:sz="4" w:space="0" w:color="auto"/>
              <w:right w:val="nil"/>
            </w:tcBorders>
            <w:vAlign w:val="center"/>
          </w:tcPr>
          <w:p w:rsidR="005B77DC" w:rsidRPr="00AD62E8" w:rsidRDefault="004F6C22" w:rsidP="00AD62E8">
            <w:pPr>
              <w:pStyle w:val="Normal1"/>
              <w:ind w:firstLine="0"/>
              <w:rPr>
                <w:color w:val="auto"/>
                <w:sz w:val="20"/>
                <w:szCs w:val="20"/>
              </w:rPr>
            </w:pPr>
            <w:r w:rsidRPr="00AD62E8">
              <w:rPr>
                <w:color w:val="auto"/>
                <w:sz w:val="20"/>
                <w:szCs w:val="20"/>
              </w:rPr>
              <w:t>26,10</w:t>
            </w:r>
          </w:p>
        </w:tc>
        <w:tc>
          <w:tcPr>
            <w:tcW w:w="1115" w:type="dxa"/>
            <w:tcBorders>
              <w:top w:val="nil"/>
              <w:left w:val="nil"/>
              <w:bottom w:val="single" w:sz="4" w:space="0" w:color="auto"/>
              <w:right w:val="nil"/>
            </w:tcBorders>
            <w:vAlign w:val="center"/>
          </w:tcPr>
          <w:p w:rsidR="005B77DC" w:rsidRPr="00AD62E8" w:rsidRDefault="004F6C22" w:rsidP="00AD62E8">
            <w:pPr>
              <w:pStyle w:val="Normal1"/>
              <w:ind w:firstLine="0"/>
              <w:rPr>
                <w:color w:val="auto"/>
                <w:sz w:val="20"/>
                <w:szCs w:val="20"/>
              </w:rPr>
            </w:pPr>
            <w:r w:rsidRPr="00AD62E8">
              <w:rPr>
                <w:color w:val="auto"/>
                <w:sz w:val="20"/>
                <w:szCs w:val="20"/>
              </w:rPr>
              <w:t>43</w:t>
            </w:r>
          </w:p>
        </w:tc>
        <w:tc>
          <w:tcPr>
            <w:tcW w:w="1115" w:type="dxa"/>
            <w:tcBorders>
              <w:top w:val="nil"/>
              <w:left w:val="nil"/>
              <w:bottom w:val="single" w:sz="4" w:space="0" w:color="auto"/>
              <w:right w:val="nil"/>
            </w:tcBorders>
            <w:vAlign w:val="center"/>
          </w:tcPr>
          <w:p w:rsidR="005B77DC" w:rsidRPr="00AD62E8" w:rsidRDefault="004F6C22" w:rsidP="00AD62E8">
            <w:pPr>
              <w:pStyle w:val="Normal1"/>
              <w:ind w:firstLine="0"/>
              <w:rPr>
                <w:color w:val="auto"/>
                <w:sz w:val="20"/>
                <w:szCs w:val="20"/>
              </w:rPr>
            </w:pPr>
            <w:r w:rsidRPr="00AD62E8">
              <w:rPr>
                <w:color w:val="auto"/>
                <w:sz w:val="20"/>
                <w:szCs w:val="20"/>
              </w:rPr>
              <w:t>312</w:t>
            </w:r>
          </w:p>
        </w:tc>
        <w:tc>
          <w:tcPr>
            <w:tcW w:w="1031" w:type="dxa"/>
            <w:tcBorders>
              <w:top w:val="nil"/>
              <w:left w:val="nil"/>
              <w:bottom w:val="single" w:sz="4" w:space="0" w:color="auto"/>
              <w:right w:val="nil"/>
            </w:tcBorders>
            <w:vAlign w:val="center"/>
          </w:tcPr>
          <w:p w:rsidR="005B77DC" w:rsidRPr="00AD62E8" w:rsidRDefault="004F6C22" w:rsidP="00AD62E8">
            <w:pPr>
              <w:pStyle w:val="Normal1"/>
              <w:ind w:firstLine="0"/>
              <w:rPr>
                <w:color w:val="auto"/>
                <w:sz w:val="20"/>
                <w:szCs w:val="20"/>
              </w:rPr>
            </w:pPr>
            <w:r w:rsidRPr="00AD62E8">
              <w:rPr>
                <w:color w:val="auto"/>
                <w:sz w:val="20"/>
                <w:szCs w:val="20"/>
              </w:rPr>
              <w:t>&lt;2,00</w:t>
            </w:r>
          </w:p>
        </w:tc>
        <w:tc>
          <w:tcPr>
            <w:tcW w:w="1400" w:type="dxa"/>
            <w:tcBorders>
              <w:top w:val="nil"/>
              <w:left w:val="nil"/>
              <w:bottom w:val="single" w:sz="4" w:space="0" w:color="auto"/>
              <w:right w:val="nil"/>
            </w:tcBorders>
            <w:vAlign w:val="center"/>
          </w:tcPr>
          <w:p w:rsidR="005B77DC" w:rsidRPr="00AD62E8" w:rsidRDefault="004F6C22" w:rsidP="00AD62E8">
            <w:pPr>
              <w:pStyle w:val="Normal1"/>
              <w:ind w:firstLine="0"/>
              <w:rPr>
                <w:color w:val="auto"/>
                <w:sz w:val="20"/>
                <w:szCs w:val="20"/>
              </w:rPr>
            </w:pPr>
            <w:r w:rsidRPr="00AD62E8">
              <w:rPr>
                <w:color w:val="auto"/>
                <w:sz w:val="20"/>
                <w:szCs w:val="20"/>
              </w:rPr>
              <w:t>271,3</w:t>
            </w:r>
          </w:p>
        </w:tc>
        <w:tc>
          <w:tcPr>
            <w:tcW w:w="1078" w:type="dxa"/>
            <w:tcBorders>
              <w:top w:val="nil"/>
              <w:left w:val="nil"/>
              <w:bottom w:val="single" w:sz="4" w:space="0" w:color="auto"/>
              <w:right w:val="nil"/>
            </w:tcBorders>
            <w:shd w:val="clear" w:color="auto" w:fill="auto"/>
            <w:vAlign w:val="center"/>
          </w:tcPr>
          <w:p w:rsidR="005B77DC" w:rsidRPr="00AD62E8" w:rsidRDefault="004F6C22" w:rsidP="00AD62E8">
            <w:pPr>
              <w:pStyle w:val="Normal1"/>
              <w:ind w:firstLine="0"/>
              <w:rPr>
                <w:color w:val="auto"/>
                <w:sz w:val="20"/>
                <w:szCs w:val="20"/>
              </w:rPr>
            </w:pPr>
            <w:r w:rsidRPr="00AD62E8">
              <w:rPr>
                <w:color w:val="auto"/>
                <w:sz w:val="20"/>
                <w:szCs w:val="20"/>
              </w:rPr>
              <w:t>11</w:t>
            </w:r>
          </w:p>
        </w:tc>
      </w:tr>
    </w:tbl>
    <w:p w:rsidR="005B77DC" w:rsidRDefault="005B77DC">
      <w:pPr>
        <w:pStyle w:val="Normal1"/>
        <w:ind w:firstLine="709"/>
      </w:pPr>
    </w:p>
    <w:p w:rsidR="005B77DC" w:rsidRDefault="005B77DC">
      <w:pPr>
        <w:pStyle w:val="Normal1"/>
        <w:ind w:firstLine="709"/>
        <w:sectPr w:rsidR="005B77DC" w:rsidSect="004F35E3">
          <w:pgSz w:w="16838" w:h="11906" w:orient="landscape"/>
          <w:pgMar w:top="1418" w:right="1304" w:bottom="1418" w:left="1701" w:header="851" w:footer="851" w:gutter="0"/>
          <w:cols w:space="708" w:equalWidth="0">
            <w:col w:w="9406"/>
          </w:cols>
          <w:docGrid w:linePitch="326"/>
        </w:sectPr>
      </w:pPr>
    </w:p>
    <w:p w:rsidR="005B77DC" w:rsidRDefault="004F6C22">
      <w:pPr>
        <w:pStyle w:val="Normal1"/>
        <w:ind w:firstLine="0"/>
      </w:pPr>
      <w:r>
        <w:rPr>
          <w:b/>
        </w:rPr>
        <w:lastRenderedPageBreak/>
        <w:t>Tablo 5.</w:t>
      </w:r>
      <w:r>
        <w:t xml:space="preserve"> Tüm hastaların tam kan sayımının (CBC) laboratuvar sonuçları (n=21).</w:t>
      </w:r>
    </w:p>
    <w:tbl>
      <w:tblPr>
        <w:tblStyle w:val="a5"/>
        <w:tblW w:w="8585" w:type="dxa"/>
        <w:jc w:val="center"/>
        <w:tblInd w:w="0" w:type="dxa"/>
        <w:tblBorders>
          <w:top w:val="single" w:sz="8" w:space="0" w:color="4F81BD"/>
          <w:left w:val="nil"/>
          <w:bottom w:val="single" w:sz="8" w:space="0" w:color="4F81BD"/>
          <w:right w:val="nil"/>
          <w:insideH w:val="nil"/>
          <w:insideV w:val="nil"/>
        </w:tblBorders>
        <w:tblLayout w:type="fixed"/>
        <w:tblLook w:val="0400"/>
      </w:tblPr>
      <w:tblGrid>
        <w:gridCol w:w="2429"/>
        <w:gridCol w:w="1060"/>
        <w:gridCol w:w="1647"/>
        <w:gridCol w:w="1719"/>
        <w:gridCol w:w="1730"/>
      </w:tblGrid>
      <w:tr w:rsidR="005B77DC" w:rsidRPr="00AD62E8" w:rsidTr="00974BE1">
        <w:trPr>
          <w:trHeight w:val="22"/>
          <w:jc w:val="center"/>
        </w:trPr>
        <w:tc>
          <w:tcPr>
            <w:tcW w:w="2429" w:type="dxa"/>
            <w:tcBorders>
              <w:top w:val="single" w:sz="4" w:space="0" w:color="000000"/>
              <w:bottom w:val="single" w:sz="4" w:space="0" w:color="000000"/>
            </w:tcBorders>
            <w:vAlign w:val="center"/>
          </w:tcPr>
          <w:p w:rsidR="005B77DC" w:rsidRPr="00AD62E8" w:rsidRDefault="005B77DC">
            <w:pPr>
              <w:pStyle w:val="Normal1"/>
              <w:ind w:firstLine="0"/>
              <w:jc w:val="center"/>
              <w:rPr>
                <w:b/>
                <w:color w:val="auto"/>
                <w:sz w:val="20"/>
                <w:szCs w:val="20"/>
              </w:rPr>
            </w:pPr>
          </w:p>
        </w:tc>
        <w:tc>
          <w:tcPr>
            <w:tcW w:w="1060" w:type="dxa"/>
            <w:tcBorders>
              <w:top w:val="single" w:sz="4" w:space="0" w:color="000000"/>
              <w:bottom w:val="single" w:sz="4" w:space="0" w:color="000000"/>
            </w:tcBorders>
            <w:vAlign w:val="center"/>
          </w:tcPr>
          <w:p w:rsidR="005B77DC" w:rsidRPr="00AD62E8" w:rsidRDefault="004F6C22">
            <w:pPr>
              <w:pStyle w:val="Normal1"/>
              <w:ind w:firstLine="0"/>
              <w:jc w:val="center"/>
              <w:rPr>
                <w:b/>
                <w:color w:val="auto"/>
                <w:sz w:val="20"/>
                <w:szCs w:val="20"/>
              </w:rPr>
            </w:pPr>
            <w:r w:rsidRPr="00AD62E8">
              <w:rPr>
                <w:b/>
                <w:color w:val="auto"/>
                <w:sz w:val="20"/>
                <w:szCs w:val="20"/>
              </w:rPr>
              <w:t>Ortalama</w:t>
            </w:r>
          </w:p>
        </w:tc>
        <w:tc>
          <w:tcPr>
            <w:tcW w:w="1647" w:type="dxa"/>
            <w:tcBorders>
              <w:top w:val="single" w:sz="4" w:space="0" w:color="000000"/>
              <w:bottom w:val="single" w:sz="4" w:space="0" w:color="000000"/>
            </w:tcBorders>
            <w:vAlign w:val="center"/>
          </w:tcPr>
          <w:p w:rsidR="005B77DC" w:rsidRPr="00AD62E8" w:rsidRDefault="004F6C22">
            <w:pPr>
              <w:pStyle w:val="Normal1"/>
              <w:ind w:firstLine="0"/>
              <w:jc w:val="center"/>
              <w:rPr>
                <w:b/>
                <w:color w:val="auto"/>
                <w:sz w:val="20"/>
                <w:szCs w:val="20"/>
              </w:rPr>
            </w:pPr>
            <w:r w:rsidRPr="00AD62E8">
              <w:rPr>
                <w:b/>
                <w:color w:val="auto"/>
                <w:sz w:val="20"/>
                <w:szCs w:val="20"/>
              </w:rPr>
              <w:t>SD*</w:t>
            </w:r>
          </w:p>
        </w:tc>
        <w:tc>
          <w:tcPr>
            <w:tcW w:w="1719" w:type="dxa"/>
            <w:tcBorders>
              <w:top w:val="single" w:sz="4" w:space="0" w:color="000000"/>
              <w:bottom w:val="single" w:sz="4" w:space="0" w:color="000000"/>
            </w:tcBorders>
            <w:vAlign w:val="center"/>
          </w:tcPr>
          <w:p w:rsidR="005B77DC" w:rsidRPr="00AD62E8" w:rsidRDefault="004F6C22">
            <w:pPr>
              <w:pStyle w:val="Normal1"/>
              <w:ind w:firstLine="0"/>
              <w:jc w:val="center"/>
              <w:rPr>
                <w:b/>
                <w:color w:val="auto"/>
                <w:sz w:val="20"/>
                <w:szCs w:val="20"/>
              </w:rPr>
            </w:pPr>
            <w:r w:rsidRPr="00AD62E8">
              <w:rPr>
                <w:b/>
                <w:color w:val="auto"/>
                <w:sz w:val="20"/>
                <w:szCs w:val="20"/>
              </w:rPr>
              <w:t>Minumum</w:t>
            </w:r>
          </w:p>
        </w:tc>
        <w:tc>
          <w:tcPr>
            <w:tcW w:w="1730" w:type="dxa"/>
            <w:tcBorders>
              <w:top w:val="single" w:sz="4" w:space="0" w:color="000000"/>
              <w:bottom w:val="single" w:sz="4" w:space="0" w:color="000000"/>
            </w:tcBorders>
            <w:vAlign w:val="center"/>
          </w:tcPr>
          <w:p w:rsidR="005B77DC" w:rsidRPr="00AD62E8" w:rsidRDefault="004F6C22">
            <w:pPr>
              <w:pStyle w:val="Normal1"/>
              <w:ind w:firstLine="0"/>
              <w:jc w:val="center"/>
              <w:rPr>
                <w:b/>
                <w:color w:val="auto"/>
                <w:sz w:val="20"/>
                <w:szCs w:val="20"/>
              </w:rPr>
            </w:pPr>
            <w:r w:rsidRPr="00AD62E8">
              <w:rPr>
                <w:b/>
                <w:color w:val="auto"/>
                <w:sz w:val="20"/>
                <w:szCs w:val="20"/>
              </w:rPr>
              <w:t>Maksimum</w:t>
            </w:r>
          </w:p>
        </w:tc>
      </w:tr>
      <w:tr w:rsidR="005B77DC" w:rsidRPr="00AD62E8" w:rsidTr="00974BE1">
        <w:trPr>
          <w:trHeight w:val="22"/>
          <w:jc w:val="center"/>
        </w:trPr>
        <w:tc>
          <w:tcPr>
            <w:tcW w:w="2429" w:type="dxa"/>
            <w:tcBorders>
              <w:top w:val="single" w:sz="4" w:space="0" w:color="000000"/>
            </w:tcBorders>
            <w:vAlign w:val="center"/>
          </w:tcPr>
          <w:p w:rsidR="005B77DC" w:rsidRPr="00AD62E8" w:rsidRDefault="004F6C22">
            <w:pPr>
              <w:pStyle w:val="Normal1"/>
              <w:ind w:firstLine="0"/>
              <w:jc w:val="center"/>
              <w:rPr>
                <w:color w:val="auto"/>
                <w:sz w:val="20"/>
                <w:szCs w:val="20"/>
              </w:rPr>
            </w:pPr>
            <w:r w:rsidRPr="00AD62E8">
              <w:rPr>
                <w:color w:val="auto"/>
                <w:sz w:val="20"/>
                <w:szCs w:val="20"/>
              </w:rPr>
              <w:t>Hemoglobin sayısı (gr/dL)</w:t>
            </w:r>
          </w:p>
        </w:tc>
        <w:tc>
          <w:tcPr>
            <w:tcW w:w="1060" w:type="dxa"/>
            <w:tcBorders>
              <w:top w:val="single" w:sz="4" w:space="0" w:color="000000"/>
            </w:tcBorders>
            <w:vAlign w:val="center"/>
          </w:tcPr>
          <w:p w:rsidR="005B77DC" w:rsidRPr="00AD62E8" w:rsidRDefault="004F6C22">
            <w:pPr>
              <w:pStyle w:val="Normal1"/>
              <w:ind w:firstLine="0"/>
              <w:jc w:val="center"/>
              <w:rPr>
                <w:color w:val="auto"/>
                <w:sz w:val="20"/>
                <w:szCs w:val="20"/>
              </w:rPr>
            </w:pPr>
            <w:r w:rsidRPr="00AD62E8">
              <w:rPr>
                <w:color w:val="auto"/>
                <w:sz w:val="20"/>
                <w:szCs w:val="20"/>
              </w:rPr>
              <w:t>12,28</w:t>
            </w:r>
          </w:p>
        </w:tc>
        <w:tc>
          <w:tcPr>
            <w:tcW w:w="1647" w:type="dxa"/>
            <w:tcBorders>
              <w:top w:val="single" w:sz="4" w:space="0" w:color="000000"/>
            </w:tcBorders>
            <w:vAlign w:val="center"/>
          </w:tcPr>
          <w:p w:rsidR="005B77DC" w:rsidRPr="00AD62E8" w:rsidRDefault="004F6C22">
            <w:pPr>
              <w:pStyle w:val="Normal1"/>
              <w:ind w:firstLine="0"/>
              <w:jc w:val="center"/>
              <w:rPr>
                <w:color w:val="auto"/>
                <w:sz w:val="20"/>
                <w:szCs w:val="20"/>
              </w:rPr>
            </w:pPr>
            <w:r w:rsidRPr="00AD62E8">
              <w:rPr>
                <w:color w:val="auto"/>
                <w:sz w:val="20"/>
                <w:szCs w:val="20"/>
              </w:rPr>
              <w:t>0,95</w:t>
            </w:r>
          </w:p>
        </w:tc>
        <w:tc>
          <w:tcPr>
            <w:tcW w:w="1719" w:type="dxa"/>
            <w:tcBorders>
              <w:top w:val="single" w:sz="4" w:space="0" w:color="000000"/>
            </w:tcBorders>
            <w:vAlign w:val="center"/>
          </w:tcPr>
          <w:p w:rsidR="005B77DC" w:rsidRPr="00AD62E8" w:rsidRDefault="004F6C22">
            <w:pPr>
              <w:pStyle w:val="Normal1"/>
              <w:ind w:firstLine="0"/>
              <w:jc w:val="center"/>
              <w:rPr>
                <w:color w:val="auto"/>
                <w:sz w:val="20"/>
                <w:szCs w:val="20"/>
              </w:rPr>
            </w:pPr>
            <w:r w:rsidRPr="00AD62E8">
              <w:rPr>
                <w:color w:val="auto"/>
                <w:sz w:val="20"/>
                <w:szCs w:val="20"/>
              </w:rPr>
              <w:t>10,70</w:t>
            </w:r>
          </w:p>
        </w:tc>
        <w:tc>
          <w:tcPr>
            <w:tcW w:w="1730" w:type="dxa"/>
            <w:tcBorders>
              <w:top w:val="single" w:sz="4" w:space="0" w:color="000000"/>
            </w:tcBorders>
            <w:vAlign w:val="center"/>
          </w:tcPr>
          <w:p w:rsidR="005B77DC" w:rsidRPr="00AD62E8" w:rsidRDefault="004F6C22">
            <w:pPr>
              <w:pStyle w:val="Normal1"/>
              <w:ind w:firstLine="0"/>
              <w:jc w:val="center"/>
              <w:rPr>
                <w:color w:val="auto"/>
                <w:sz w:val="20"/>
                <w:szCs w:val="20"/>
              </w:rPr>
            </w:pPr>
            <w:r w:rsidRPr="00AD62E8">
              <w:rPr>
                <w:color w:val="auto"/>
                <w:sz w:val="20"/>
                <w:szCs w:val="20"/>
              </w:rPr>
              <w:t>14,10</w:t>
            </w:r>
          </w:p>
        </w:tc>
      </w:tr>
      <w:tr w:rsidR="005B77DC" w:rsidRPr="00AD62E8" w:rsidTr="00974BE1">
        <w:trPr>
          <w:trHeight w:val="22"/>
          <w:jc w:val="center"/>
        </w:trPr>
        <w:tc>
          <w:tcPr>
            <w:tcW w:w="2429" w:type="dxa"/>
            <w:vAlign w:val="center"/>
          </w:tcPr>
          <w:p w:rsidR="005B77DC" w:rsidRPr="00AD62E8" w:rsidRDefault="004F6C22">
            <w:pPr>
              <w:pStyle w:val="Normal1"/>
              <w:ind w:firstLine="0"/>
              <w:jc w:val="center"/>
              <w:rPr>
                <w:color w:val="auto"/>
                <w:sz w:val="20"/>
                <w:szCs w:val="20"/>
              </w:rPr>
            </w:pPr>
            <w:r w:rsidRPr="00AD62E8">
              <w:rPr>
                <w:color w:val="auto"/>
                <w:sz w:val="20"/>
                <w:szCs w:val="20"/>
              </w:rPr>
              <w:t>Beyaz küre sayısı (10³/μl)</w:t>
            </w:r>
          </w:p>
        </w:tc>
        <w:tc>
          <w:tcPr>
            <w:tcW w:w="1060" w:type="dxa"/>
            <w:vAlign w:val="center"/>
          </w:tcPr>
          <w:p w:rsidR="005B77DC" w:rsidRPr="00AD62E8" w:rsidRDefault="004F6C22">
            <w:pPr>
              <w:pStyle w:val="Normal1"/>
              <w:ind w:firstLine="0"/>
              <w:jc w:val="center"/>
              <w:rPr>
                <w:color w:val="auto"/>
                <w:sz w:val="20"/>
                <w:szCs w:val="20"/>
              </w:rPr>
            </w:pPr>
            <w:r w:rsidRPr="00AD62E8">
              <w:rPr>
                <w:color w:val="auto"/>
                <w:sz w:val="20"/>
                <w:szCs w:val="20"/>
              </w:rPr>
              <w:t>9,12</w:t>
            </w:r>
          </w:p>
        </w:tc>
        <w:tc>
          <w:tcPr>
            <w:tcW w:w="1647" w:type="dxa"/>
            <w:vAlign w:val="center"/>
          </w:tcPr>
          <w:p w:rsidR="005B77DC" w:rsidRPr="00AD62E8" w:rsidRDefault="004F6C22">
            <w:pPr>
              <w:pStyle w:val="Normal1"/>
              <w:ind w:firstLine="0"/>
              <w:jc w:val="center"/>
              <w:rPr>
                <w:color w:val="auto"/>
                <w:sz w:val="20"/>
                <w:szCs w:val="20"/>
              </w:rPr>
            </w:pPr>
            <w:r w:rsidRPr="00AD62E8">
              <w:rPr>
                <w:color w:val="auto"/>
                <w:sz w:val="20"/>
                <w:szCs w:val="20"/>
              </w:rPr>
              <w:t>1,78</w:t>
            </w:r>
          </w:p>
        </w:tc>
        <w:tc>
          <w:tcPr>
            <w:tcW w:w="1719" w:type="dxa"/>
            <w:vAlign w:val="center"/>
          </w:tcPr>
          <w:p w:rsidR="005B77DC" w:rsidRPr="00AD62E8" w:rsidRDefault="004F6C22">
            <w:pPr>
              <w:pStyle w:val="Normal1"/>
              <w:ind w:firstLine="0"/>
              <w:jc w:val="center"/>
              <w:rPr>
                <w:color w:val="auto"/>
                <w:sz w:val="20"/>
                <w:szCs w:val="20"/>
              </w:rPr>
            </w:pPr>
            <w:r w:rsidRPr="00AD62E8">
              <w:rPr>
                <w:color w:val="auto"/>
                <w:sz w:val="20"/>
                <w:szCs w:val="20"/>
              </w:rPr>
              <w:t>6,18</w:t>
            </w:r>
          </w:p>
        </w:tc>
        <w:tc>
          <w:tcPr>
            <w:tcW w:w="1730" w:type="dxa"/>
            <w:vAlign w:val="center"/>
          </w:tcPr>
          <w:p w:rsidR="005B77DC" w:rsidRPr="00AD62E8" w:rsidRDefault="004F6C22">
            <w:pPr>
              <w:pStyle w:val="Normal1"/>
              <w:ind w:firstLine="0"/>
              <w:jc w:val="center"/>
              <w:rPr>
                <w:color w:val="auto"/>
                <w:sz w:val="20"/>
                <w:szCs w:val="20"/>
              </w:rPr>
            </w:pPr>
            <w:r w:rsidRPr="00AD62E8">
              <w:rPr>
                <w:color w:val="auto"/>
                <w:sz w:val="20"/>
                <w:szCs w:val="20"/>
              </w:rPr>
              <w:t>11,65</w:t>
            </w:r>
          </w:p>
        </w:tc>
      </w:tr>
      <w:tr w:rsidR="005B77DC" w:rsidRPr="00AD62E8" w:rsidTr="00974BE1">
        <w:trPr>
          <w:trHeight w:val="22"/>
          <w:jc w:val="center"/>
        </w:trPr>
        <w:tc>
          <w:tcPr>
            <w:tcW w:w="2429" w:type="dxa"/>
            <w:vAlign w:val="center"/>
          </w:tcPr>
          <w:p w:rsidR="005B77DC" w:rsidRPr="00AD62E8" w:rsidRDefault="004F6C22">
            <w:pPr>
              <w:pStyle w:val="Normal1"/>
              <w:ind w:firstLine="0"/>
              <w:jc w:val="center"/>
              <w:rPr>
                <w:color w:val="auto"/>
                <w:sz w:val="20"/>
                <w:szCs w:val="20"/>
              </w:rPr>
            </w:pPr>
            <w:r w:rsidRPr="00AD62E8">
              <w:rPr>
                <w:color w:val="auto"/>
                <w:sz w:val="20"/>
                <w:szCs w:val="20"/>
              </w:rPr>
              <w:t>Trombosit sayısı (10³/μl)</w:t>
            </w:r>
          </w:p>
        </w:tc>
        <w:tc>
          <w:tcPr>
            <w:tcW w:w="1060" w:type="dxa"/>
            <w:vAlign w:val="center"/>
          </w:tcPr>
          <w:p w:rsidR="005B77DC" w:rsidRPr="00AD62E8" w:rsidRDefault="004F6C22">
            <w:pPr>
              <w:pStyle w:val="Normal1"/>
              <w:ind w:firstLine="0"/>
              <w:jc w:val="center"/>
              <w:rPr>
                <w:color w:val="auto"/>
                <w:sz w:val="20"/>
                <w:szCs w:val="20"/>
              </w:rPr>
            </w:pPr>
            <w:r w:rsidRPr="00AD62E8">
              <w:rPr>
                <w:color w:val="auto"/>
                <w:sz w:val="20"/>
                <w:szCs w:val="20"/>
              </w:rPr>
              <w:t>613</w:t>
            </w:r>
          </w:p>
        </w:tc>
        <w:tc>
          <w:tcPr>
            <w:tcW w:w="1647" w:type="dxa"/>
            <w:vAlign w:val="center"/>
          </w:tcPr>
          <w:p w:rsidR="005B77DC" w:rsidRPr="00AD62E8" w:rsidRDefault="004F6C22">
            <w:pPr>
              <w:pStyle w:val="Normal1"/>
              <w:ind w:firstLine="0"/>
              <w:jc w:val="center"/>
              <w:rPr>
                <w:color w:val="auto"/>
                <w:sz w:val="20"/>
                <w:szCs w:val="20"/>
              </w:rPr>
            </w:pPr>
            <w:r w:rsidRPr="00AD62E8">
              <w:rPr>
                <w:color w:val="auto"/>
                <w:sz w:val="20"/>
                <w:szCs w:val="20"/>
              </w:rPr>
              <w:t>96,82</w:t>
            </w:r>
          </w:p>
        </w:tc>
        <w:tc>
          <w:tcPr>
            <w:tcW w:w="1719" w:type="dxa"/>
            <w:vAlign w:val="center"/>
          </w:tcPr>
          <w:p w:rsidR="005B77DC" w:rsidRPr="00AD62E8" w:rsidRDefault="004F6C22">
            <w:pPr>
              <w:pStyle w:val="Normal1"/>
              <w:ind w:firstLine="0"/>
              <w:jc w:val="center"/>
              <w:rPr>
                <w:color w:val="auto"/>
                <w:sz w:val="20"/>
                <w:szCs w:val="20"/>
              </w:rPr>
            </w:pPr>
            <w:r w:rsidRPr="00AD62E8">
              <w:rPr>
                <w:color w:val="auto"/>
                <w:sz w:val="20"/>
                <w:szCs w:val="20"/>
              </w:rPr>
              <w:t>504</w:t>
            </w:r>
          </w:p>
        </w:tc>
        <w:tc>
          <w:tcPr>
            <w:tcW w:w="1730" w:type="dxa"/>
            <w:vAlign w:val="center"/>
          </w:tcPr>
          <w:p w:rsidR="005B77DC" w:rsidRPr="00AD62E8" w:rsidRDefault="004F6C22">
            <w:pPr>
              <w:pStyle w:val="Normal1"/>
              <w:ind w:firstLine="0"/>
              <w:jc w:val="center"/>
              <w:rPr>
                <w:color w:val="auto"/>
                <w:sz w:val="20"/>
                <w:szCs w:val="20"/>
              </w:rPr>
            </w:pPr>
            <w:r w:rsidRPr="00AD62E8">
              <w:rPr>
                <w:color w:val="auto"/>
                <w:sz w:val="20"/>
                <w:szCs w:val="20"/>
              </w:rPr>
              <w:t>830</w:t>
            </w:r>
          </w:p>
        </w:tc>
      </w:tr>
    </w:tbl>
    <w:p w:rsidR="005B77DC" w:rsidRPr="00AD62E8" w:rsidRDefault="004F6C22" w:rsidP="00974BE1">
      <w:pPr>
        <w:pStyle w:val="Normal1"/>
        <w:tabs>
          <w:tab w:val="left" w:pos="3950"/>
        </w:tabs>
        <w:spacing w:before="120"/>
        <w:ind w:firstLine="0"/>
        <w:rPr>
          <w:sz w:val="20"/>
          <w:szCs w:val="20"/>
        </w:rPr>
      </w:pPr>
      <w:r>
        <w:rPr>
          <w:sz w:val="20"/>
          <w:szCs w:val="20"/>
        </w:rPr>
        <w:t>*SD. Standart Sapma</w:t>
      </w:r>
      <w:r w:rsidR="00974BE1">
        <w:rPr>
          <w:sz w:val="20"/>
          <w:szCs w:val="20"/>
        </w:rPr>
        <w:tab/>
      </w:r>
    </w:p>
    <w:p w:rsidR="005B77DC" w:rsidRDefault="005B77DC">
      <w:pPr>
        <w:pStyle w:val="Normal1"/>
        <w:ind w:firstLine="0"/>
        <w:rPr>
          <w:sz w:val="20"/>
          <w:szCs w:val="20"/>
        </w:rPr>
      </w:pPr>
    </w:p>
    <w:p w:rsidR="005B77DC" w:rsidRDefault="004F6C22">
      <w:pPr>
        <w:pStyle w:val="Normal1"/>
        <w:ind w:firstLine="0"/>
        <w:jc w:val="center"/>
        <w:rPr>
          <w:color w:val="222222"/>
          <w:highlight w:val="white"/>
        </w:rPr>
      </w:pPr>
      <w:r>
        <w:rPr>
          <w:noProof/>
          <w:color w:val="222222"/>
          <w:highlight w:val="white"/>
        </w:rPr>
        <w:drawing>
          <wp:inline distT="0" distB="0" distL="0" distR="0">
            <wp:extent cx="5400000" cy="3933196"/>
            <wp:effectExtent l="0" t="0" r="0" b="0"/>
            <wp:docPr id="21"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27"/>
                    <a:srcRect/>
                    <a:stretch>
                      <a:fillRect/>
                    </a:stretch>
                  </pic:blipFill>
                  <pic:spPr>
                    <a:xfrm>
                      <a:off x="0" y="0"/>
                      <a:ext cx="5400000" cy="3933196"/>
                    </a:xfrm>
                    <a:prstGeom prst="rect">
                      <a:avLst/>
                    </a:prstGeom>
                    <a:ln/>
                  </pic:spPr>
                </pic:pic>
              </a:graphicData>
            </a:graphic>
          </wp:inline>
        </w:drawing>
      </w:r>
    </w:p>
    <w:p w:rsidR="005B77DC" w:rsidRDefault="004F6C22">
      <w:pPr>
        <w:pStyle w:val="Normal1"/>
        <w:ind w:firstLine="0"/>
        <w:rPr>
          <w:color w:val="222222"/>
          <w:sz w:val="20"/>
          <w:szCs w:val="20"/>
          <w:highlight w:val="white"/>
        </w:rPr>
      </w:pPr>
      <w:r>
        <w:rPr>
          <w:color w:val="222222"/>
          <w:sz w:val="20"/>
          <w:szCs w:val="20"/>
          <w:highlight w:val="white"/>
        </w:rPr>
        <w:t xml:space="preserve">   Log CN                                                                        Log CN</w:t>
      </w:r>
    </w:p>
    <w:p w:rsidR="005B77DC" w:rsidRDefault="005B77DC">
      <w:pPr>
        <w:pStyle w:val="Normal1"/>
        <w:ind w:firstLine="0"/>
        <w:rPr>
          <w:b/>
          <w:color w:val="222222"/>
          <w:highlight w:val="white"/>
        </w:rPr>
      </w:pPr>
    </w:p>
    <w:p w:rsidR="005B77DC" w:rsidRDefault="004F6C22">
      <w:pPr>
        <w:pStyle w:val="Normal1"/>
        <w:ind w:firstLine="0"/>
        <w:jc w:val="center"/>
        <w:rPr>
          <w:color w:val="222222"/>
          <w:highlight w:val="white"/>
        </w:rPr>
      </w:pPr>
      <w:r>
        <w:rPr>
          <w:b/>
          <w:color w:val="222222"/>
          <w:highlight w:val="white"/>
        </w:rPr>
        <w:t xml:space="preserve">Şekil 7. </w:t>
      </w:r>
      <w:r>
        <w:rPr>
          <w:color w:val="222222"/>
          <w:highlight w:val="white"/>
        </w:rPr>
        <w:t>Jak2 mutant ve mutant olmayan olarak oluşturulan iki ayrı grup.</w:t>
      </w:r>
    </w:p>
    <w:p w:rsidR="005B77DC" w:rsidRDefault="005B77DC">
      <w:pPr>
        <w:pStyle w:val="Normal1"/>
        <w:ind w:firstLine="0"/>
        <w:jc w:val="center"/>
        <w:rPr>
          <w:color w:val="222222"/>
          <w:highlight w:val="white"/>
        </w:rPr>
      </w:pPr>
    </w:p>
    <w:p w:rsidR="005B77DC" w:rsidRDefault="004F6C22">
      <w:pPr>
        <w:pStyle w:val="Normal1"/>
        <w:ind w:firstLine="0"/>
        <w:rPr>
          <w:b/>
          <w:color w:val="222222"/>
          <w:highlight w:val="white"/>
        </w:rPr>
      </w:pPr>
      <w:r>
        <w:rPr>
          <w:b/>
          <w:noProof/>
          <w:color w:val="222222"/>
          <w:highlight w:val="white"/>
        </w:rPr>
        <w:lastRenderedPageBreak/>
        <w:drawing>
          <wp:inline distT="0" distB="0" distL="0" distR="0">
            <wp:extent cx="5400000" cy="2679163"/>
            <wp:effectExtent l="0" t="0" r="0" b="0"/>
            <wp:docPr id="22"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28"/>
                    <a:srcRect/>
                    <a:stretch>
                      <a:fillRect/>
                    </a:stretch>
                  </pic:blipFill>
                  <pic:spPr>
                    <a:xfrm>
                      <a:off x="0" y="0"/>
                      <a:ext cx="5400000" cy="2679163"/>
                    </a:xfrm>
                    <a:prstGeom prst="rect">
                      <a:avLst/>
                    </a:prstGeom>
                    <a:ln/>
                  </pic:spPr>
                </pic:pic>
              </a:graphicData>
            </a:graphic>
          </wp:inline>
        </w:drawing>
      </w:r>
    </w:p>
    <w:p w:rsidR="005B77DC" w:rsidRDefault="005B77DC">
      <w:pPr>
        <w:pStyle w:val="Normal1"/>
        <w:ind w:firstLine="709"/>
        <w:rPr>
          <w:b/>
          <w:color w:val="222222"/>
          <w:highlight w:val="white"/>
        </w:rPr>
      </w:pPr>
    </w:p>
    <w:p w:rsidR="005B77DC" w:rsidRDefault="004F6C22">
      <w:pPr>
        <w:pStyle w:val="Normal1"/>
        <w:ind w:firstLine="0"/>
        <w:jc w:val="center"/>
        <w:rPr>
          <w:color w:val="222222"/>
          <w:highlight w:val="white"/>
        </w:rPr>
      </w:pPr>
      <w:r>
        <w:rPr>
          <w:b/>
          <w:color w:val="222222"/>
          <w:highlight w:val="white"/>
        </w:rPr>
        <w:t xml:space="preserve">Şekil 8. </w:t>
      </w:r>
      <w:r>
        <w:rPr>
          <w:color w:val="222222"/>
          <w:highlight w:val="white"/>
        </w:rPr>
        <w:t>Jak2-WT ve Jak2-VF için oluşturulan standartlar.</w:t>
      </w:r>
    </w:p>
    <w:p w:rsidR="005B77DC" w:rsidRDefault="005B77DC">
      <w:pPr>
        <w:pStyle w:val="Normal1"/>
        <w:ind w:firstLine="0"/>
        <w:jc w:val="center"/>
        <w:rPr>
          <w:color w:val="222222"/>
          <w:highlight w:val="white"/>
        </w:rPr>
      </w:pPr>
    </w:p>
    <w:p w:rsidR="005B77DC" w:rsidRDefault="004F6C22">
      <w:pPr>
        <w:pStyle w:val="Normal1"/>
        <w:ind w:firstLine="0"/>
        <w:jc w:val="center"/>
        <w:rPr>
          <w:b/>
          <w:highlight w:val="white"/>
        </w:rPr>
      </w:pPr>
      <w:r>
        <w:rPr>
          <w:b/>
          <w:noProof/>
          <w:color w:val="222222"/>
          <w:highlight w:val="white"/>
        </w:rPr>
        <w:drawing>
          <wp:inline distT="0" distB="0" distL="0" distR="0">
            <wp:extent cx="5398936" cy="4713583"/>
            <wp:effectExtent l="0" t="0" r="0" b="0"/>
            <wp:docPr id="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9"/>
                    <a:srcRect t="-1021"/>
                    <a:stretch>
                      <a:fillRect/>
                    </a:stretch>
                  </pic:blipFill>
                  <pic:spPr>
                    <a:xfrm>
                      <a:off x="0" y="0"/>
                      <a:ext cx="5398936" cy="4713583"/>
                    </a:xfrm>
                    <a:prstGeom prst="rect">
                      <a:avLst/>
                    </a:prstGeom>
                    <a:ln/>
                  </pic:spPr>
                </pic:pic>
              </a:graphicData>
            </a:graphic>
          </wp:inline>
        </w:drawing>
      </w:r>
    </w:p>
    <w:p w:rsidR="005B77DC" w:rsidRDefault="005B77DC">
      <w:pPr>
        <w:pStyle w:val="Normal1"/>
        <w:ind w:firstLine="0"/>
        <w:rPr>
          <w:b/>
          <w:highlight w:val="white"/>
        </w:rPr>
      </w:pPr>
    </w:p>
    <w:p w:rsidR="005B77DC" w:rsidRDefault="004F6C22">
      <w:pPr>
        <w:pStyle w:val="Normal1"/>
        <w:ind w:firstLine="0"/>
        <w:jc w:val="center"/>
        <w:rPr>
          <w:highlight w:val="white"/>
        </w:rPr>
      </w:pPr>
      <w:r>
        <w:rPr>
          <w:b/>
          <w:highlight w:val="white"/>
        </w:rPr>
        <w:t xml:space="preserve">Şekil 9. </w:t>
      </w:r>
      <w:r>
        <w:rPr>
          <w:highlight w:val="white"/>
        </w:rPr>
        <w:t>Pozitif kontrol, negatif kontrol ve hastaların yüzde JAK2 mutasyonları.</w:t>
      </w:r>
    </w:p>
    <w:p w:rsidR="005B77DC" w:rsidRDefault="004F6C22">
      <w:pPr>
        <w:pStyle w:val="Normal1"/>
        <w:ind w:firstLine="709"/>
        <w:rPr>
          <w:highlight w:val="white"/>
        </w:rPr>
      </w:pPr>
      <w:r>
        <w:rPr>
          <w:highlight w:val="white"/>
        </w:rPr>
        <w:lastRenderedPageBreak/>
        <w:t>Araştırmamızda yaptığımız JAK2 mutasyon testimizin doğruluğunu göstermek için pozitif ve negatif kontrol kullandık. Pozitif kontrolün %100’e yakın olması, negatif kontrolün ise %0’a yakın olması gerekmektedir. Yapılan JAK2 mutasyon analizinde 21 çocuk vakanın sonucu negatif çıkmıştır.</w:t>
      </w:r>
    </w:p>
    <w:p w:rsidR="005B77DC" w:rsidRDefault="005B77DC">
      <w:pPr>
        <w:pStyle w:val="Normal1"/>
        <w:ind w:firstLine="709"/>
        <w:rPr>
          <w:highlight w:val="white"/>
        </w:rPr>
      </w:pPr>
    </w:p>
    <w:p w:rsidR="005B77DC" w:rsidRDefault="005B77DC">
      <w:pPr>
        <w:pStyle w:val="Normal1"/>
        <w:ind w:firstLine="709"/>
        <w:rPr>
          <w:highlight w:val="white"/>
        </w:rPr>
      </w:pPr>
    </w:p>
    <w:p w:rsidR="005B77DC" w:rsidRDefault="005B77DC">
      <w:pPr>
        <w:pStyle w:val="Normal1"/>
        <w:ind w:firstLine="709"/>
        <w:rPr>
          <w:highlight w:val="white"/>
        </w:rPr>
      </w:pPr>
    </w:p>
    <w:p w:rsidR="005B77DC" w:rsidRDefault="004F6C22">
      <w:pPr>
        <w:pStyle w:val="Normal1"/>
        <w:ind w:firstLine="709"/>
        <w:rPr>
          <w:b/>
          <w:color w:val="222222"/>
          <w:highlight w:val="white"/>
        </w:rPr>
      </w:pPr>
      <w:r>
        <w:br w:type="page"/>
      </w:r>
    </w:p>
    <w:p w:rsidR="005B77DC" w:rsidRDefault="004F6C22">
      <w:pPr>
        <w:pStyle w:val="Normal1"/>
        <w:pBdr>
          <w:top w:val="nil"/>
          <w:left w:val="nil"/>
          <w:bottom w:val="nil"/>
          <w:right w:val="nil"/>
          <w:between w:val="nil"/>
        </w:pBdr>
        <w:ind w:firstLine="0"/>
        <w:jc w:val="center"/>
        <w:rPr>
          <w:b/>
          <w:color w:val="000000"/>
          <w:sz w:val="28"/>
          <w:szCs w:val="28"/>
          <w:highlight w:val="white"/>
        </w:rPr>
      </w:pPr>
      <w:r>
        <w:rPr>
          <w:b/>
          <w:color w:val="000000"/>
          <w:sz w:val="28"/>
          <w:szCs w:val="28"/>
          <w:highlight w:val="white"/>
        </w:rPr>
        <w:lastRenderedPageBreak/>
        <w:t>5. TARTIŞMA</w:t>
      </w:r>
    </w:p>
    <w:p w:rsidR="005B77DC" w:rsidRDefault="005B77DC">
      <w:pPr>
        <w:pStyle w:val="Normal1"/>
        <w:ind w:firstLine="0"/>
        <w:jc w:val="center"/>
        <w:rPr>
          <w:b/>
          <w:color w:val="222222"/>
          <w:highlight w:val="white"/>
        </w:rPr>
      </w:pPr>
    </w:p>
    <w:p w:rsidR="005B77DC" w:rsidRDefault="005B77DC">
      <w:pPr>
        <w:pStyle w:val="Normal1"/>
        <w:ind w:firstLine="0"/>
        <w:jc w:val="center"/>
        <w:rPr>
          <w:b/>
          <w:color w:val="222222"/>
          <w:highlight w:val="white"/>
        </w:rPr>
      </w:pPr>
    </w:p>
    <w:p w:rsidR="005B77DC" w:rsidRDefault="004F6C22">
      <w:pPr>
        <w:pStyle w:val="Normal1"/>
        <w:ind w:firstLine="709"/>
      </w:pPr>
      <w:r>
        <w:t>Patojenik kökene göre trombosi</w:t>
      </w:r>
      <w:r w:rsidR="005339EE">
        <w:t>toz primer ve sekonder</w:t>
      </w:r>
      <w:r>
        <w:t xml:space="preserve"> olmak üzere ikiye ayrılır. Primer trombositoz, hematopoietik hücrelerin monoklonal veya poliklonal anormalliklerinden veya TPO biyolojisindeki anormalliklerden kaynaklanan miyeloproliferatif bir hastalıktır. Sekonder trombositoz ise, çeşitli hematolojik veya hematolojik olmayan bozukluklar nedeniyle uyarılmış megakaryopoez nedeniyle olmaktadır (Dame C ve ark, 2005).</w:t>
      </w:r>
    </w:p>
    <w:p w:rsidR="005B77DC" w:rsidRDefault="004F6C22">
      <w:pPr>
        <w:pStyle w:val="Normal1"/>
        <w:ind w:firstLine="709"/>
      </w:pPr>
      <w:r>
        <w:t>Primer trombositoz, ailesel ve esansiyel olarak ikiye ayrılır. Primer trombositozun çocukluk çağındaki insidansı 10 milyonda bir olup yetişkinlerden yaklaşık 60 kat daha düşük oranda görülmektedir (Hasle H, 2000).</w:t>
      </w:r>
    </w:p>
    <w:p w:rsidR="005B77DC" w:rsidRDefault="004F6C22">
      <w:pPr>
        <w:pStyle w:val="Normal1"/>
        <w:ind w:firstLine="709"/>
        <w:rPr>
          <w:highlight w:val="white"/>
        </w:rPr>
      </w:pPr>
      <w:r>
        <w:t>Sekonder trombositoz ise çocuklarda çok daha yaygındır ve hastanede</w:t>
      </w:r>
      <w:r w:rsidR="003A30AC">
        <w:t xml:space="preserve"> yatan çocukların yaklaşık %1-3’</w:t>
      </w:r>
      <w:r>
        <w:t>ünde görülmektedir. Tro</w:t>
      </w:r>
      <w:r w:rsidR="003A30AC">
        <w:t>mbosit sayısı çocukların %72-86’sında hafif, %6-8’inde orta, % 0.5-3’</w:t>
      </w:r>
      <w:r>
        <w:t>ünde aşırı düzeydedir (Chiarello P ve ark, 2011).</w:t>
      </w:r>
    </w:p>
    <w:p w:rsidR="005B77DC" w:rsidRDefault="004F6C22">
      <w:pPr>
        <w:pStyle w:val="Normal1"/>
        <w:shd w:val="clear" w:color="auto" w:fill="FFFFFF"/>
        <w:ind w:firstLine="709"/>
      </w:pPr>
      <w:r>
        <w:t>Trombositoz nedenini tanımlamak için tek başına trombosit sayısı yeterli değildir. Esansiyel trombositozlu ç</w:t>
      </w:r>
      <w:r w:rsidR="00B4256D">
        <w:t>ocuklarda sıklıkla 1.000.000/μL’</w:t>
      </w:r>
      <w:r>
        <w:t>nin üzerinde olmasına karşın, reaktif kaynaklı da olabilir (Chiarello P ve ark, 2011).</w:t>
      </w:r>
    </w:p>
    <w:p w:rsidR="005B77DC" w:rsidRDefault="004F6C22">
      <w:pPr>
        <w:pStyle w:val="Normal1"/>
        <w:ind w:firstLine="709"/>
      </w:pPr>
      <w:r>
        <w:t>JAK2 yapısal olarak aktif bir tirozin kinaz olup EpoR, MPL veya GCSFR (granülosit koloni uyarıcı faktör reseptörü) ile birlikte eksprese edildiğinde JAK-STAT sinyal iletim yolunu aktive etmektedir (Levine RL ve ark, 2007).</w:t>
      </w:r>
    </w:p>
    <w:p w:rsidR="005B77DC" w:rsidRDefault="004F6C22">
      <w:pPr>
        <w:pStyle w:val="Normal1"/>
        <w:ind w:firstLine="709"/>
      </w:pPr>
      <w:r>
        <w:t>Buss ve arkadaşlarının yaptıkları bir çalışmada trombosit sayısı &gt;1.000.000/μL olan yaşları 12 gün ile 100 yıl arasında değişen (ortalama 37 yıl) 280 hastanın dörtte üçünün altında yatan reaktif bir süreç olduğunu bildirmişlerdir (Buss DH ve ark, 1994).</w:t>
      </w:r>
    </w:p>
    <w:p w:rsidR="005B77DC" w:rsidRDefault="004F6C22">
      <w:pPr>
        <w:pStyle w:val="Normal1"/>
        <w:shd w:val="clear" w:color="auto" w:fill="FFFFFF"/>
        <w:ind w:firstLine="709"/>
      </w:pPr>
      <w:r>
        <w:t>Dror ve arkadaşlarının yaptıkları araştırmada ailevi trombositoz saptanan olgularda, ailesel olmayan primer trombositozlu olgulara göre trombosit sayısının daha düşük olduğu (2.003.000/μL’e karşı 979.000/μL) ifade etmişlerdir (Dror Y ve ark, 1999).</w:t>
      </w:r>
    </w:p>
    <w:p w:rsidR="005B77DC" w:rsidRDefault="004F6C22">
      <w:pPr>
        <w:pStyle w:val="Normal1"/>
        <w:shd w:val="clear" w:color="auto" w:fill="FFFFFF"/>
        <w:ind w:firstLine="709"/>
      </w:pPr>
      <w:r>
        <w:t xml:space="preserve">Aral ve arkadaşlarının çalışmasında iserutin kontrolde trombosit sayısı 1.696.000/μL saptanan bir bebeğe primer trombositoz tanısı koyduklarını ifade etmişlerdir (Aral B ve ark, 2018). </w:t>
      </w:r>
      <w:r>
        <w:rPr>
          <w:highlight w:val="white"/>
        </w:rPr>
        <w:t xml:space="preserve">Yapılan başka bir araştırmada ise </w:t>
      </w:r>
      <w:r>
        <w:t>primer trombositoz tanısı koydukları 15 yaşındaki bir kız çocuğun başvurudaki trombosit sayısının 1.300.000/μL olduğunu bildirmişlerdir (Tokgoz H ve ark, 2015).</w:t>
      </w:r>
    </w:p>
    <w:p w:rsidR="005B77DC" w:rsidRDefault="004F6C22">
      <w:pPr>
        <w:pStyle w:val="Normal1"/>
        <w:shd w:val="clear" w:color="auto" w:fill="FFFFFF"/>
        <w:ind w:firstLine="709"/>
      </w:pPr>
      <w:proofErr w:type="gramStart"/>
      <w:r>
        <w:t xml:space="preserve">Dror ve arkadaşlarının 1966-1997 yılları arasında yaptıkları çalışmada primer trombositoz tanısı konulan yaşları 6 haftalık-18 yıl arasında değişen 18’i erkek 36 hastanın 17’sinde ailevi </w:t>
      </w:r>
      <w:r>
        <w:lastRenderedPageBreak/>
        <w:t>trombositoz saptandığı ailevi trombositoz saptananlarda ailesel olmayan primer trombositozlu olgulara göre trombosit sayısının daha düşük olduğunu (2.003.000/μL’e karşı 979.000/μL) ifade etmişlerdir (Dror Y ve ark, 1999).</w:t>
      </w:r>
      <w:proofErr w:type="gramEnd"/>
    </w:p>
    <w:p w:rsidR="005B77DC" w:rsidRDefault="004F6C22">
      <w:pPr>
        <w:pStyle w:val="Normal1"/>
        <w:ind w:firstLine="709"/>
      </w:pPr>
      <w:r>
        <w:t>2005 yılından sonra yapılan araştırmada ET ve PV tanısı alan 20 yaş altında hastaların derlendiği bir çalışmada 396 ET ve 75 PV hastasında ortalama trombosit sayısı sırasıyla 1.192.000/μL ve 799.000/μL olarak saptanmıştır (Ianotto JC ve ark, 2019).</w:t>
      </w:r>
    </w:p>
    <w:p w:rsidR="005B77DC" w:rsidRDefault="004F6C22">
      <w:pPr>
        <w:pStyle w:val="Normal1"/>
        <w:shd w:val="clear" w:color="auto" w:fill="FFFFFF"/>
        <w:ind w:firstLine="709"/>
      </w:pPr>
      <w:r>
        <w:t xml:space="preserve">Sekonder trombositoz genellikle </w:t>
      </w:r>
      <w:proofErr w:type="gramStart"/>
      <w:r>
        <w:t>enfeksiyon</w:t>
      </w:r>
      <w:proofErr w:type="gramEnd"/>
      <w:r>
        <w:t>, kronik inflamasyon, demir eksikliği, doku hasarı, kanser, ilaçlar ve fonksiyonel ya da cerrahi splenektomi gibi nedenlerin yol açtığı reaktif bir süreç nedeniyle oluşmaktadır (Chiarello P ve ark, 2011).</w:t>
      </w:r>
    </w:p>
    <w:p w:rsidR="005B77DC" w:rsidRDefault="00B4256D">
      <w:pPr>
        <w:pStyle w:val="Normal1"/>
        <w:shd w:val="clear" w:color="auto" w:fill="FFFFFF"/>
        <w:ind w:firstLine="709"/>
      </w:pPr>
      <w:r>
        <w:rPr>
          <w:highlight w:val="white"/>
        </w:rPr>
        <w:t>O’</w:t>
      </w:r>
      <w:r w:rsidR="004F6C22">
        <w:rPr>
          <w:highlight w:val="white"/>
        </w:rPr>
        <w:t>Shea</w:t>
      </w:r>
      <w:r w:rsidR="004F6C22">
        <w:t xml:space="preserve"> ve arkadaşlarının yaptıkları çalışmada trombosit sayısı 800.000/μL ile 1.333.000/μL arasında saptanan, yaşları 1 ay ile 14 yıl arasında 74 çocuğun hepsinde trombositozun sekonder nedenlerle oluştuğunu düşünmüşlerdir (</w:t>
      </w:r>
      <w:r>
        <w:rPr>
          <w:highlight w:val="white"/>
        </w:rPr>
        <w:t>O’</w:t>
      </w:r>
      <w:r w:rsidR="004F6C22">
        <w:rPr>
          <w:highlight w:val="white"/>
        </w:rPr>
        <w:t>Shea J ve ark, 2005).</w:t>
      </w:r>
    </w:p>
    <w:p w:rsidR="005B77DC" w:rsidRDefault="004F6C22">
      <w:pPr>
        <w:pStyle w:val="Normal1"/>
        <w:shd w:val="clear" w:color="auto" w:fill="FFFFFF"/>
        <w:ind w:firstLine="709"/>
      </w:pPr>
      <w:r>
        <w:t xml:space="preserve">Yohannan ve arkadaşlarının ise yaptıkları araştırmada trombosit sayısı 500.000/μL’den fazla olan yaşları 1-16 yıl arası değişen 663 çocukta trombositoz nedeni olarak </w:t>
      </w:r>
      <w:proofErr w:type="gramStart"/>
      <w:r>
        <w:t>enfeksiyon</w:t>
      </w:r>
      <w:proofErr w:type="gramEnd"/>
      <w:r>
        <w:t xml:space="preserve"> (% 30.6), hemolitik anemi (%19.3), doku hasarı (%15.2), rebound trombositoz (%14.8), kronik inflamasyon (%4.1), böbrek bozuklukları (%4.1) ve malignite (%2) saptamışlar ve enfeksiyonlara sekonder trombositozun beş yaşın altındaki çocuklarda anlamlı olarak daha yaygın olduğunu, kronik inflamasyon, malignite ve böbrek rahatsızlıklarının 5 yaşın üzerindeki çocuklarda daha yaygın görüldüğünü ifade etmişlerdir (Yohannan MD ve ark, 1994).</w:t>
      </w:r>
    </w:p>
    <w:p w:rsidR="005B77DC" w:rsidRDefault="004F6C22">
      <w:pPr>
        <w:pStyle w:val="Normal1"/>
        <w:shd w:val="clear" w:color="auto" w:fill="FFFFFF"/>
        <w:ind w:firstLine="709"/>
      </w:pPr>
      <w:r>
        <w:t>Özcan ve arkadaşlarının reaktif trombositozlu 484 hastanın etiyolojisinde %63'ünde enfeksiyöz bir hastalık nedeniyle trombositoz, %11.4'ünde kronik inflamatuar durum,% 8.5'inde anemi ve %5.2'sinde doku hasarı olduğunu bildirmişlerdir (Özcan C ve ark, 2013).</w:t>
      </w:r>
    </w:p>
    <w:p w:rsidR="005B77DC" w:rsidRDefault="004F6C22">
      <w:pPr>
        <w:pStyle w:val="Normal1"/>
        <w:ind w:firstLine="709"/>
        <w:rPr>
          <w:highlight w:val="white"/>
        </w:rPr>
      </w:pPr>
      <w:r>
        <w:t xml:space="preserve">Ayrıca sekonder trombositozlu olgularda </w:t>
      </w:r>
      <w:proofErr w:type="gramStart"/>
      <w:r>
        <w:t>enfeksiyon</w:t>
      </w:r>
      <w:proofErr w:type="gramEnd"/>
      <w:r>
        <w:t xml:space="preserve"> sıklığını </w:t>
      </w:r>
      <w:r>
        <w:rPr>
          <w:highlight w:val="white"/>
        </w:rPr>
        <w:t>O'Shea</w:t>
      </w:r>
      <w:r>
        <w:t xml:space="preserve"> ve arkadaşları %77 (%30 solunum yolu, %26 gastrointestinal sistem kaynaklı), Sarangi ve arkadaşları %39.5 (solunum yolu enfeksiyonları %18.8) olarak bildirmişlerdir (</w:t>
      </w:r>
      <w:r>
        <w:rPr>
          <w:highlight w:val="white"/>
        </w:rPr>
        <w:t xml:space="preserve">O'Shea J ve ark, 2005; </w:t>
      </w:r>
      <w:r>
        <w:t>Sarangi R ve ark, 2018).</w:t>
      </w:r>
    </w:p>
    <w:p w:rsidR="005B77DC" w:rsidRDefault="004F6C22">
      <w:pPr>
        <w:pStyle w:val="Normal1"/>
        <w:ind w:firstLine="709"/>
      </w:pPr>
      <w:r>
        <w:t>İlk değerlendirmede primer tr</w:t>
      </w:r>
      <w:r w:rsidR="00766B14">
        <w:t xml:space="preserve">ombositozu düşündüren vazomotor </w:t>
      </w:r>
      <w:proofErr w:type="gramStart"/>
      <w:r>
        <w:t>semptomların</w:t>
      </w:r>
      <w:proofErr w:type="gramEnd"/>
      <w:r>
        <w:t xml:space="preserve"> (açıklanamayan eritromelalji, kızarma, kaşıntı), konstitüsyonel semptomların (açıklanamayan ateş, terleme, kilo kaybı) ve splenomegali, tromboz ve lökoeritroblastik reaksiyon varlığının ve ailede açıklanamayan trombositoz öyküsünün araştırılması önerilmektedir (Tefferi A ve ark, 2020). Hastalarımızın hiçbirinde primer trombositozu düşündürecek öykü ve kutanöz veya mukozal kanama/morarma, lenfadenopati, hepatosplenomegali ve trombozu düşündüren fiziksel inceleme bulgusu yoktu.</w:t>
      </w:r>
    </w:p>
    <w:p w:rsidR="005B77DC" w:rsidRDefault="004F6C22">
      <w:pPr>
        <w:pStyle w:val="Normal1"/>
        <w:ind w:firstLine="709"/>
      </w:pPr>
      <w:r>
        <w:lastRenderedPageBreak/>
        <w:t>Tam kan sayımı ve periferik</w:t>
      </w:r>
      <w:r w:rsidR="00380F6C">
        <w:t xml:space="preserve"> kan</w:t>
      </w:r>
      <w:r>
        <w:t xml:space="preserve"> yayma incelemesinde trombositozun nedenine yönelik ipuçları elde edilebilir. Mikrositik kırmızı kan hücreleri demir eksikliği anemisini gösterebilirken, nötrofili bir </w:t>
      </w:r>
      <w:proofErr w:type="gramStart"/>
      <w:r>
        <w:t>enfeksiyon</w:t>
      </w:r>
      <w:proofErr w:type="gramEnd"/>
      <w:r>
        <w:t xml:space="preserve"> veya enflamatuvar bir durumdan kaynaklanabilir. Çoğu klinik laboratuvarda normal ortalama trombosit hacmi (MPV) 9 ila 10 fL’dir. MPV, trombositozun </w:t>
      </w:r>
      <w:proofErr w:type="gramStart"/>
      <w:r>
        <w:t>spesifik</w:t>
      </w:r>
      <w:proofErr w:type="gramEnd"/>
      <w:r>
        <w:t xml:space="preserve"> nedenini tanımlayamaz, ancak MPV ≥11 fL, anormal trombositlerin (örn</w:t>
      </w:r>
      <w:r w:rsidR="00415C97">
        <w:t>.</w:t>
      </w:r>
      <w:r>
        <w:t xml:space="preserve"> MPN veya ailesel trombosit bozukluğu) varlığını gösterebilir. Periferik kan yayma incelemesinde büyük trombositler malign bir süreci (örn</w:t>
      </w:r>
      <w:r w:rsidR="00415C97">
        <w:t>.</w:t>
      </w:r>
      <w:r>
        <w:t xml:space="preserve"> MPN), reaktif bir işlemle iliş</w:t>
      </w:r>
      <w:r w:rsidR="00415C97">
        <w:t>kili daha genç trombositler</w:t>
      </w:r>
      <w:r>
        <w:t xml:space="preserve"> aşırı trombosit yıkımı veya ailesel trombosit bozukluğunu yansıtabilir. Reaktif trombositozda dev trombositler daha nadiren görülür. Howell-Jolly cisimcikleri ve/ veya çekirdekli eritrositler aspleni ya da hiposplenide görülebilir. Miyelofizik bozukluklarda genellikle gözyaşı şeklindeki eritrositler, çekirdekli eritrositler ve olgunlaşmamış granülositler ile karakterize lökoeritroblastik kan tablosu gözlenir. Kronik miyeloid lösemi veya diğer MPN'lerde olgunlaşmamış lökositler (örn miyeloblastlar, promiyelositler, miyelositler) görülebilir. Displast</w:t>
      </w:r>
      <w:r w:rsidR="008625CE">
        <w:t xml:space="preserve">ik nötrofiller veya Pelger-Huet </w:t>
      </w:r>
      <w:proofErr w:type="gramStart"/>
      <w:r>
        <w:t>anomalisi</w:t>
      </w:r>
      <w:proofErr w:type="gramEnd"/>
      <w:r>
        <w:t xml:space="preserve"> miyelodisplastik sendromu destekleyebilir (Tefferi A ve ark, 2020). Hastalarımızın hiçbirinde nötrofili ve periferik yayma incelemesinde lökoeritroblastozis, sola kayma, olgunlaşmamış granülositler yoktu.</w:t>
      </w:r>
    </w:p>
    <w:p w:rsidR="005B77DC" w:rsidRDefault="004F6C22">
      <w:pPr>
        <w:pStyle w:val="Normal1"/>
        <w:ind w:firstLine="709"/>
        <w:rPr>
          <w:color w:val="000000"/>
        </w:rPr>
      </w:pPr>
      <w:r>
        <w:t xml:space="preserve">Trombositoz derecesi arttıkça MPV değerinde azalma olduğu ifade edilmektedir. Subramaniam ve arkadaşları ise ortalama MPV değerleriyle trombositoz derecesi arasında negatif </w:t>
      </w:r>
      <w:proofErr w:type="gramStart"/>
      <w:r>
        <w:t>korelasyon</w:t>
      </w:r>
      <w:proofErr w:type="gramEnd"/>
      <w:r>
        <w:t xml:space="preserve"> bulmuşlardır (Subramaniam N ve ark, 2014). 1966-1997 yılları arasında primer trombositozların derlendiği bir makalede ise yaşları 0,12-18 yıl arasında değişen 18’i erkek 36 hastanın 17’sinde ailevi trombositoz saptandığı, olguların 13’ünün tesadüfen tanı aldığı, 13 çocuğun aile taramasında </w:t>
      </w:r>
      <w:r>
        <w:rPr>
          <w:color w:val="000000"/>
        </w:rPr>
        <w:t>tanı aldığı, MPV ölçümü yapılan 10 hastanın 5’inde düşük, üçünde normal saptandığı bildirilmiştir. (Dror Y ve ark, 1999). Çalışmamızda MPV yüksekliği saptanan hasta yoktu.</w:t>
      </w:r>
    </w:p>
    <w:p w:rsidR="005B77DC" w:rsidRDefault="004F6C22">
      <w:pPr>
        <w:pStyle w:val="Normal1"/>
        <w:ind w:firstLine="709"/>
      </w:pPr>
      <w:r>
        <w:t>Trombositozun ilk değerlendirmesinde demir parametrelerinin (ferritin, serum demiri ve demir bağlama kapasitesi) ve enflamasyon/</w:t>
      </w:r>
      <w:proofErr w:type="gramStart"/>
      <w:r>
        <w:t>enfeksiyon</w:t>
      </w:r>
      <w:proofErr w:type="gramEnd"/>
      <w:r>
        <w:t xml:space="preserve"> göstergelerinin (ESR, CRP, fibrinojen düzeyi) bakılması önerilmektedir. Yüksek ferritin, akut faz proteini olduğu için, inflamatuar bir durumu veya aşırı demir yükünü yansıtabilir. ESR ve/veya CRP</w:t>
      </w:r>
      <w:r w:rsidR="008625CE">
        <w:t xml:space="preserve"> yüksekliği</w:t>
      </w:r>
      <w:r>
        <w:t xml:space="preserve">, </w:t>
      </w:r>
      <w:proofErr w:type="gramStart"/>
      <w:r>
        <w:t>enfeksiyon</w:t>
      </w:r>
      <w:proofErr w:type="gramEnd"/>
      <w:r>
        <w:t xml:space="preserve"> ya da enflamatu</w:t>
      </w:r>
      <w:r w:rsidR="007A3AC8">
        <w:t>v</w:t>
      </w:r>
      <w:r>
        <w:t xml:space="preserve">ar bir süreci destekleyebilir. Bununla birlikte, ESR ve CRP için normal değerler reaktif bir süreci dışlamaz (Tefferi A ve ark, 2020; Kucine N ve ark, 2014). Çalışmamızda serum ferritin düzeyi düşük ve/veya serum demiri düşük, demir bağlama kapasitesi yüksek olan demir eksikliği anemili hastaları çalışmaya </w:t>
      </w:r>
      <w:proofErr w:type="gramStart"/>
      <w:r>
        <w:t>dahil</w:t>
      </w:r>
      <w:proofErr w:type="gramEnd"/>
      <w:r>
        <w:t xml:space="preserve"> etmedik. Çalışmamızda </w:t>
      </w:r>
      <w:proofErr w:type="gramStart"/>
      <w:r>
        <w:t>enfeksiyon</w:t>
      </w:r>
      <w:proofErr w:type="gramEnd"/>
      <w:r>
        <w:t xml:space="preserve"> ya da düşündüren fibrinojen, CRP ve ESR yüksekliği olan hasta yoktu.</w:t>
      </w:r>
    </w:p>
    <w:p w:rsidR="005B77DC" w:rsidRDefault="004F6C22">
      <w:pPr>
        <w:pStyle w:val="Normal1"/>
        <w:ind w:firstLine="709"/>
      </w:pPr>
      <w:r>
        <w:lastRenderedPageBreak/>
        <w:t xml:space="preserve">Kronik miyeloproliferatif hastalıklar, kemik iliğinde klonal hematopoez ve hiperproliferasyon ile karakterize, bir veya daha fazla miyeloid seride aşırı miktarda olgun hücreye yol açan heterojen bir hematolojik malignite grubudur. Kronik miyeloproliferatif hastalıklar içerisinde yer alan PV, ET ve PMF kan hücre serisinin aşırı proliferasyonu sonucu ortaya çıkmaktadır. Bu hastalıklar genellikle JAK2, CALR veya MPL genlerindeki </w:t>
      </w:r>
      <w:proofErr w:type="gramStart"/>
      <w:r>
        <w:t>spesifik</w:t>
      </w:r>
      <w:proofErr w:type="gramEnd"/>
      <w:r>
        <w:t xml:space="preserve"> somatik mutasyonlarla karakterizedir. Kronik miyeloproliferatif hastalıklarda görülen ve hastalığın yaygın moleküler mekanizmaları arasında; JAK2 genindeki V617F mutasyonu, CALR geninin ekson 9'undaki mutasyonlar, TPO reseptörünü kodlayan MPL geninin ekson 10'undaki mutasyonlar ve JAK2 geninin ekson 12'sindeki mutasyonlar yer alır. Bu mutasyonlar hastalığın tanısında önemli yer tutar ve tanı </w:t>
      </w:r>
      <w:proofErr w:type="gramStart"/>
      <w:r>
        <w:t>kriterleri</w:t>
      </w:r>
      <w:proofErr w:type="gramEnd"/>
      <w:r>
        <w:t xml:space="preserve"> olarak kabul edilir (Arber DA ve ark, 2016).</w:t>
      </w:r>
    </w:p>
    <w:p w:rsidR="005B77DC" w:rsidRDefault="004F6C22">
      <w:pPr>
        <w:pStyle w:val="Normal1"/>
        <w:ind w:firstLine="709"/>
      </w:pPr>
      <w:r>
        <w:t xml:space="preserve">ET’lu hastalarda JAK2 gen mutasyonu pozitifliği önemli bir yere sahip olmakla birlikte tanı içinde önemli bir </w:t>
      </w:r>
      <w:proofErr w:type="gramStart"/>
      <w:r>
        <w:t>kriterdir</w:t>
      </w:r>
      <w:proofErr w:type="gramEnd"/>
      <w:r>
        <w:t xml:space="preserve">. </w:t>
      </w:r>
      <w:proofErr w:type="gramStart"/>
      <w:r>
        <w:t xml:space="preserve">ET’lu hastalarda JAK 2 gen mutasyonu sıklığı ile ilgili yapılan araştırmalara bakıldığında, 2008 yılında Lieu ve arkadaşlarının Taiwan’da yaptığı çalışmada %59, 2008 yılında Wong ve arkadaşlarının Çin’de yaptığı çalışmada %63, 2009 yılında Wong ve arkadaşlarının Asyalı hastalar üzerinde yaptığı çalışmada %34, 2009 yılında Cho ve arkadaşlarının yaptığı çalışmada %56,5 ve 2009 yılında Bang ve arkadaşlarının Kore’deki çalışmalarında %61 oranında JAK2 gen mutasyonu pozitifliği bulunmuştur. </w:t>
      </w:r>
      <w:proofErr w:type="gramEnd"/>
      <w:r>
        <w:t>Bizim çalışmamızda da primer trombositoz düşündüğümüz çocuk hastalarda JAK2 gen mutasyonu negatif olarak tespit edilmiştir.</w:t>
      </w:r>
    </w:p>
    <w:p w:rsidR="005B77DC" w:rsidRDefault="004F6C22">
      <w:pPr>
        <w:pStyle w:val="Normal1"/>
        <w:ind w:firstLine="709"/>
        <w:rPr>
          <w:color w:val="212121"/>
          <w:highlight w:val="white"/>
        </w:rPr>
      </w:pPr>
      <w:r>
        <w:t>JAK2 ekzon 12 mutasyonu PV’li hastaların az bir kısmında saptanmakla birlikte JAK2 mutasyonu saptanmayan ET veya PMF’li hastaların yaklaşık %5-10’unda MPL gen mutasyonu saptanmaktadır (Tefferi A ve ark, 2011</w:t>
      </w:r>
      <w:r>
        <w:rPr>
          <w:color w:val="212121"/>
          <w:highlight w:val="white"/>
        </w:rPr>
        <w:t>).</w:t>
      </w:r>
    </w:p>
    <w:p w:rsidR="005B77DC" w:rsidRDefault="004F6C22">
      <w:pPr>
        <w:pStyle w:val="Normal1"/>
        <w:ind w:firstLine="709"/>
        <w:rPr>
          <w:color w:val="212121"/>
          <w:highlight w:val="white"/>
        </w:rPr>
      </w:pPr>
      <w:r>
        <w:t>ET vakalarının yaklaşık %60'ında bir klonal genetik anormallik gösterilebilir. JAK2 V617F mutasyonu %50 ve MPL mutasyonu %10'a kadar tespit edilebilir (</w:t>
      </w:r>
      <w:r>
        <w:rPr>
          <w:color w:val="212121"/>
          <w:highlight w:val="white"/>
        </w:rPr>
        <w:t>Harrison CN ve ark, 2010).</w:t>
      </w:r>
    </w:p>
    <w:p w:rsidR="005B77DC" w:rsidRDefault="004F6C22">
      <w:pPr>
        <w:pStyle w:val="Normal1"/>
        <w:ind w:firstLine="709"/>
      </w:pPr>
      <w:r>
        <w:t>ET’lu 2436 hastada yapılan bir metaanalizde, JAK2 mutasyon pozitifliği %56.5 olarak bulunmuştur. Yapılan bu araştırmada, JAK2’nin tromboembolizm ile ilgili bir gösterge olduğunu ve rasyonel tedavi planında mutasyon durumunun rolünü belirlemek için gelecekteki çalışmalara duyulan ihtiyacın altını çizdi. JAK2 pozitif ve JAK2 negatif hastalarda lökosit sayısının ortalama farkının, tromboz için artan bir ilişki oranı ile alakalıdır. Lökositozun tromboz riskini etkilediği gösterilmiştir. Bu verilerle JAK2 mutasyonunun lökosit sayısındaki bir artışla tromboz riski üzerindeki etkisini kısmen gösterdiği görülmüştür (Dahabreh IJ ve ark, 2009).</w:t>
      </w:r>
    </w:p>
    <w:p w:rsidR="005B77DC" w:rsidRDefault="004F6C22">
      <w:pPr>
        <w:pStyle w:val="Normal1"/>
        <w:ind w:firstLine="709"/>
      </w:pPr>
      <w:r>
        <w:t>Şanlıurfa’da yaş ortalaması 42 olan 235 (%88) PV, 31 (%11,6) ET hastasında JAK2 V617F mutasyon pozitifliği sırasıyla %8,5 ve %9,7 olarak saptanmıştır (Öz Ö, 2019).</w:t>
      </w:r>
    </w:p>
    <w:p w:rsidR="005B77DC" w:rsidRDefault="004F6C22">
      <w:pPr>
        <w:pStyle w:val="Normal1"/>
        <w:ind w:firstLine="709"/>
      </w:pPr>
      <w:r>
        <w:lastRenderedPageBreak/>
        <w:t>JAK2 ve MPL genlerinde mutasyon bulunmayan Philadelphia negatif MPN hastalarına CALR mutasyon araştırılması önerilmektedir (Nangalia J ve ark, 2013).</w:t>
      </w:r>
    </w:p>
    <w:p w:rsidR="005B77DC" w:rsidRDefault="004F6C22">
      <w:pPr>
        <w:pStyle w:val="Normal1"/>
        <w:ind w:firstLine="709"/>
      </w:pPr>
      <w:proofErr w:type="gramStart"/>
      <w:r>
        <w:t>Bahsi ve Yiğenoğlu Ankara’da yaptıkları çalışmada MPN’li 41 hastanın 15’inde (%36) JAK2 V617F, 7’sinde (%17) CALR mutasyonu tespit ettiklerini; JAK2 V617F mutasyonunu PV’li hastaların %67’sinde, ET’li hastaların %33’ünde ve PMF’li hastaların %25’inde; CALR mutasyonunu ise ET’li hastaların %29’unda, PMF’li ve PV’li hastaların %8’inde saptadıklarını ifade etmişlerdir (Bahsi T ve ark, 2019).</w:t>
      </w:r>
      <w:proofErr w:type="gramEnd"/>
    </w:p>
    <w:p w:rsidR="005B77DC" w:rsidRDefault="004F6C22">
      <w:pPr>
        <w:pStyle w:val="Normal1"/>
        <w:ind w:firstLine="709"/>
        <w:rPr>
          <w:highlight w:val="white"/>
        </w:rPr>
      </w:pPr>
      <w:r>
        <w:t>Pediatrik yaş grubunda ET tanılı çocukların yaklaşık dörtte birinde JAK2V617F mutasyonu saptanırken CALR mutasyonlarına %2’den daha az olguda rastlanır. Olguların çoğunda üç mutasyonda (JAK2V617F, MPLW515K ve CALR ) negatiftir (</w:t>
      </w:r>
      <w:r>
        <w:rPr>
          <w:highlight w:val="white"/>
        </w:rPr>
        <w:t>Randi ML ve ark, 2019).</w:t>
      </w:r>
    </w:p>
    <w:p w:rsidR="005B77DC" w:rsidRDefault="004F6C22">
      <w:pPr>
        <w:pStyle w:val="Normal1"/>
        <w:ind w:firstLine="709"/>
      </w:pPr>
      <w:r>
        <w:rPr>
          <w:highlight w:val="white"/>
        </w:rPr>
        <w:t xml:space="preserve">Ianotto ve arkadaşları ise 20 yaş altında </w:t>
      </w:r>
      <w:r>
        <w:t>ET tanısı konulan 396 hastada JAK2 V617F, CALR ve MPL mutasyon oranını sırasıyla %31.7, %5.6 ve %1; PV tanısı konulan 75 hastada ise JAK2 exon 14 ve exon 12 mutasyonunu sırasıyla %37 ve %2.5 olarak bildirmişlerdir. Üçlü negatiflik oranı ise (JAK2 V617F, CALR ve MPL negatif) ET’de %57, PV’da %73 saptanmıştır. (Ianotto JC ve ark, 2019).</w:t>
      </w:r>
    </w:p>
    <w:p w:rsidR="005B77DC" w:rsidRDefault="004F6C22">
      <w:pPr>
        <w:pStyle w:val="Normal1"/>
        <w:ind w:firstLine="709"/>
        <w:rPr>
          <w:highlight w:val="white"/>
        </w:rPr>
      </w:pPr>
      <w:proofErr w:type="gramStart"/>
      <w:r>
        <w:t xml:space="preserve">Randi ve arkadaşları İtalya’da klinik olarak ET tanısı alan ortanca yaşları 8.7 yıl, dağılım 6 ay-16.5 yıl olan 58’i kız 89 çocuğun 14’ünde (%15.7) JAK2 V617F mutasyonu, birinde MPL W515L mutasyonu ve 6'sında CALR mutasyonu (%8) saptamışlar ve 23 hastada (%25.8) klonalite saptadıklarını ifade etmişlerdir </w:t>
      </w:r>
      <w:r>
        <w:rPr>
          <w:highlight w:val="white"/>
        </w:rPr>
        <w:t>(Randi ML ve ark, 2015).</w:t>
      </w:r>
      <w:proofErr w:type="gramEnd"/>
    </w:p>
    <w:p w:rsidR="005B77DC" w:rsidRDefault="004F6C22">
      <w:pPr>
        <w:pStyle w:val="Normal1"/>
        <w:ind w:firstLine="709"/>
      </w:pPr>
      <w:r>
        <w:t>Sarangi ve arkadaşları Hindistan’da %70.58’i hafif, %25.7’si orta, %1.5’i ağır trombositozlu 1-14 yaş arası 272 çocukta etiyolojik olarak %99.6 oranında reaktif trombositoz, bir olguda ise Philadelphia (+) KML tanısı koyduklarını ifade etmişlerdir (</w:t>
      </w:r>
      <w:hyperlink r:id="rId30">
        <w:r>
          <w:rPr>
            <w:color w:val="000000"/>
          </w:rPr>
          <w:t>Sarangi</w:t>
        </w:r>
      </w:hyperlink>
      <w:r>
        <w:t xml:space="preserve"> R ve ark, 2018).</w:t>
      </w:r>
    </w:p>
    <w:p w:rsidR="005B77DC" w:rsidRDefault="004F6C22">
      <w:pPr>
        <w:pStyle w:val="Normal1"/>
        <w:ind w:firstLine="709"/>
      </w:pPr>
      <w:proofErr w:type="gramStart"/>
      <w:r>
        <w:t>Ismael ve arkadaşlarının yaptığı araştırmada primer trombositoz düşündükleri yaşları 1,5 ile 15 yıl arasında değişen (ortalama 10 yıl) 13 hastanın 9’una ET, 4’üne PV tanısı koydukları ve 3’ünde JAK2 V617F (2 ET, 1 PV) ve 2’sinde ASXL1 mutasyonu (1 ET, 1 PV) saptadıklarını bildirmişlerdir (Ismael O ve ark, 2012).</w:t>
      </w:r>
      <w:proofErr w:type="gramEnd"/>
    </w:p>
    <w:p w:rsidR="005B77DC" w:rsidRDefault="004F6C22">
      <w:pPr>
        <w:pStyle w:val="Normal1"/>
        <w:ind w:firstLine="709"/>
        <w:rPr>
          <w:color w:val="212121"/>
          <w:highlight w:val="white"/>
        </w:rPr>
      </w:pPr>
      <w:r>
        <w:rPr>
          <w:color w:val="212121"/>
          <w:highlight w:val="white"/>
        </w:rPr>
        <w:t>Kucine ve arkadaşlarının yaptığı çalışmada ise başvuru yaşı 5 ile 19 yıl arası değişen ve ET tanısı konulan 5 hastanın 3’ünde JAK2V617F mutasyonu saptadıkları, CALR, MPL veya JAK ailesi genlerinde ek mutasyon bulamadıklarını ifade etmişlerdir (Kucine N ve ark, 2016).</w:t>
      </w:r>
    </w:p>
    <w:p w:rsidR="005B77DC" w:rsidRDefault="004F6C22">
      <w:pPr>
        <w:pStyle w:val="Normal1"/>
        <w:ind w:firstLine="709"/>
        <w:rPr>
          <w:highlight w:val="white"/>
        </w:rPr>
      </w:pPr>
      <w:r>
        <w:t xml:space="preserve">ET’li çocuklarda W515L mutasyonu çok nadir görülmektedir. Çoğu hastada herhangi bir moleküler anormallik bulunamaz, pediatrik hastaların yaklaşık %40'ı JAK2 V617F mutasyonuna sahiptir. MPL kodonu 515’te W ile L veya K transversiyonunu içeren başka bir tekrarlayan </w:t>
      </w:r>
      <w:r>
        <w:lastRenderedPageBreak/>
        <w:t>mutasyon, yetişkin ET hastalarının yaklaşık %3-8’inde bildirilmiştir. Bu çalışmada sadece bir pediatrik hastada bu mutasyon tarif edildi. (</w:t>
      </w:r>
      <w:r>
        <w:rPr>
          <w:highlight w:val="white"/>
        </w:rPr>
        <w:t>Tokgoz H ve ark, 2015; Farruggia P ve ark, 2013).</w:t>
      </w:r>
    </w:p>
    <w:p w:rsidR="005B77DC" w:rsidRDefault="004F6C22">
      <w:pPr>
        <w:pStyle w:val="Normal1"/>
        <w:ind w:firstLine="709"/>
      </w:pPr>
      <w:r>
        <w:t>Giona ve arkadaşları ET'li median yaş 15 (dağılım 1-19 yıl ) olan 34 pediatrik hastanın sekizinde (altısı 15 yaşından büyük) CALR mutasyonu saptamışlar ve bu mutasyonu taşıyanların JAK2 mutasyonu taşıyan hastalara kıyasla tanıda asemptomatik olduğunu ve bir hastada daha sonra miyelofibrozis geliştiğini ifade etmişlerdir (Giona F ve ark, 2014).</w:t>
      </w:r>
    </w:p>
    <w:p w:rsidR="005B77DC" w:rsidRDefault="004F6C22">
      <w:pPr>
        <w:pStyle w:val="Normal1"/>
        <w:ind w:firstLine="709"/>
      </w:pPr>
      <w:r>
        <w:t>Yapılan bir çalışmada çocukluk ve ergenlik döneminde teşhis edilen esansiyel trombositemili hastalarda CALR mutasyonu tespit edildi (Giona F ve ark, 2014; Rumi E ve ark, 2014).</w:t>
      </w:r>
    </w:p>
    <w:p w:rsidR="005B77DC" w:rsidRDefault="004F6C22">
      <w:pPr>
        <w:pStyle w:val="Normal1"/>
        <w:ind w:firstLine="709"/>
      </w:pPr>
      <w:r>
        <w:rPr>
          <w:color w:val="212121"/>
          <w:highlight w:val="white"/>
        </w:rPr>
        <w:t>Langabeer</w:t>
      </w:r>
      <w:r>
        <w:t xml:space="preserve"> ve arkadaşlarının yaptığı çalışmada dört JAK2 V617F-negatif ET, iki JAK2 V617F pozitif ET, bir JAK2 V617F pozitif PV, iki JAK2 V617F-negatif polisitemia ve sekiz reaktif trombositoz düşünülen çocukta CALR mutasyonu saptamadıklarını, ayrıca MPN hastalarında MPLW515L veya W515K mutasyonlarını saptamadıklarını ifade etmişlerdir (</w:t>
      </w:r>
      <w:r>
        <w:rPr>
          <w:color w:val="212121"/>
          <w:highlight w:val="white"/>
        </w:rPr>
        <w:t xml:space="preserve">Langabeer SE ve ark, </w:t>
      </w:r>
      <w:r>
        <w:t>2014).</w:t>
      </w:r>
    </w:p>
    <w:p w:rsidR="005B77DC" w:rsidRDefault="004F6C22">
      <w:pPr>
        <w:pStyle w:val="Normal1"/>
        <w:ind w:firstLine="709"/>
      </w:pPr>
      <w:r>
        <w:t>Sekiya ve arkadaşlarının çalışmasında ise median yaşları 8 yıl olan ve ET tanısı konulan 17 çocuktan 5 tanesinde (%29) JAK2 V617F mutasyonu saptadıklarını, diğer 12 çocukta (%71) ise JAK2 V617F, MPL ve CALR mutasyonu saptamadıklarını ifade etmişlerdir (Sekiya Y ve ark, 2016).</w:t>
      </w:r>
    </w:p>
    <w:p w:rsidR="005B77DC" w:rsidRDefault="004F6C22">
      <w:pPr>
        <w:pStyle w:val="Normal1"/>
        <w:ind w:firstLine="709"/>
      </w:pPr>
      <w:r>
        <w:t>JAK2 V617F mutasyonu, JAK2’nin psödokinaz alanı (JH2) içindeki kodon 617’de valinin fenilalanin ile yer değiştirmesiyle oluşmaktadır. Germline DNA analizi, JAK2 V617F’nin hematopoietik progenitörlerde somatik bir mutasyon (exon 14 1849G→T) olduğunu ortaya çıkarmıştır (Levine RL ve ark, 2007; Orazi A ve ark, 2007). Böylece bu mutasyon JAK-STAT sinyal iletim yolunun sürekli aktivasyonuna yol açar (Mesa RA, 2007).</w:t>
      </w:r>
    </w:p>
    <w:p w:rsidR="005B77DC" w:rsidRDefault="004F6C22">
      <w:pPr>
        <w:pStyle w:val="Normal1"/>
        <w:ind w:firstLine="709"/>
      </w:pPr>
      <w:proofErr w:type="gramStart"/>
      <w:r>
        <w:t xml:space="preserve">Allele özgü PCR, pirosekanslama (gerçek zamanlı DNA dizi analizi yöntemi) ve RT-PCR(gerçek zamanlı polimeraz zincir reaksiyonu) gibi hassas yöntemlerin kullanılmasıyla JAK2 V617F, PV’li hastaların yaklaşık % 90-95’inde, ET’li hastaların % 50-70’inde ve PMF’li hastaların % 40-50’sinde tespit edilmiştir (Levine RL ve ark, 2007; Mandala E ve ark, 2007; Tefferi A ve ark, 2007). </w:t>
      </w:r>
      <w:proofErr w:type="gramEnd"/>
      <w:r>
        <w:t>Ancak bizim araştırmamızda primer trombositoz düşünülen 21 çocuk hastalarda JAK2 V617F mutasyonu tespit edilmemiştir.</w:t>
      </w:r>
    </w:p>
    <w:p w:rsidR="005B77DC" w:rsidRDefault="004F6C22">
      <w:pPr>
        <w:pStyle w:val="Normal1"/>
        <w:ind w:firstLine="709"/>
      </w:pPr>
      <w:r>
        <w:t xml:space="preserve">Primer trombositozlu çocukların tanı anındaki ortanca yaşı 11’dir ve yaklaşık olarak 2/3’ünün platelet sayısı bir milyondan fazladır (Dame C ve ark, 2005). Yapılan bir çalışmaya göre primer trombositozu olan çocukların yaklaşık %30’unda tanı sırasında veya sonrasında tromboembolik veya hemorajik </w:t>
      </w:r>
      <w:proofErr w:type="gramStart"/>
      <w:r>
        <w:t>komplikasyonlar</w:t>
      </w:r>
      <w:proofErr w:type="gramEnd"/>
      <w:r>
        <w:t xml:space="preserve"> görüldüğü ve başlangıçta asemptomatik çocukların yaklaşık %20’sinde daha sonra bu komplikasyonların ortaya çıktığı rapor edilmiştir </w:t>
      </w:r>
      <w:r>
        <w:lastRenderedPageBreak/>
        <w:t xml:space="preserve">(Dror Y ve ark, 1999; Jensen MK ve ark, 2000). Farklı çalışmalarda bildirilen oranlar farklı olup, </w:t>
      </w:r>
      <w:proofErr w:type="gramStart"/>
      <w:r>
        <w:t>komplikasyon</w:t>
      </w:r>
      <w:proofErr w:type="gramEnd"/>
      <w:r>
        <w:t xml:space="preserve"> sıklığı tam olarak bilinmemektedir.</w:t>
      </w:r>
    </w:p>
    <w:p w:rsidR="005B77DC" w:rsidRDefault="004F6C22">
      <w:pPr>
        <w:pStyle w:val="Normal1"/>
        <w:ind w:firstLine="709"/>
      </w:pPr>
      <w:r>
        <w:t xml:space="preserve">Genel </w:t>
      </w:r>
      <w:proofErr w:type="gramStart"/>
      <w:r>
        <w:t>popülasyondaki</w:t>
      </w:r>
      <w:proofErr w:type="gramEnd"/>
      <w:r>
        <w:t xml:space="preserve"> prevalans yaklaşık 30/100.000'dir ve bildirilen yıllık insidans oranları 0,59 ile 2,53/100.000 arasında değişmektedir. Ortalama tanı yaşı 65-70 arasında olup, hastalığı kadınları erkeklerden daha fazla etkilemektedir (</w:t>
      </w:r>
      <w:r>
        <w:rPr>
          <w:color w:val="000000"/>
          <w:highlight w:val="white"/>
        </w:rPr>
        <w:t>Besses C</w:t>
      </w:r>
      <w:r>
        <w:t xml:space="preserve"> ve ark, 2011). ET, çocukluk çağında oldukça nadir görülen bir miyeloproliferatif hastalıktır (</w:t>
      </w:r>
      <w:r>
        <w:rPr>
          <w:color w:val="000000"/>
          <w:highlight w:val="white"/>
        </w:rPr>
        <w:t>Hwang J</w:t>
      </w:r>
      <w:r>
        <w:t xml:space="preserve"> ve ark, 2008).</w:t>
      </w:r>
    </w:p>
    <w:p w:rsidR="005B77DC" w:rsidRDefault="004F6C22">
      <w:pPr>
        <w:pStyle w:val="Normal1"/>
        <w:ind w:firstLine="709"/>
      </w:pPr>
      <w:r>
        <w:t>Sonuç olarak, miyeloproliferatif hastalık düşündürecek öykü, fiziksel muayene ve/veya tam kan sayımı ve periferik kan yayma bulgusu olmayan trombositozlu çocuklarda JAK2 mutasyonu bakılmasının gerekli olmadığını düşünüyoruz.</w:t>
      </w:r>
    </w:p>
    <w:p w:rsidR="005B77DC" w:rsidRDefault="005B77DC">
      <w:pPr>
        <w:pStyle w:val="Normal1"/>
        <w:ind w:firstLine="709"/>
      </w:pPr>
    </w:p>
    <w:p w:rsidR="005B77DC" w:rsidRDefault="005B77DC">
      <w:pPr>
        <w:pStyle w:val="Normal1"/>
        <w:ind w:firstLine="709"/>
      </w:pPr>
    </w:p>
    <w:p w:rsidR="005B77DC" w:rsidRDefault="005B77DC">
      <w:pPr>
        <w:pStyle w:val="Normal1"/>
        <w:ind w:firstLine="709"/>
      </w:pPr>
    </w:p>
    <w:p w:rsidR="005B77DC" w:rsidRDefault="005B77DC">
      <w:pPr>
        <w:pStyle w:val="Normal1"/>
        <w:ind w:firstLine="709"/>
      </w:pPr>
    </w:p>
    <w:p w:rsidR="005B77DC" w:rsidRDefault="005B77DC">
      <w:pPr>
        <w:pStyle w:val="Normal1"/>
        <w:ind w:firstLine="709"/>
      </w:pPr>
    </w:p>
    <w:p w:rsidR="005B77DC" w:rsidRDefault="005B77DC">
      <w:pPr>
        <w:pStyle w:val="Normal1"/>
        <w:ind w:firstLine="709"/>
      </w:pPr>
    </w:p>
    <w:p w:rsidR="005B77DC" w:rsidRDefault="005B77DC">
      <w:pPr>
        <w:pStyle w:val="Normal1"/>
        <w:ind w:firstLine="709"/>
        <w:rPr>
          <w:b/>
          <w:color w:val="000000"/>
        </w:rPr>
      </w:pPr>
    </w:p>
    <w:p w:rsidR="005B77DC" w:rsidRDefault="005B77DC">
      <w:pPr>
        <w:pStyle w:val="Normal1"/>
        <w:ind w:firstLine="709"/>
        <w:rPr>
          <w:b/>
          <w:color w:val="000000"/>
        </w:rPr>
      </w:pPr>
    </w:p>
    <w:p w:rsidR="005B77DC" w:rsidRDefault="005B77DC">
      <w:pPr>
        <w:pStyle w:val="Normal1"/>
        <w:ind w:firstLine="709"/>
        <w:rPr>
          <w:b/>
          <w:color w:val="000000"/>
        </w:rPr>
      </w:pPr>
    </w:p>
    <w:p w:rsidR="005B77DC" w:rsidRDefault="005B77DC">
      <w:pPr>
        <w:pStyle w:val="Normal1"/>
        <w:ind w:firstLine="709"/>
        <w:rPr>
          <w:b/>
          <w:color w:val="000000"/>
        </w:rPr>
      </w:pPr>
    </w:p>
    <w:p w:rsidR="005B77DC" w:rsidRDefault="005B77DC">
      <w:pPr>
        <w:pStyle w:val="Normal1"/>
        <w:ind w:firstLine="709"/>
        <w:rPr>
          <w:b/>
          <w:color w:val="000000"/>
        </w:rPr>
      </w:pPr>
    </w:p>
    <w:p w:rsidR="005B77DC" w:rsidRDefault="004F6C22">
      <w:pPr>
        <w:pStyle w:val="Normal1"/>
        <w:spacing w:after="200" w:line="276" w:lineRule="auto"/>
        <w:ind w:firstLine="0"/>
        <w:jc w:val="left"/>
        <w:rPr>
          <w:b/>
          <w:color w:val="000000"/>
        </w:rPr>
      </w:pPr>
      <w:r>
        <w:br w:type="page"/>
      </w:r>
    </w:p>
    <w:p w:rsidR="005B77DC" w:rsidRDefault="004F6C22">
      <w:pPr>
        <w:pStyle w:val="Normal1"/>
        <w:ind w:firstLine="0"/>
        <w:jc w:val="center"/>
        <w:rPr>
          <w:sz w:val="28"/>
          <w:szCs w:val="28"/>
        </w:rPr>
      </w:pPr>
      <w:r>
        <w:rPr>
          <w:b/>
          <w:sz w:val="28"/>
          <w:szCs w:val="28"/>
        </w:rPr>
        <w:lastRenderedPageBreak/>
        <w:t>6. SONUÇ VE ÖNERİLER</w:t>
      </w:r>
    </w:p>
    <w:p w:rsidR="005B77DC" w:rsidRDefault="005B77DC">
      <w:pPr>
        <w:pStyle w:val="Normal1"/>
        <w:ind w:firstLine="0"/>
        <w:jc w:val="center"/>
        <w:rPr>
          <w:b/>
          <w:color w:val="000000"/>
        </w:rPr>
      </w:pPr>
    </w:p>
    <w:p w:rsidR="005B77DC" w:rsidRDefault="005B77DC">
      <w:pPr>
        <w:pStyle w:val="Normal1"/>
        <w:ind w:firstLine="0"/>
        <w:jc w:val="center"/>
        <w:rPr>
          <w:b/>
          <w:color w:val="000000"/>
        </w:rPr>
      </w:pPr>
    </w:p>
    <w:p w:rsidR="005B77DC" w:rsidRDefault="004F6C22">
      <w:pPr>
        <w:pStyle w:val="Normal1"/>
        <w:ind w:firstLine="709"/>
      </w:pPr>
      <w:r>
        <w:t>1. Hastalarımızda miyeloproliferatif hastalık düşündürecek öykü, fiziksel muayene bulgusu ve trombositoz dışında tam kan sayımı ve periferik kan yayma bulgusu yoktu.</w:t>
      </w:r>
    </w:p>
    <w:p w:rsidR="005B77DC" w:rsidRDefault="004F6C22">
      <w:pPr>
        <w:pStyle w:val="Normal1"/>
        <w:ind w:firstLine="709"/>
      </w:pPr>
      <w:r>
        <w:t xml:space="preserve">2. Demir eksikliği anemisi olmayan ve </w:t>
      </w:r>
      <w:proofErr w:type="gramStart"/>
      <w:r>
        <w:t>enfeksiyon</w:t>
      </w:r>
      <w:proofErr w:type="gramEnd"/>
      <w:r>
        <w:t>/enflamasyona sekonder trombositoz düşünülmeyen ve primer trombositoz olasılığı olan 21 çocukta JAK2 V617F mutasyonu saptanmadı.</w:t>
      </w:r>
    </w:p>
    <w:p w:rsidR="005B77DC" w:rsidRDefault="004F6C22">
      <w:pPr>
        <w:pStyle w:val="Normal1"/>
        <w:ind w:firstLine="709"/>
      </w:pPr>
      <w:r>
        <w:t>3. Primer trombositoz olasılığının dışlanması için izlemde gerekirse CALR mutasyonu, MPL mutasyonu ve JAK2 exon 12 mutasyonu çalışılmasının uygun olacağı düşünüldü.</w:t>
      </w:r>
    </w:p>
    <w:p w:rsidR="005B77DC" w:rsidRDefault="004F6C22">
      <w:pPr>
        <w:pStyle w:val="Normal1"/>
        <w:ind w:firstLine="709"/>
      </w:pPr>
      <w:r>
        <w:t>4. Bu sonuçlar bize çocuklarda primer trombositozun çok nadir olduğunu, miyeloproliferatif hastalık düşündürecek öykü, fiziksel muayene bulgusu ve tam kan sayımı ve periferik yayma bulgusu olmayan trombositozlu çocuklarda JAK2 mutasyonu bakılmasının gerekli olmadığını düşündürdü.</w:t>
      </w:r>
    </w:p>
    <w:p w:rsidR="005B77DC" w:rsidRDefault="005B77DC">
      <w:pPr>
        <w:pStyle w:val="Normal1"/>
        <w:ind w:firstLine="709"/>
      </w:pPr>
    </w:p>
    <w:p w:rsidR="005B77DC" w:rsidRDefault="005B77DC">
      <w:pPr>
        <w:pStyle w:val="Normal1"/>
        <w:ind w:firstLine="709"/>
      </w:pPr>
    </w:p>
    <w:p w:rsidR="005B77DC" w:rsidRDefault="005B77DC">
      <w:pPr>
        <w:pStyle w:val="Normal1"/>
        <w:tabs>
          <w:tab w:val="left" w:pos="567"/>
        </w:tabs>
        <w:ind w:firstLine="709"/>
        <w:rPr>
          <w:color w:val="000000"/>
        </w:rPr>
      </w:pPr>
    </w:p>
    <w:p w:rsidR="005B77DC" w:rsidRDefault="005B77DC">
      <w:pPr>
        <w:pStyle w:val="Normal1"/>
        <w:tabs>
          <w:tab w:val="left" w:pos="567"/>
        </w:tabs>
        <w:ind w:firstLine="709"/>
        <w:rPr>
          <w:color w:val="000000"/>
        </w:rPr>
      </w:pPr>
    </w:p>
    <w:p w:rsidR="005B77DC" w:rsidRDefault="005B77DC">
      <w:pPr>
        <w:pStyle w:val="Normal1"/>
        <w:tabs>
          <w:tab w:val="left" w:pos="567"/>
        </w:tabs>
        <w:ind w:firstLine="709"/>
        <w:rPr>
          <w:color w:val="000000"/>
        </w:rPr>
      </w:pPr>
    </w:p>
    <w:p w:rsidR="005B77DC" w:rsidRDefault="005B77DC">
      <w:pPr>
        <w:pStyle w:val="Normal1"/>
        <w:tabs>
          <w:tab w:val="left" w:pos="567"/>
        </w:tabs>
        <w:ind w:firstLine="709"/>
        <w:rPr>
          <w:color w:val="000000"/>
        </w:rPr>
      </w:pPr>
    </w:p>
    <w:p w:rsidR="005B77DC" w:rsidRDefault="005B77DC">
      <w:pPr>
        <w:pStyle w:val="Normal1"/>
        <w:tabs>
          <w:tab w:val="left" w:pos="567"/>
        </w:tabs>
        <w:ind w:firstLine="709"/>
        <w:rPr>
          <w:color w:val="000000"/>
        </w:rPr>
      </w:pPr>
    </w:p>
    <w:p w:rsidR="005B77DC" w:rsidRDefault="005B77DC">
      <w:pPr>
        <w:pStyle w:val="Normal1"/>
        <w:tabs>
          <w:tab w:val="left" w:pos="567"/>
        </w:tabs>
        <w:ind w:firstLine="709"/>
        <w:rPr>
          <w:color w:val="000000"/>
        </w:rPr>
      </w:pPr>
    </w:p>
    <w:p w:rsidR="005B77DC" w:rsidRDefault="005B77DC">
      <w:pPr>
        <w:pStyle w:val="Normal1"/>
        <w:tabs>
          <w:tab w:val="left" w:pos="567"/>
        </w:tabs>
        <w:ind w:firstLine="709"/>
        <w:rPr>
          <w:color w:val="000000"/>
        </w:rPr>
      </w:pPr>
    </w:p>
    <w:p w:rsidR="005B77DC" w:rsidRDefault="004F6C22">
      <w:pPr>
        <w:pStyle w:val="Normal1"/>
        <w:ind w:firstLine="709"/>
        <w:rPr>
          <w:b/>
          <w:color w:val="000000"/>
        </w:rPr>
      </w:pPr>
      <w:r>
        <w:br w:type="page"/>
      </w:r>
    </w:p>
    <w:p w:rsidR="005B77DC" w:rsidRDefault="004F6C22">
      <w:pPr>
        <w:pStyle w:val="Normal1"/>
        <w:ind w:firstLine="0"/>
        <w:jc w:val="center"/>
        <w:rPr>
          <w:b/>
          <w:sz w:val="28"/>
          <w:szCs w:val="28"/>
        </w:rPr>
      </w:pPr>
      <w:r>
        <w:rPr>
          <w:b/>
          <w:sz w:val="28"/>
          <w:szCs w:val="28"/>
        </w:rPr>
        <w:lastRenderedPageBreak/>
        <w:t>KAYNAKLAR</w:t>
      </w:r>
    </w:p>
    <w:p w:rsidR="005B77DC" w:rsidRDefault="005B77DC">
      <w:pPr>
        <w:pStyle w:val="Normal1"/>
        <w:spacing w:before="120" w:after="240"/>
        <w:ind w:firstLine="0"/>
      </w:pPr>
    </w:p>
    <w:p w:rsidR="00C973A4" w:rsidRDefault="00C973A4">
      <w:pPr>
        <w:pStyle w:val="Normal1"/>
        <w:spacing w:before="120" w:after="240"/>
        <w:ind w:firstLine="0"/>
        <w:rPr>
          <w:color w:val="000000"/>
        </w:rPr>
      </w:pPr>
    </w:p>
    <w:p w:rsidR="005B77DC" w:rsidRDefault="004F6C22">
      <w:pPr>
        <w:pStyle w:val="Normal1"/>
        <w:spacing w:before="120" w:after="240"/>
        <w:ind w:firstLine="0"/>
        <w:rPr>
          <w:color w:val="000000"/>
        </w:rPr>
      </w:pPr>
      <w:r>
        <w:rPr>
          <w:b/>
          <w:color w:val="000000"/>
        </w:rPr>
        <w:t xml:space="preserve">Alvarez-Larran A, Cervantes F, Bellosillo B, Giralt M, Juliá A, Hernández-Boluda JC, et al. </w:t>
      </w:r>
      <w:r>
        <w:rPr>
          <w:color w:val="000000"/>
        </w:rPr>
        <w:t>Essential thrombocythemia in young individuals: frequency and risk factors for vascular events and evolution to myelofibrosis in 126 patients. Leukemia 2007;21:1218-1223.</w:t>
      </w:r>
    </w:p>
    <w:p w:rsidR="005B77DC" w:rsidRDefault="004F6C22">
      <w:pPr>
        <w:pStyle w:val="Normal1"/>
        <w:spacing w:before="120" w:after="240"/>
        <w:ind w:firstLine="0"/>
        <w:rPr>
          <w:color w:val="000000"/>
        </w:rPr>
      </w:pPr>
      <w:r>
        <w:rPr>
          <w:b/>
          <w:color w:val="000000"/>
        </w:rPr>
        <w:t>Antonioli E, Guglielmelli P, Pancrazzi A.</w:t>
      </w:r>
      <w:r>
        <w:rPr>
          <w:color w:val="000000"/>
        </w:rPr>
        <w:t xml:space="preserve"> Clinicalimplications of the JAK2V617F mutation in essential thrombocythemia. Leukemia 2005;19:1847-1849.</w:t>
      </w:r>
    </w:p>
    <w:p w:rsidR="005B77DC" w:rsidRDefault="004F6C22">
      <w:pPr>
        <w:pStyle w:val="Normal1"/>
        <w:spacing w:before="120" w:after="240"/>
        <w:ind w:firstLine="0"/>
      </w:pPr>
      <w:r>
        <w:rPr>
          <w:b/>
        </w:rPr>
        <w:t xml:space="preserve">Aral B, Courtois M, Ragot S, et al. </w:t>
      </w:r>
      <w:r>
        <w:t>Germline JAK2 L611S mutation in a child with thrombocytosis. Haematologica 2018;103(8):e372-373.</w:t>
      </w:r>
    </w:p>
    <w:p w:rsidR="005B77DC" w:rsidRDefault="004F6C22">
      <w:pPr>
        <w:pStyle w:val="Normal1"/>
        <w:spacing w:before="120" w:after="240"/>
        <w:ind w:firstLine="0"/>
      </w:pPr>
      <w:r>
        <w:rPr>
          <w:b/>
        </w:rPr>
        <w:t xml:space="preserve">Arber DA, Orazi A, Hasserjian R, Thiele J, Borowitz MJ, Le Beau MM, et al. </w:t>
      </w:r>
      <w:r>
        <w:t>The 2016 revision to the World Health Organization classification of myeloid neoplasms and acute leukemia. Blood 2016;127(20):2391-2405.</w:t>
      </w:r>
    </w:p>
    <w:p w:rsidR="005B77DC" w:rsidRDefault="004F6C22">
      <w:pPr>
        <w:pStyle w:val="Normal1"/>
        <w:spacing w:before="120" w:after="240"/>
        <w:ind w:firstLine="0"/>
        <w:rPr>
          <w:color w:val="000000"/>
        </w:rPr>
      </w:pPr>
      <w:r>
        <w:rPr>
          <w:b/>
          <w:color w:val="000000"/>
        </w:rPr>
        <w:t xml:space="preserve">Austin SK, Lambert JR. </w:t>
      </w:r>
      <w:r>
        <w:rPr>
          <w:color w:val="000000"/>
        </w:rPr>
        <w:t>The JAK2V617F mutation and thrombosis. British Journal Of Haematology 2008;143:307-320.</w:t>
      </w:r>
    </w:p>
    <w:p w:rsidR="005B77DC" w:rsidRDefault="004F6C22">
      <w:pPr>
        <w:pStyle w:val="Normal1"/>
        <w:spacing w:before="120" w:after="240"/>
        <w:ind w:firstLine="0"/>
      </w:pPr>
      <w:r>
        <w:rPr>
          <w:b/>
        </w:rPr>
        <w:t>Bahsi T, Yiğenoğlu TN.</w:t>
      </w:r>
      <w:r>
        <w:t xml:space="preserve"> Miyeloproliferatif neoplazilerde CALR, JAK2 ve MPL gen mutasyonlarının sıklığının ve birlikteliğinin değerlendirilmesi; tek merkez deneyimi</w:t>
      </w:r>
      <w:r w:rsidR="0073408B">
        <w:t>. Acta Oncologica Turcica 2019;</w:t>
      </w:r>
      <w:r>
        <w:t>52(3):388-392.</w:t>
      </w:r>
    </w:p>
    <w:p w:rsidR="005B77DC" w:rsidRDefault="004F6C22">
      <w:pPr>
        <w:pStyle w:val="Normal1"/>
        <w:spacing w:before="120" w:after="240"/>
        <w:ind w:firstLine="0"/>
      </w:pPr>
      <w:r>
        <w:rPr>
          <w:b/>
        </w:rPr>
        <w:t xml:space="preserve">Barbui T, Barosi G, Birgegard G, Cervantes F, Finazzi G, Griesshammer M, et al. </w:t>
      </w:r>
      <w:r>
        <w:t>European Leukemia Net. Philadelphia-Negative classical myeloproliferative neoplasms: Critical concepts and management recommendations from European Leukemia Net. J Clin Oncol 2011;29:761-770.</w:t>
      </w:r>
    </w:p>
    <w:p w:rsidR="005B77DC" w:rsidRDefault="004F6C22">
      <w:pPr>
        <w:pStyle w:val="Normal1"/>
        <w:spacing w:before="120" w:after="240"/>
        <w:ind w:firstLine="0"/>
        <w:rPr>
          <w:color w:val="000000"/>
        </w:rPr>
      </w:pPr>
      <w:r>
        <w:rPr>
          <w:b/>
          <w:color w:val="000000"/>
        </w:rPr>
        <w:t xml:space="preserve">Barbui T, Finazzi G. </w:t>
      </w:r>
      <w:r>
        <w:rPr>
          <w:color w:val="000000"/>
        </w:rPr>
        <w:t>When and how to treat essential thrombocythemia. N Engl J Med 2005;353:85–86.</w:t>
      </w:r>
    </w:p>
    <w:p w:rsidR="005B77DC" w:rsidRDefault="004F6C22">
      <w:pPr>
        <w:pStyle w:val="Normal1"/>
        <w:spacing w:before="120" w:after="240"/>
        <w:ind w:firstLine="0"/>
      </w:pPr>
      <w:r>
        <w:rPr>
          <w:b/>
        </w:rPr>
        <w:t>Barbui T.</w:t>
      </w:r>
      <w:r>
        <w:t xml:space="preserve"> How to manage children and young adults with myeloproliferative neoplasms. Leukemia 2012;26:1452-1457.</w:t>
      </w:r>
    </w:p>
    <w:p w:rsidR="005B77DC" w:rsidRDefault="004F6C22">
      <w:pPr>
        <w:pStyle w:val="Normal1"/>
        <w:spacing w:before="120" w:after="240"/>
        <w:ind w:firstLine="0"/>
        <w:rPr>
          <w:color w:val="000000"/>
        </w:rPr>
      </w:pPr>
      <w:r>
        <w:rPr>
          <w:b/>
          <w:color w:val="000000"/>
        </w:rPr>
        <w:lastRenderedPageBreak/>
        <w:t>Baxter EJ, Scott LM, Campbell PJ, East C, Fourouclas N, Swanton S</w:t>
      </w:r>
      <w:r>
        <w:rPr>
          <w:b/>
        </w:rPr>
        <w:t xml:space="preserve">, </w:t>
      </w:r>
      <w:r>
        <w:rPr>
          <w:b/>
          <w:color w:val="000000"/>
        </w:rPr>
        <w:t xml:space="preserve">et al. </w:t>
      </w:r>
      <w:r>
        <w:rPr>
          <w:color w:val="000000"/>
        </w:rPr>
        <w:t>Acquired mutation of the tyrosine kinase JAK2 in human myeloproliferative disorders. Lancet 2005; 365:1054–1061.</w:t>
      </w:r>
    </w:p>
    <w:p w:rsidR="005B77DC" w:rsidRDefault="004F6C22">
      <w:pPr>
        <w:pStyle w:val="Normal1"/>
        <w:spacing w:before="120" w:after="240"/>
        <w:ind w:firstLine="0"/>
        <w:rPr>
          <w:color w:val="000000"/>
        </w:rPr>
      </w:pPr>
      <w:r>
        <w:rPr>
          <w:b/>
          <w:color w:val="000000"/>
        </w:rPr>
        <w:t xml:space="preserve">Bennet JM. </w:t>
      </w:r>
      <w:r>
        <w:rPr>
          <w:color w:val="000000"/>
        </w:rPr>
        <w:t>The myelodysplastic/myeloproliferative disorders: The interface. Hematol Oncol Clin North Am 2003;17:1095-1100.</w:t>
      </w:r>
    </w:p>
    <w:p w:rsidR="005B77DC" w:rsidRDefault="004F6C22">
      <w:pPr>
        <w:pStyle w:val="Normal1"/>
        <w:spacing w:before="120" w:after="240"/>
        <w:ind w:firstLine="0"/>
        <w:rPr>
          <w:color w:val="000000"/>
        </w:rPr>
      </w:pPr>
      <w:r>
        <w:rPr>
          <w:b/>
          <w:color w:val="000000"/>
        </w:rPr>
        <w:t xml:space="preserve">Besses C, Cervantes F, Pereira A, Florensa L, Sole F, Hernandez-Boluda JC, et al. </w:t>
      </w:r>
      <w:r>
        <w:rPr>
          <w:color w:val="000000"/>
        </w:rPr>
        <w:t>Major vascular complications in essential thrombocythemia: A study of the predictive factors in a series of 148 patients. Leukemia 1999;13:150-154.</w:t>
      </w:r>
    </w:p>
    <w:p w:rsidR="005B77DC" w:rsidRDefault="004F6C22">
      <w:pPr>
        <w:pStyle w:val="Normal1"/>
        <w:spacing w:before="120" w:after="240"/>
        <w:ind w:firstLine="0"/>
      </w:pPr>
      <w:r>
        <w:rPr>
          <w:b/>
        </w:rPr>
        <w:t>Blatt, J, Penchansky L, Horn M.</w:t>
      </w:r>
      <w:r>
        <w:t xml:space="preserve"> Thrombocytosis as a presenting feature of acute lymphoblastic leukemia in childhood. Am J Hematol 1989;31:46–49.</w:t>
      </w:r>
    </w:p>
    <w:p w:rsidR="005B77DC" w:rsidRDefault="004F6C22">
      <w:pPr>
        <w:pStyle w:val="Normal1"/>
        <w:spacing w:before="120" w:after="240"/>
        <w:ind w:firstLine="0"/>
        <w:rPr>
          <w:b/>
        </w:rPr>
      </w:pPr>
      <w:r>
        <w:rPr>
          <w:b/>
        </w:rPr>
        <w:t>Breslow A, Kaufman RM, Lawsky AR.</w:t>
      </w:r>
      <w:r>
        <w:t xml:space="preserve"> The effect of surgery on the concentration of circulating megakaryocytes and platelets. Blood 1968;32:393-401.</w:t>
      </w:r>
    </w:p>
    <w:p w:rsidR="005B77DC" w:rsidRDefault="004F6C22">
      <w:pPr>
        <w:pStyle w:val="Normal1"/>
        <w:spacing w:before="120" w:after="240"/>
        <w:ind w:firstLine="0"/>
        <w:rPr>
          <w:b/>
          <w:color w:val="000000"/>
        </w:rPr>
      </w:pPr>
      <w:r>
        <w:rPr>
          <w:b/>
          <w:color w:val="000000"/>
        </w:rPr>
        <w:t xml:space="preserve">Brodmann S, Passweg JR, Gratwohl A, Tichelli RC. </w:t>
      </w:r>
      <w:r>
        <w:rPr>
          <w:color w:val="000000"/>
        </w:rPr>
        <w:t>Myeloproliferative disorders: complications, survival and causes of death. Ann Hematol 2000;79:312-318</w:t>
      </w:r>
      <w:r>
        <w:rPr>
          <w:b/>
          <w:color w:val="000000"/>
        </w:rPr>
        <w:t>.</w:t>
      </w:r>
    </w:p>
    <w:p w:rsidR="005B77DC" w:rsidRDefault="00325A9D">
      <w:pPr>
        <w:pStyle w:val="Normal1"/>
        <w:spacing w:before="120" w:after="240"/>
        <w:ind w:firstLine="0"/>
      </w:pPr>
      <w:hyperlink r:id="rId31">
        <w:r w:rsidR="004F6C22">
          <w:rPr>
            <w:b/>
          </w:rPr>
          <w:t>Buss DH, Cashell AW, O'Connor ML, et al.</w:t>
        </w:r>
      </w:hyperlink>
      <w:hyperlink r:id="rId32">
        <w:r w:rsidR="004F6C22">
          <w:t xml:space="preserve"> Occurrence, etiology, and clinical significance of extreme thrombocytosis: a study of 280 cases. Am J Med 1994;96:247.</w:t>
        </w:r>
      </w:hyperlink>
    </w:p>
    <w:p w:rsidR="005B77DC" w:rsidRDefault="004F6C22">
      <w:pPr>
        <w:pStyle w:val="Normal1"/>
        <w:spacing w:before="120" w:after="240"/>
        <w:ind w:firstLine="0"/>
        <w:rPr>
          <w:color w:val="000000"/>
        </w:rPr>
      </w:pPr>
      <w:r>
        <w:rPr>
          <w:b/>
          <w:color w:val="000000"/>
        </w:rPr>
        <w:t xml:space="preserve">Campbell PJ, Scott LM, Buck G, Wheatley K, East CL, Marsden JT, et al. </w:t>
      </w:r>
      <w:r>
        <w:rPr>
          <w:color w:val="000000"/>
        </w:rPr>
        <w:t>Definition of subtypes of essential thrombocythemia and relation to polycythaemia vera based on JAK2 V617F mutation status: a prospective study. Lancet 2005;366:1945–1953.</w:t>
      </w:r>
    </w:p>
    <w:p w:rsidR="005B77DC" w:rsidRDefault="004F6C22">
      <w:pPr>
        <w:pStyle w:val="Normal1"/>
        <w:spacing w:before="120" w:after="240"/>
        <w:ind w:firstLine="0"/>
        <w:rPr>
          <w:color w:val="000000"/>
        </w:rPr>
      </w:pPr>
      <w:r>
        <w:rPr>
          <w:b/>
          <w:color w:val="000000"/>
        </w:rPr>
        <w:t xml:space="preserve">Carobbio A, Finazzi G, Guerini V, Spinelli O, Delaini F, Marchioli R, et al. </w:t>
      </w:r>
      <w:r>
        <w:rPr>
          <w:color w:val="000000"/>
        </w:rPr>
        <w:t>Leukocytosis is a risk factor for thrombosis in essential thrombocythemia: interaction with treatment, standard risk factors, and JAK2 mutation status. Blood 2007;109:2310-2313.</w:t>
      </w:r>
    </w:p>
    <w:p w:rsidR="005B77DC" w:rsidRDefault="004F6C22">
      <w:pPr>
        <w:pStyle w:val="Normal1"/>
        <w:spacing w:before="120" w:after="240"/>
        <w:ind w:firstLine="0"/>
        <w:rPr>
          <w:b/>
          <w:color w:val="000000"/>
        </w:rPr>
      </w:pPr>
      <w:r>
        <w:rPr>
          <w:b/>
          <w:color w:val="000000"/>
        </w:rPr>
        <w:t xml:space="preserve">Cervantes F, Passamonti F, Barosi G. </w:t>
      </w:r>
      <w:r>
        <w:rPr>
          <w:color w:val="000000"/>
        </w:rPr>
        <w:t>Life expectancy and prognostic factors in the classic BCR/ABL-negative myeloproliferative disorders. Leukemia 2008;22:905-914</w:t>
      </w:r>
      <w:r>
        <w:rPr>
          <w:b/>
          <w:color w:val="000000"/>
        </w:rPr>
        <w:t>.</w:t>
      </w:r>
    </w:p>
    <w:p w:rsidR="005B77DC" w:rsidRDefault="004F6C22">
      <w:pPr>
        <w:pStyle w:val="Normal1"/>
        <w:spacing w:before="120" w:after="240"/>
        <w:ind w:firstLine="0"/>
      </w:pPr>
      <w:r>
        <w:rPr>
          <w:b/>
        </w:rPr>
        <w:t>Chanet V, Tournilhac O, Dieu-Bellamy V, Boiret N, Spitz P, Baud O, et al.</w:t>
      </w:r>
      <w:r>
        <w:t xml:space="preserve"> Isolated spleen agenesis: a rare cause of thrombocytosis mimicking essential thrombocythemia. Haematologica 2000;85:1211-1213.</w:t>
      </w:r>
    </w:p>
    <w:p w:rsidR="005B77DC" w:rsidRDefault="004F6C22">
      <w:pPr>
        <w:pStyle w:val="Normal1"/>
        <w:spacing w:before="120" w:after="240"/>
        <w:ind w:firstLine="0"/>
        <w:rPr>
          <w:color w:val="000000"/>
        </w:rPr>
      </w:pPr>
      <w:r>
        <w:rPr>
          <w:b/>
          <w:color w:val="000000"/>
        </w:rPr>
        <w:lastRenderedPageBreak/>
        <w:t xml:space="preserve">Cheung B, Radia D, Pantelidis P, Yadegarfar G, Harrison C. </w:t>
      </w:r>
      <w:r>
        <w:rPr>
          <w:color w:val="000000"/>
        </w:rPr>
        <w:t>The presence of the JAK2 V617F mutation is associated with a higher haemoglobin and increased risk of thrombosis in essential thrombocythemia. British Journal Haematology 2006;132,244–245.</w:t>
      </w:r>
    </w:p>
    <w:p w:rsidR="005B77DC" w:rsidRDefault="004F6C22">
      <w:pPr>
        <w:pStyle w:val="Normal1"/>
        <w:spacing w:before="120" w:after="240"/>
        <w:ind w:firstLine="0"/>
      </w:pPr>
      <w:r>
        <w:rPr>
          <w:b/>
        </w:rPr>
        <w:t>Chiarello P, Magnolia M, Rubino M, Liguori SA, Miniero R.</w:t>
      </w:r>
      <w:r>
        <w:t xml:space="preserve"> Thrombocytosis in children. Minerva Pediatrica 2011;63(6):507-513.</w:t>
      </w:r>
    </w:p>
    <w:p w:rsidR="005B77DC" w:rsidRDefault="004F6C22">
      <w:pPr>
        <w:pStyle w:val="Normal1"/>
        <w:spacing w:before="120" w:after="240"/>
        <w:ind w:firstLine="0"/>
        <w:rPr>
          <w:b/>
          <w:color w:val="000000"/>
        </w:rPr>
      </w:pPr>
      <w:r>
        <w:rPr>
          <w:b/>
          <w:color w:val="000000"/>
        </w:rPr>
        <w:t xml:space="preserve">Colombi M, Radaelli F, Zocchi L, Maiolo AT. </w:t>
      </w:r>
      <w:r>
        <w:rPr>
          <w:color w:val="000000"/>
        </w:rPr>
        <w:t>Thrombotic and hemorrhagic complications in essential thrombocythemia. A retrospective stud</w:t>
      </w:r>
      <w:r w:rsidR="003D5467">
        <w:rPr>
          <w:color w:val="000000"/>
        </w:rPr>
        <w:t>y of 103 patients. Cancer 1991;</w:t>
      </w:r>
      <w:r>
        <w:rPr>
          <w:color w:val="000000"/>
        </w:rPr>
        <w:t>67:2926-2930</w:t>
      </w:r>
      <w:r>
        <w:rPr>
          <w:b/>
          <w:color w:val="000000"/>
        </w:rPr>
        <w:t>.</w:t>
      </w:r>
    </w:p>
    <w:p w:rsidR="005B77DC" w:rsidRDefault="004F6C22">
      <w:pPr>
        <w:pStyle w:val="Normal1"/>
        <w:spacing w:before="120" w:after="240"/>
        <w:ind w:firstLine="0"/>
        <w:rPr>
          <w:color w:val="000000"/>
        </w:rPr>
      </w:pPr>
      <w:r>
        <w:rPr>
          <w:b/>
          <w:color w:val="000000"/>
        </w:rPr>
        <w:t xml:space="preserve">Cortelazzo S, Finazzi G, Ruggeri M, Vestri O, Gali M, Rodeghiero F, et al. </w:t>
      </w:r>
      <w:r>
        <w:rPr>
          <w:color w:val="000000"/>
        </w:rPr>
        <w:t>Hydroxyurea for patients with essential thrombocythemia and a high risk of thrombosis. N Engl J Med 1995;332:1132-1136.</w:t>
      </w:r>
    </w:p>
    <w:p w:rsidR="005B77DC" w:rsidRDefault="004F6C22">
      <w:pPr>
        <w:pStyle w:val="Normal1"/>
        <w:spacing w:before="120" w:after="240"/>
        <w:ind w:firstLine="0"/>
        <w:rPr>
          <w:b/>
          <w:color w:val="000000"/>
        </w:rPr>
      </w:pPr>
      <w:r>
        <w:rPr>
          <w:b/>
          <w:color w:val="000000"/>
        </w:rPr>
        <w:t xml:space="preserve">Cortelazzo S, Viero P, Finazzi G, D'Emilio A, Rodeghiero F, Barbui T. </w:t>
      </w:r>
      <w:r>
        <w:rPr>
          <w:color w:val="000000"/>
        </w:rPr>
        <w:t>Incidence and risk factors for thrombotic complications in a historical cohort of 100 patients with essential thrombocythemia. J Clin Oncol 1990;8:556-562.</w:t>
      </w:r>
    </w:p>
    <w:p w:rsidR="005B77DC" w:rsidRDefault="004F6C22">
      <w:pPr>
        <w:pStyle w:val="Normal1"/>
        <w:spacing w:before="120" w:after="240"/>
        <w:ind w:firstLine="0"/>
        <w:rPr>
          <w:color w:val="000000"/>
        </w:rPr>
      </w:pPr>
      <w:r>
        <w:rPr>
          <w:b/>
          <w:color w:val="000000"/>
        </w:rPr>
        <w:t xml:space="preserve">Dahabreh IJ, Zoi K, Giannouli S, Zoi C, Loukopoulos D, Voulgarelis M. </w:t>
      </w:r>
      <w:r>
        <w:rPr>
          <w:color w:val="000000"/>
        </w:rPr>
        <w:t>Is JAK2 V617F mutation more than a diagnostic index? A meta-analysis of clinical outcomes in essential thrombocythemia. Leukemia research 2009;33:67-73.</w:t>
      </w:r>
    </w:p>
    <w:p w:rsidR="005B77DC" w:rsidRDefault="004F6C22">
      <w:pPr>
        <w:pStyle w:val="Normal1"/>
        <w:spacing w:before="120" w:after="240"/>
        <w:ind w:firstLine="0"/>
      </w:pPr>
      <w:r>
        <w:rPr>
          <w:b/>
        </w:rPr>
        <w:t>Dame C, Sutor AH.</w:t>
      </w:r>
      <w:r>
        <w:t xml:space="preserve"> Primary and secondary thrombocytosis in childhood. Br J Haematol 2005;129:165-177.</w:t>
      </w:r>
    </w:p>
    <w:p w:rsidR="005B77DC" w:rsidRDefault="004F6C22">
      <w:pPr>
        <w:pStyle w:val="Normal1"/>
        <w:spacing w:before="120" w:after="240"/>
        <w:ind w:firstLine="0"/>
        <w:rPr>
          <w:color w:val="000000"/>
        </w:rPr>
      </w:pPr>
      <w:r>
        <w:rPr>
          <w:b/>
          <w:color w:val="000000"/>
        </w:rPr>
        <w:t xml:space="preserve">Dameshek W. </w:t>
      </w:r>
      <w:r>
        <w:rPr>
          <w:color w:val="000000"/>
        </w:rPr>
        <w:t>Some speculations on the myeloprolife</w:t>
      </w:r>
      <w:r w:rsidR="00854903">
        <w:rPr>
          <w:color w:val="000000"/>
        </w:rPr>
        <w:t>rative syndromes. Blood 1951;6:</w:t>
      </w:r>
      <w:r>
        <w:rPr>
          <w:color w:val="000000"/>
        </w:rPr>
        <w:t>372-375.</w:t>
      </w:r>
    </w:p>
    <w:p w:rsidR="005B77DC" w:rsidRDefault="004F6C22">
      <w:pPr>
        <w:pStyle w:val="Normal1"/>
        <w:spacing w:before="120" w:after="240"/>
        <w:ind w:firstLine="0"/>
      </w:pPr>
      <w:r>
        <w:rPr>
          <w:b/>
        </w:rPr>
        <w:t>Dan K, Gomi S, Inokuchi K, Ogata K, Yamada T, Ohki I, Hasegawa S, Nomura T.</w:t>
      </w:r>
      <w:r>
        <w:t xml:space="preserve"> Effects of interleukin-1 and tumor necrosis factor on megakaryocytopoiesis: mechanism of reactive thrombocytosis. Acta Haematol 1995;93:67-72.</w:t>
      </w:r>
    </w:p>
    <w:p w:rsidR="005B77DC" w:rsidRDefault="004F6C22">
      <w:pPr>
        <w:pStyle w:val="Normal1"/>
        <w:spacing w:before="120" w:after="240"/>
        <w:ind w:firstLine="0"/>
      </w:pPr>
      <w:r>
        <w:rPr>
          <w:b/>
        </w:rPr>
        <w:t>Dror Y, Blanchette VS.</w:t>
      </w:r>
      <w:r>
        <w:t xml:space="preserve"> Essential thrombocythemia in children. Br J Haematol 1999;107:691–698.</w:t>
      </w:r>
    </w:p>
    <w:p w:rsidR="005B77DC" w:rsidRDefault="004F6C22">
      <w:pPr>
        <w:pStyle w:val="Normal1"/>
        <w:spacing w:before="120" w:after="240"/>
        <w:ind w:firstLine="0"/>
      </w:pPr>
      <w:r>
        <w:rPr>
          <w:b/>
        </w:rPr>
        <w:t>Dror Y, Zipursky A, Blanchette VS.</w:t>
      </w:r>
      <w:hyperlink r:id="rId33">
        <w:r>
          <w:t>Essential thrombocythemia in children.</w:t>
        </w:r>
      </w:hyperlink>
      <w:r>
        <w:t xml:space="preserve"> J Pediatr Hematol Oncol 1999;21(5):356-363.</w:t>
      </w:r>
    </w:p>
    <w:p w:rsidR="005B77DC" w:rsidRDefault="004F6C22">
      <w:pPr>
        <w:pStyle w:val="Normal1"/>
        <w:spacing w:before="120" w:after="240"/>
        <w:ind w:firstLine="0"/>
      </w:pPr>
      <w:r>
        <w:rPr>
          <w:b/>
        </w:rPr>
        <w:lastRenderedPageBreak/>
        <w:t>Edstrom CS, Christensen RD.</w:t>
      </w:r>
      <w:r>
        <w:t xml:space="preserve"> Evaluation and treatment of thrombosis in the neonatal intensive care unit. Clin Perinatol 2000;27:623-641.</w:t>
      </w:r>
    </w:p>
    <w:p w:rsidR="005B77DC" w:rsidRDefault="004F6C22">
      <w:pPr>
        <w:pStyle w:val="Normal1"/>
        <w:spacing w:before="120" w:after="240"/>
        <w:ind w:firstLine="0"/>
        <w:rPr>
          <w:color w:val="000000"/>
        </w:rPr>
      </w:pPr>
      <w:r>
        <w:rPr>
          <w:b/>
          <w:color w:val="000000"/>
        </w:rPr>
        <w:t xml:space="preserve">Elliott MA, Tefferi A. </w:t>
      </w:r>
      <w:r>
        <w:rPr>
          <w:color w:val="000000"/>
        </w:rPr>
        <w:t>Interferon alfa therapy in polycythemia vera and essential thrombocythemia. Semin Thromb Hemost 1997;23:463-472.</w:t>
      </w:r>
    </w:p>
    <w:p w:rsidR="005B77DC" w:rsidRDefault="004F6C22">
      <w:pPr>
        <w:pStyle w:val="Normal1"/>
        <w:spacing w:before="120" w:after="240"/>
        <w:ind w:firstLine="0"/>
        <w:rPr>
          <w:b/>
          <w:color w:val="000000"/>
        </w:rPr>
      </w:pPr>
      <w:r>
        <w:rPr>
          <w:b/>
          <w:color w:val="000000"/>
        </w:rPr>
        <w:t xml:space="preserve">Elliott MA, Tefferi A. </w:t>
      </w:r>
      <w:r>
        <w:rPr>
          <w:color w:val="000000"/>
        </w:rPr>
        <w:t>Thrombosis and haemorrhage in polycythaemia vera and essential thrombocythemia. Br J Haematol 2005;128:275-290</w:t>
      </w:r>
      <w:r>
        <w:rPr>
          <w:b/>
          <w:color w:val="000000"/>
        </w:rPr>
        <w:t>.</w:t>
      </w:r>
    </w:p>
    <w:p w:rsidR="005B77DC" w:rsidRDefault="004F6C22">
      <w:pPr>
        <w:pStyle w:val="Normal1"/>
        <w:spacing w:before="120" w:after="240"/>
        <w:ind w:firstLine="0"/>
        <w:rPr>
          <w:color w:val="000000"/>
        </w:rPr>
      </w:pPr>
      <w:r>
        <w:rPr>
          <w:b/>
          <w:color w:val="000000"/>
        </w:rPr>
        <w:t xml:space="preserve">Falanga A, Marchetti M, Vignoli A, Balducci D, Russo L, Guerini V, et al. </w:t>
      </w:r>
      <w:r>
        <w:rPr>
          <w:color w:val="000000"/>
        </w:rPr>
        <w:t>V617F JAK2 mutation in patients with essential thrombocythemia: re</w:t>
      </w:r>
      <w:r w:rsidR="006B4B08">
        <w:rPr>
          <w:color w:val="000000"/>
        </w:rPr>
        <w:t>lation to platelet, granulocyte</w:t>
      </w:r>
      <w:r>
        <w:rPr>
          <w:color w:val="000000"/>
        </w:rPr>
        <w:t xml:space="preserve"> and plasma hemostatic and infl</w:t>
      </w:r>
      <w:r w:rsidR="00176FEE">
        <w:rPr>
          <w:color w:val="000000"/>
        </w:rPr>
        <w:t>ammatory molecules. Exp Hematol</w:t>
      </w:r>
      <w:r>
        <w:rPr>
          <w:color w:val="000000"/>
        </w:rPr>
        <w:t xml:space="preserve"> 2007;35:702-711.</w:t>
      </w:r>
    </w:p>
    <w:p w:rsidR="005B77DC" w:rsidRDefault="004F6C22">
      <w:pPr>
        <w:pStyle w:val="Normal1"/>
        <w:spacing w:before="120" w:after="240"/>
        <w:ind w:firstLine="0"/>
        <w:rPr>
          <w:highlight w:val="white"/>
        </w:rPr>
      </w:pPr>
      <w:r>
        <w:rPr>
          <w:b/>
          <w:highlight w:val="white"/>
        </w:rPr>
        <w:t xml:space="preserve">Farruggia P, D’Angelo P, La Rosa M, Scibetta N, Santangelo G, Lo Bello A, et al. </w:t>
      </w:r>
      <w:r>
        <w:rPr>
          <w:highlight w:val="white"/>
        </w:rPr>
        <w:t>MPL W515L mutation in pediatric essential thrombocythe</w:t>
      </w:r>
      <w:r w:rsidR="002758D1">
        <w:rPr>
          <w:highlight w:val="white"/>
        </w:rPr>
        <w:t>mia. Pediatr Blood Cancer 2013;60(8):</w:t>
      </w:r>
      <w:r>
        <w:rPr>
          <w:highlight w:val="white"/>
        </w:rPr>
        <w:t>E52-E54.</w:t>
      </w:r>
    </w:p>
    <w:p w:rsidR="005B77DC" w:rsidRDefault="004F6C22">
      <w:pPr>
        <w:pStyle w:val="Normal1"/>
        <w:spacing w:before="120" w:after="240"/>
        <w:ind w:firstLine="0"/>
        <w:rPr>
          <w:color w:val="000000"/>
        </w:rPr>
      </w:pPr>
      <w:r>
        <w:rPr>
          <w:b/>
          <w:color w:val="000000"/>
        </w:rPr>
        <w:t xml:space="preserve">Finazzi G, Budde U, Michiels J. </w:t>
      </w:r>
      <w:r>
        <w:rPr>
          <w:color w:val="000000"/>
        </w:rPr>
        <w:t>Bleedingtime and platelet function in essential thrombocythemia and other myeloproliferative syndromes. Leukemia and lymphoma 1996;22:71-</w:t>
      </w:r>
      <w:r>
        <w:t>7</w:t>
      </w:r>
      <w:r>
        <w:rPr>
          <w:color w:val="000000"/>
        </w:rPr>
        <w:t>8.</w:t>
      </w:r>
    </w:p>
    <w:p w:rsidR="005B77DC" w:rsidRDefault="004F6C22">
      <w:pPr>
        <w:pStyle w:val="Normal1"/>
        <w:spacing w:before="120" w:after="240"/>
        <w:ind w:firstLine="0"/>
        <w:rPr>
          <w:color w:val="000000"/>
        </w:rPr>
      </w:pPr>
      <w:r>
        <w:rPr>
          <w:b/>
          <w:color w:val="000000"/>
        </w:rPr>
        <w:t xml:space="preserve">Finazzi G, Rambaldi A, Guerini V, Carobbo A, Barbui T. </w:t>
      </w:r>
      <w:r>
        <w:rPr>
          <w:color w:val="000000"/>
        </w:rPr>
        <w:t>Risk of thrombosis in patients with essential thrombocythemia and polycythemia vera according to JAK2 V617F mutation status. Haematologica 2007;92:135–136.</w:t>
      </w:r>
    </w:p>
    <w:p w:rsidR="005B77DC" w:rsidRDefault="004F6C22">
      <w:pPr>
        <w:pStyle w:val="Normal1"/>
        <w:spacing w:before="120" w:after="240"/>
        <w:ind w:firstLine="0"/>
        <w:rPr>
          <w:b/>
          <w:color w:val="000000"/>
        </w:rPr>
      </w:pPr>
      <w:r>
        <w:rPr>
          <w:b/>
          <w:color w:val="000000"/>
        </w:rPr>
        <w:t xml:space="preserve">Fruchtman S, Hoffman R. </w:t>
      </w:r>
      <w:r>
        <w:rPr>
          <w:color w:val="000000"/>
        </w:rPr>
        <w:t xml:space="preserve">Essential Thrombocythemia. In </w:t>
      </w:r>
      <w:r>
        <w:t>H</w:t>
      </w:r>
      <w:r>
        <w:rPr>
          <w:color w:val="000000"/>
        </w:rPr>
        <w:t>offman R, Benz E, Shattil S (Eds) Hematology Basic Principles and practice. Fourth edition. Else</w:t>
      </w:r>
      <w:r>
        <w:t>vi</w:t>
      </w:r>
      <w:r>
        <w:rPr>
          <w:color w:val="000000"/>
        </w:rPr>
        <w:t>er 2005,1277-1296</w:t>
      </w:r>
      <w:r>
        <w:rPr>
          <w:b/>
          <w:color w:val="000000"/>
        </w:rPr>
        <w:t>.</w:t>
      </w:r>
    </w:p>
    <w:p w:rsidR="005B77DC" w:rsidRDefault="004F6C22">
      <w:pPr>
        <w:pStyle w:val="Normal1"/>
        <w:spacing w:before="120" w:after="240"/>
        <w:ind w:firstLine="0"/>
        <w:rPr>
          <w:b/>
          <w:color w:val="000000"/>
        </w:rPr>
      </w:pPr>
      <w:r>
        <w:rPr>
          <w:b/>
          <w:color w:val="000000"/>
        </w:rPr>
        <w:t xml:space="preserve">Gangat N, Wolanskyj AP, McClure RF, Li CY, Schwager S, Wu W, et al. </w:t>
      </w:r>
      <w:r>
        <w:rPr>
          <w:color w:val="000000"/>
        </w:rPr>
        <w:t>Risk stratification for survival and leukemic transformation in essential thrombocyt</w:t>
      </w:r>
      <w:r w:rsidR="00FD36F7">
        <w:rPr>
          <w:color w:val="000000"/>
        </w:rPr>
        <w:t>hemia</w:t>
      </w:r>
      <w:r>
        <w:rPr>
          <w:color w:val="000000"/>
        </w:rPr>
        <w:t>: A single institutional study of 605 patients. Leukemia 2007;21:270-276</w:t>
      </w:r>
      <w:r>
        <w:rPr>
          <w:b/>
          <w:color w:val="000000"/>
        </w:rPr>
        <w:t>.</w:t>
      </w:r>
    </w:p>
    <w:p w:rsidR="005B77DC" w:rsidRDefault="004F6C22">
      <w:pPr>
        <w:pStyle w:val="Normal1"/>
        <w:spacing w:before="120" w:after="240"/>
        <w:ind w:firstLine="0"/>
      </w:pPr>
      <w:r>
        <w:rPr>
          <w:b/>
        </w:rPr>
        <w:t>Giona F, Teofili L, Capodimonte S, Laurino M, Martini M, Marzella D, et al.</w:t>
      </w:r>
      <w:r>
        <w:t xml:space="preserve"> CALR mutations in patients with essential thrombocythemia diagnosed in childhood and adolescence. Bl</w:t>
      </w:r>
      <w:r w:rsidR="00EF6BBC">
        <w:t>ood</w:t>
      </w:r>
      <w:r>
        <w:t xml:space="preserve"> 2014;123(23):3677-3679.</w:t>
      </w:r>
    </w:p>
    <w:p w:rsidR="005B77DC" w:rsidRDefault="004F6C22">
      <w:pPr>
        <w:pStyle w:val="Normal1"/>
        <w:spacing w:before="120" w:after="240"/>
        <w:ind w:firstLine="0"/>
      </w:pPr>
      <w:r>
        <w:rPr>
          <w:b/>
        </w:rPr>
        <w:lastRenderedPageBreak/>
        <w:t xml:space="preserve">Giona F, Teofili L, Moleti ML, Martini M, Palumbo G, Amendola A, et al. </w:t>
      </w:r>
      <w:r>
        <w:t>Thrombocythemia and polycythemia in patients younger than 20 years at diagnosis: clinical a</w:t>
      </w:r>
      <w:r w:rsidR="00080E8B">
        <w:t>nd biologic features, treatment</w:t>
      </w:r>
      <w:r>
        <w:t xml:space="preserve"> and long-term outcome. Blood 2012;119:2219-2227.</w:t>
      </w:r>
    </w:p>
    <w:p w:rsidR="005B77DC" w:rsidRDefault="004F6C22">
      <w:pPr>
        <w:pStyle w:val="Normal1"/>
        <w:spacing w:before="120" w:after="240"/>
        <w:ind w:firstLine="0"/>
        <w:rPr>
          <w:highlight w:val="white"/>
        </w:rPr>
      </w:pPr>
      <w:r>
        <w:rPr>
          <w:b/>
          <w:highlight w:val="white"/>
        </w:rPr>
        <w:t>Harrison CN, Bareford D, Butt N, et al.</w:t>
      </w:r>
      <w:r>
        <w:rPr>
          <w:highlight w:val="white"/>
        </w:rPr>
        <w:t xml:space="preserve"> Guideline for investigation and management of adults and children presenting with a thrombocytosis. Br J Haematol 2010;149(3):352-375.</w:t>
      </w:r>
    </w:p>
    <w:p w:rsidR="005B77DC" w:rsidRDefault="004F6C22">
      <w:pPr>
        <w:pStyle w:val="Normal1"/>
        <w:spacing w:before="120" w:after="240"/>
        <w:ind w:firstLine="0"/>
        <w:rPr>
          <w:b/>
          <w:color w:val="000000"/>
        </w:rPr>
      </w:pPr>
      <w:r>
        <w:rPr>
          <w:b/>
          <w:color w:val="000000"/>
        </w:rPr>
        <w:t xml:space="preserve">Harrison CN, Campbell PJ, Buck G, Wheatley K, East CL, Bareford D, et al. </w:t>
      </w:r>
      <w:r>
        <w:rPr>
          <w:color w:val="000000"/>
        </w:rPr>
        <w:t>Hydroxyurea compared anagrelide in high-risk essentia</w:t>
      </w:r>
      <w:r w:rsidR="00DF320E">
        <w:rPr>
          <w:color w:val="000000"/>
        </w:rPr>
        <w:t>l thrombocythemia. N Engl J Med</w:t>
      </w:r>
      <w:r>
        <w:rPr>
          <w:color w:val="000000"/>
        </w:rPr>
        <w:t xml:space="preserve"> 2005;353:33-45</w:t>
      </w:r>
      <w:r>
        <w:rPr>
          <w:b/>
          <w:color w:val="000000"/>
        </w:rPr>
        <w:t>.</w:t>
      </w:r>
    </w:p>
    <w:p w:rsidR="005B77DC" w:rsidRDefault="004F6C22">
      <w:pPr>
        <w:pStyle w:val="Normal1"/>
        <w:spacing w:before="120" w:after="240"/>
        <w:ind w:firstLine="0"/>
        <w:rPr>
          <w:color w:val="000000"/>
        </w:rPr>
      </w:pPr>
      <w:r>
        <w:rPr>
          <w:b/>
          <w:color w:val="000000"/>
        </w:rPr>
        <w:t>Harrison CN</w:t>
      </w:r>
      <w:r>
        <w:rPr>
          <w:color w:val="000000"/>
        </w:rPr>
        <w:t>. Essential Thrombocythemia: Challenges and evidence-based management. Br J Haematol 2005;130:153-165.</w:t>
      </w:r>
    </w:p>
    <w:p w:rsidR="005B77DC" w:rsidRDefault="004F6C22">
      <w:pPr>
        <w:pStyle w:val="Normal1"/>
        <w:spacing w:before="120" w:after="240"/>
        <w:ind w:firstLine="0"/>
      </w:pPr>
      <w:r>
        <w:rPr>
          <w:b/>
        </w:rPr>
        <w:t>Hasle H.</w:t>
      </w:r>
      <w:r>
        <w:t xml:space="preserve"> Incidence of essential thrombocythemia in children. Br J Haematol 2000;110:751.</w:t>
      </w:r>
    </w:p>
    <w:p w:rsidR="005B77DC" w:rsidRDefault="004F6C22">
      <w:pPr>
        <w:pStyle w:val="Normal1"/>
        <w:spacing w:before="120" w:after="240"/>
        <w:ind w:firstLine="0"/>
        <w:rPr>
          <w:color w:val="000000"/>
        </w:rPr>
      </w:pPr>
      <w:r>
        <w:rPr>
          <w:b/>
          <w:color w:val="000000"/>
        </w:rPr>
        <w:t xml:space="preserve">Heller PG, Lev PR, Salim JP, Kornblihtt LI, Goette NP, Chazarreta CD, et al. </w:t>
      </w:r>
      <w:r>
        <w:rPr>
          <w:color w:val="000000"/>
        </w:rPr>
        <w:t xml:space="preserve">JAK2V617F mutation in platelets from essential thrombocythemia patients: correlation with clinical features and analysis of STAT5 phosphorylation status. </w:t>
      </w:r>
      <w:r w:rsidR="004E21CE">
        <w:rPr>
          <w:color w:val="000000"/>
        </w:rPr>
        <w:t>European Journal of Haematology</w:t>
      </w:r>
      <w:r>
        <w:rPr>
          <w:color w:val="000000"/>
        </w:rPr>
        <w:t xml:space="preserve"> 2006;77:210–216.</w:t>
      </w:r>
    </w:p>
    <w:p w:rsidR="005B77DC" w:rsidRDefault="004F6C22">
      <w:pPr>
        <w:pStyle w:val="Normal1"/>
        <w:spacing w:before="120" w:after="240"/>
        <w:ind w:firstLine="0"/>
      </w:pPr>
      <w:r>
        <w:rPr>
          <w:b/>
        </w:rPr>
        <w:t>Hoffman R, Prchal JT, Samuelson S, Ciurea O, Rondelli D.</w:t>
      </w:r>
      <w:r>
        <w:t xml:space="preserve"> Philadelphia chromosome negative myeloproliferative disorders: biology and treatment. Biol Blood Marrow Transplant 2007;13(1 Suppl 1):64-72.</w:t>
      </w:r>
    </w:p>
    <w:p w:rsidR="005B77DC" w:rsidRDefault="004F6C22">
      <w:pPr>
        <w:pStyle w:val="Normal1"/>
        <w:spacing w:before="120" w:after="240"/>
        <w:ind w:firstLine="0"/>
        <w:rPr>
          <w:color w:val="000000"/>
        </w:rPr>
      </w:pPr>
      <w:r>
        <w:rPr>
          <w:b/>
          <w:color w:val="000000"/>
        </w:rPr>
        <w:t xml:space="preserve">Hsiao HH, Yang MY, Liu YC, Lee CP, Yang WC, Liu TC, et al. </w:t>
      </w:r>
      <w:r>
        <w:rPr>
          <w:color w:val="000000"/>
        </w:rPr>
        <w:t>The association of JAK2V617F mutation and leukocytosis with thrombotic events in essential thrombocy</w:t>
      </w:r>
      <w:r w:rsidR="00627363">
        <w:rPr>
          <w:color w:val="000000"/>
        </w:rPr>
        <w:t>themia. Experimental Hematology</w:t>
      </w:r>
      <w:r>
        <w:rPr>
          <w:color w:val="000000"/>
        </w:rPr>
        <w:t xml:space="preserve"> 2007;35:1704–1707.</w:t>
      </w:r>
    </w:p>
    <w:p w:rsidR="005B77DC" w:rsidRDefault="004F6C22">
      <w:pPr>
        <w:pStyle w:val="Normal1"/>
        <w:spacing w:before="120" w:after="240"/>
        <w:ind w:firstLine="0"/>
      </w:pPr>
      <w:r>
        <w:rPr>
          <w:b/>
        </w:rPr>
        <w:t xml:space="preserve">Ianotto JC, Curto-Garcia N, Lauermanova M, Radia D, Kiladjian JJ, Harrison CN. </w:t>
      </w:r>
      <w:r>
        <w:t>Characteristics and outcomes of patients with essential thrombocythemia or polycythemia vera diagnosed before 20 years of age: a systematic review. Haematologica 2019;104(8):1580-1588.</w:t>
      </w:r>
    </w:p>
    <w:p w:rsidR="005B77DC" w:rsidRDefault="00325A9D">
      <w:pPr>
        <w:pStyle w:val="Normal1"/>
        <w:spacing w:before="120" w:after="240"/>
        <w:ind w:firstLine="0"/>
      </w:pPr>
      <w:hyperlink r:id="rId34">
        <w:r w:rsidR="004F6C22">
          <w:rPr>
            <w:b/>
          </w:rPr>
          <w:t>Ismael O</w:t>
        </w:r>
      </w:hyperlink>
      <w:r w:rsidR="004F6C22">
        <w:rPr>
          <w:b/>
        </w:rPr>
        <w:t>, </w:t>
      </w:r>
      <w:hyperlink r:id="rId35">
        <w:r w:rsidR="004F6C22">
          <w:rPr>
            <w:b/>
          </w:rPr>
          <w:t>Shimada A</w:t>
        </w:r>
      </w:hyperlink>
      <w:r w:rsidR="004F6C22">
        <w:rPr>
          <w:b/>
        </w:rPr>
        <w:t>, </w:t>
      </w:r>
      <w:hyperlink r:id="rId36">
        <w:r w:rsidR="004F6C22">
          <w:rPr>
            <w:b/>
          </w:rPr>
          <w:t>Hama A</w:t>
        </w:r>
      </w:hyperlink>
      <w:r w:rsidR="004F6C22">
        <w:rPr>
          <w:b/>
        </w:rPr>
        <w:t>, </w:t>
      </w:r>
      <w:hyperlink r:id="rId37">
        <w:r w:rsidR="004F6C22">
          <w:rPr>
            <w:b/>
          </w:rPr>
          <w:t>Sakaguchi H</w:t>
        </w:r>
      </w:hyperlink>
      <w:r w:rsidR="004F6C22">
        <w:rPr>
          <w:b/>
        </w:rPr>
        <w:t>, </w:t>
      </w:r>
      <w:hyperlink r:id="rId38">
        <w:r w:rsidR="004F6C22">
          <w:rPr>
            <w:b/>
          </w:rPr>
          <w:t>Doisaki S</w:t>
        </w:r>
      </w:hyperlink>
      <w:r w:rsidR="004F6C22">
        <w:rPr>
          <w:b/>
        </w:rPr>
        <w:t>, </w:t>
      </w:r>
      <w:hyperlink r:id="rId39">
        <w:r w:rsidR="004F6C22">
          <w:rPr>
            <w:b/>
          </w:rPr>
          <w:t>Muramatsu H</w:t>
        </w:r>
      </w:hyperlink>
      <w:r w:rsidR="004F6C22">
        <w:rPr>
          <w:b/>
        </w:rPr>
        <w:t xml:space="preserve">, et al. </w:t>
      </w:r>
      <w:r w:rsidR="004F6C22">
        <w:t>Mutations </w:t>
      </w:r>
      <w:proofErr w:type="gramStart"/>
      <w:r w:rsidR="004F6C22">
        <w:t>profile</w:t>
      </w:r>
      <w:proofErr w:type="gramEnd"/>
      <w:r w:rsidR="004F6C22">
        <w:t xml:space="preserve"> of polycythemia vera and essential thrombocythemia among Japanese children. </w:t>
      </w:r>
      <w:hyperlink r:id="rId40">
        <w:r w:rsidR="004F6C22">
          <w:rPr>
            <w:color w:val="000000"/>
          </w:rPr>
          <w:t>Pediatr Blood Cancer</w:t>
        </w:r>
      </w:hyperlink>
      <w:r w:rsidR="004F6C22">
        <w:t xml:space="preserve"> 2012;59(3):530-535.</w:t>
      </w:r>
    </w:p>
    <w:p w:rsidR="005B77DC" w:rsidRDefault="004F6C22">
      <w:pPr>
        <w:pStyle w:val="Normal1"/>
        <w:spacing w:before="120" w:after="240"/>
        <w:ind w:firstLine="0"/>
      </w:pPr>
      <w:r>
        <w:rPr>
          <w:b/>
        </w:rPr>
        <w:lastRenderedPageBreak/>
        <w:t>Jensen MK, de Nully Brown P, Nielsen OJ, Hasselbalch HC.</w:t>
      </w:r>
      <w:r>
        <w:t xml:space="preserve"> Incidence, clinical features and outcome of essential thrombocythemia in a well defined geographical area. Eur J Haematol 2000;65:132– 139.</w:t>
      </w:r>
    </w:p>
    <w:p w:rsidR="005B77DC" w:rsidRDefault="004F6C22">
      <w:pPr>
        <w:pStyle w:val="Normal1"/>
        <w:spacing w:before="120" w:after="240"/>
        <w:ind w:firstLine="0"/>
      </w:pPr>
      <w:r>
        <w:rPr>
          <w:b/>
        </w:rPr>
        <w:t xml:space="preserve">Kikuchi M, Tayama T, Hayakawa H, Takahashi I, Hoshino H, Ohsaka A. </w:t>
      </w:r>
      <w:r>
        <w:t>Familial thrombocytosis. Br J Haematol 1995;89:900-902.</w:t>
      </w:r>
    </w:p>
    <w:p w:rsidR="005B77DC" w:rsidRDefault="004F6C22">
      <w:pPr>
        <w:pStyle w:val="Normal1"/>
        <w:spacing w:before="120" w:after="240"/>
        <w:ind w:firstLine="0"/>
        <w:rPr>
          <w:color w:val="000000"/>
        </w:rPr>
      </w:pPr>
      <w:r>
        <w:rPr>
          <w:b/>
          <w:color w:val="000000"/>
        </w:rPr>
        <w:t xml:space="preserve">Kittur J, Knudson RA, Lasho TL, Finke CM, Gangat N, Wolanskyj AP, et al. </w:t>
      </w:r>
      <w:r>
        <w:rPr>
          <w:color w:val="000000"/>
        </w:rPr>
        <w:t>Clinical correlates of JAK2V617F allele burden in essential thrombocythemia. Cancer 2007;109:2279–2284.</w:t>
      </w:r>
    </w:p>
    <w:p w:rsidR="005B77DC" w:rsidRDefault="004F6C22">
      <w:pPr>
        <w:pStyle w:val="Normal1"/>
        <w:spacing w:before="120" w:after="240"/>
        <w:ind w:firstLine="0"/>
        <w:rPr>
          <w:color w:val="000000"/>
        </w:rPr>
      </w:pPr>
      <w:r>
        <w:rPr>
          <w:b/>
          <w:color w:val="000000"/>
        </w:rPr>
        <w:t xml:space="preserve">Kralovics R, Passamonti F, Buser AS, Teo SS, Tiedt R, Passweg JR, et al. </w:t>
      </w:r>
      <w:r>
        <w:rPr>
          <w:color w:val="000000"/>
        </w:rPr>
        <w:t>A gain-of function mutation of JAK2 in myeloproliferative disorders. N Engl J Med. 2005;352:1779- 1790.</w:t>
      </w:r>
    </w:p>
    <w:p w:rsidR="005B77DC" w:rsidRDefault="004F6C22">
      <w:pPr>
        <w:pStyle w:val="Normal1"/>
        <w:spacing w:before="120" w:after="240"/>
        <w:ind w:firstLine="0"/>
      </w:pPr>
      <w:r>
        <w:rPr>
          <w:b/>
        </w:rPr>
        <w:t>Kucine N, Chastain KM, Mahler MB, Bussel JB.</w:t>
      </w:r>
      <w:r>
        <w:t xml:space="preserve"> Primary thrombocytosis in children. Haematologica 2014;99:620-628.</w:t>
      </w:r>
    </w:p>
    <w:p w:rsidR="005B77DC" w:rsidRDefault="004F6C22">
      <w:pPr>
        <w:pStyle w:val="Normal1"/>
        <w:spacing w:before="120" w:after="240"/>
        <w:ind w:firstLine="0"/>
        <w:rPr>
          <w:highlight w:val="white"/>
        </w:rPr>
      </w:pPr>
      <w:r>
        <w:rPr>
          <w:b/>
          <w:highlight w:val="white"/>
        </w:rPr>
        <w:t xml:space="preserve">Kucine N, Viny AD, Rampal R, et al. </w:t>
      </w:r>
      <w:r>
        <w:rPr>
          <w:highlight w:val="white"/>
        </w:rPr>
        <w:t>Genetic analysis of five children with essential thrombocytosis identified mutations in cancer-associated genes with roles in transcriptional regulation. Haematologica 2016;101(6):e237-e239.</w:t>
      </w:r>
    </w:p>
    <w:p w:rsidR="005B77DC" w:rsidRDefault="004F6C22">
      <w:pPr>
        <w:pStyle w:val="Normal1"/>
        <w:spacing w:before="120" w:after="240"/>
        <w:ind w:firstLine="0"/>
      </w:pPr>
      <w:r>
        <w:rPr>
          <w:b/>
          <w:color w:val="212121"/>
          <w:highlight w:val="white"/>
        </w:rPr>
        <w:t>Langabeer SE, Haslam K, McMahon C.</w:t>
      </w:r>
      <w:r>
        <w:t xml:space="preserve"> CALR mutations are rare in childhood essential thrombocythemia. Pediatr Blood Cancer 2014;61:1523.</w:t>
      </w:r>
    </w:p>
    <w:p w:rsidR="005B77DC" w:rsidRDefault="004F6C22">
      <w:pPr>
        <w:pStyle w:val="Normal1"/>
        <w:spacing w:before="120" w:after="240"/>
        <w:ind w:firstLine="0"/>
        <w:rPr>
          <w:color w:val="000000"/>
        </w:rPr>
      </w:pPr>
      <w:r>
        <w:rPr>
          <w:b/>
          <w:color w:val="000000"/>
        </w:rPr>
        <w:t xml:space="preserve">Levine RL, Wadleigh M, Cools J, Ebert BL, Wernig G, Huntly BJ, et al. </w:t>
      </w:r>
      <w:r>
        <w:rPr>
          <w:color w:val="000000"/>
        </w:rPr>
        <w:t xml:space="preserve">Activating mutation in the tyrosine kinase JAK2 in polycythemia </w:t>
      </w:r>
      <w:r w:rsidR="00CE74AB">
        <w:rPr>
          <w:color w:val="000000"/>
        </w:rPr>
        <w:t>vera, essential thrombocythemia</w:t>
      </w:r>
      <w:r>
        <w:rPr>
          <w:color w:val="000000"/>
        </w:rPr>
        <w:t xml:space="preserve"> and myeloid metaplasia </w:t>
      </w:r>
      <w:r w:rsidR="006D7C06">
        <w:rPr>
          <w:color w:val="000000"/>
        </w:rPr>
        <w:t>with myelofibrosis. Cancer Cell</w:t>
      </w:r>
      <w:r>
        <w:rPr>
          <w:color w:val="000000"/>
        </w:rPr>
        <w:t xml:space="preserve"> 2005;7:387-397.</w:t>
      </w:r>
    </w:p>
    <w:p w:rsidR="005B77DC" w:rsidRDefault="004F6C22">
      <w:pPr>
        <w:pStyle w:val="Normal1"/>
        <w:spacing w:before="120" w:after="240"/>
        <w:ind w:firstLine="0"/>
        <w:rPr>
          <w:b/>
          <w:color w:val="000000"/>
        </w:rPr>
      </w:pPr>
      <w:r>
        <w:rPr>
          <w:b/>
          <w:color w:val="000000"/>
        </w:rPr>
        <w:t>Lof</w:t>
      </w:r>
      <w:r>
        <w:rPr>
          <w:b/>
        </w:rPr>
        <w:t>v</w:t>
      </w:r>
      <w:r>
        <w:rPr>
          <w:b/>
          <w:color w:val="000000"/>
        </w:rPr>
        <w:t xml:space="preserve">enberg E, Wahling A. </w:t>
      </w:r>
      <w:r>
        <w:rPr>
          <w:color w:val="000000"/>
        </w:rPr>
        <w:t>Management of polycythemia vera, essential thrombocythemia and myelofibrosis with hydrox</w:t>
      </w:r>
      <w:r>
        <w:t>y</w:t>
      </w:r>
      <w:r>
        <w:rPr>
          <w:color w:val="000000"/>
        </w:rPr>
        <w:t>urea. Eur J Haematol 1988;41:375-381.</w:t>
      </w:r>
    </w:p>
    <w:p w:rsidR="005B77DC" w:rsidRDefault="004F6C22">
      <w:pPr>
        <w:pStyle w:val="Normal1"/>
        <w:spacing w:before="120" w:after="240"/>
        <w:ind w:firstLine="0"/>
      </w:pPr>
      <w:r>
        <w:rPr>
          <w:b/>
        </w:rPr>
        <w:t>Martini M, Teofili L, Larocca LM.</w:t>
      </w:r>
      <w:r>
        <w:t xml:space="preserve"> Over expression of PRV-1 gene in polycythemia rubra vera and essential thrombocytosis. Methods Mol Med 2006;125:265-273.</w:t>
      </w:r>
    </w:p>
    <w:p w:rsidR="005B77DC" w:rsidRDefault="004F6C22">
      <w:pPr>
        <w:pStyle w:val="Normal1"/>
        <w:spacing w:before="120" w:after="240"/>
        <w:ind w:firstLine="0"/>
      </w:pPr>
      <w:r>
        <w:rPr>
          <w:b/>
        </w:rPr>
        <w:t>Matsubara K, Fukaya T, Nigami H, Harigaya H, Hirata T, Nozaki H, Baba K.</w:t>
      </w:r>
      <w:r>
        <w:t xml:space="preserve"> Age-dependent changes in the incidence and etiology of childhood thrombocytosis. Acta Haematol 2004;111:132-137.</w:t>
      </w:r>
    </w:p>
    <w:p w:rsidR="005B77DC" w:rsidRDefault="004F6C22">
      <w:pPr>
        <w:pStyle w:val="Normal1"/>
        <w:spacing w:before="120" w:after="240"/>
        <w:ind w:firstLine="0"/>
      </w:pPr>
      <w:r>
        <w:rPr>
          <w:b/>
        </w:rPr>
        <w:lastRenderedPageBreak/>
        <w:t xml:space="preserve">McGuinn C, Bussel JB. </w:t>
      </w:r>
      <w:r>
        <w:t>Thrombocytosis. In: Lanzkowsky P, Lipton JM, Fish JD (eds). Lanzkowsky’s Manual of Pediatric Hematology and Oncology, 6th ed. London: Academic Press; 2016.p.265-267.</w:t>
      </w:r>
    </w:p>
    <w:p w:rsidR="005B77DC" w:rsidRDefault="004F6C22">
      <w:pPr>
        <w:pStyle w:val="Normal1"/>
        <w:spacing w:before="120" w:after="240"/>
        <w:ind w:firstLine="0"/>
        <w:rPr>
          <w:b/>
          <w:color w:val="000000"/>
        </w:rPr>
      </w:pPr>
      <w:r>
        <w:rPr>
          <w:b/>
          <w:color w:val="000000"/>
        </w:rPr>
        <w:t>Michiels JJ, de Raeve H, Berneman Z, Van Bocksta</w:t>
      </w:r>
      <w:r>
        <w:rPr>
          <w:b/>
        </w:rPr>
        <w:t>el</w:t>
      </w:r>
      <w:r>
        <w:rPr>
          <w:b/>
          <w:color w:val="000000"/>
        </w:rPr>
        <w:t xml:space="preserve"> D, Berneman Z, et al. </w:t>
      </w:r>
      <w:r>
        <w:rPr>
          <w:color w:val="000000"/>
        </w:rPr>
        <w:t>The 2001 World Health Organization and updated European clinical and pathological criteria for the diagnosis, classification, and staging of the philadelphia chromosome-negative chronic myeloproliferative disorders. Semin Thromb Hemost 2006;32:307-340</w:t>
      </w:r>
      <w:r>
        <w:rPr>
          <w:b/>
          <w:color w:val="000000"/>
        </w:rPr>
        <w:t>.</w:t>
      </w:r>
    </w:p>
    <w:p w:rsidR="005B77DC" w:rsidRDefault="004F6C22">
      <w:pPr>
        <w:pStyle w:val="Normal1"/>
        <w:spacing w:before="120" w:after="240"/>
        <w:ind w:firstLine="0"/>
        <w:rPr>
          <w:color w:val="000000"/>
        </w:rPr>
      </w:pPr>
      <w:r>
        <w:rPr>
          <w:b/>
          <w:color w:val="000000"/>
        </w:rPr>
        <w:t xml:space="preserve">Murphy S, Peterson P, Iland H, Laszlo J. </w:t>
      </w:r>
      <w:r>
        <w:rPr>
          <w:color w:val="000000"/>
        </w:rPr>
        <w:t>Experience of the polycythemia vera study group with essential thrombocythemia: a final report on diagnostic criteria, survival, and leukemic transition by treatment. Semin Haemato1997;34:29-39.</w:t>
      </w:r>
    </w:p>
    <w:p w:rsidR="005B77DC" w:rsidRDefault="004F6C22">
      <w:pPr>
        <w:pStyle w:val="Normal1"/>
        <w:spacing w:before="120" w:after="240"/>
        <w:ind w:firstLine="0"/>
      </w:pPr>
      <w:r>
        <w:rPr>
          <w:b/>
        </w:rPr>
        <w:t>Nangalia J, Massie CE, Baxter EJ, Nice FL, Gundem G, Wedge DC, et al.</w:t>
      </w:r>
      <w:r>
        <w:t xml:space="preserve"> Somatic CALR Mutations in myeloproliferative neoplasms with non mutated JAK2. N Engl J Med 2013;369:2391-2405.</w:t>
      </w:r>
    </w:p>
    <w:p w:rsidR="005B77DC" w:rsidRDefault="004F6C22">
      <w:pPr>
        <w:pStyle w:val="Normal1"/>
        <w:spacing w:before="120" w:after="240"/>
        <w:ind w:firstLine="0"/>
        <w:rPr>
          <w:color w:val="000000"/>
        </w:rPr>
      </w:pPr>
      <w:r>
        <w:rPr>
          <w:b/>
          <w:color w:val="000000"/>
        </w:rPr>
        <w:t xml:space="preserve">Ohyashiki K, Ito Y, Hori K, Sato K, Makino T, Ohyashiki JH. </w:t>
      </w:r>
      <w:r>
        <w:rPr>
          <w:color w:val="000000"/>
        </w:rPr>
        <w:t>Thrombosis can occur at any phase of essential thrombocythemia with JAK2(V617F) mutation: a single institutional study in Japan. Leukemia. 2007;21:1570–1571.</w:t>
      </w:r>
    </w:p>
    <w:p w:rsidR="005B77DC" w:rsidRDefault="004F6C22">
      <w:pPr>
        <w:pStyle w:val="Normal1"/>
        <w:spacing w:before="120" w:after="240"/>
        <w:ind w:firstLine="0"/>
        <w:rPr>
          <w:highlight w:val="white"/>
        </w:rPr>
      </w:pPr>
      <w:r>
        <w:rPr>
          <w:b/>
          <w:highlight w:val="white"/>
        </w:rPr>
        <w:t>O'Shea J, Sherlock M, Philip R.</w:t>
      </w:r>
      <w:r>
        <w:rPr>
          <w:highlight w:val="white"/>
        </w:rPr>
        <w:t xml:space="preserve"> Thrombocytosis in childhood. Acta Haematol 2005; 113(3):212.</w:t>
      </w:r>
    </w:p>
    <w:p w:rsidR="005B77DC" w:rsidRDefault="004F6C22">
      <w:pPr>
        <w:pStyle w:val="Normal1"/>
        <w:spacing w:before="120" w:after="240"/>
        <w:ind w:firstLine="0"/>
      </w:pPr>
      <w:r>
        <w:rPr>
          <w:b/>
        </w:rPr>
        <w:t>Öz Ö.</w:t>
      </w:r>
      <w:r>
        <w:t xml:space="preserve"> Kronik miyeloproliferatif hastalık olgularında JAK2 V617F mutasyon sıklığı. Harran Üniversitesi Tıp Fakültesi Dergisi 2019;16(3):492-495.</w:t>
      </w:r>
    </w:p>
    <w:p w:rsidR="005B77DC" w:rsidRDefault="00325A9D">
      <w:pPr>
        <w:pStyle w:val="Normal1"/>
        <w:spacing w:before="120" w:after="240"/>
        <w:ind w:firstLine="0"/>
      </w:pPr>
      <w:hyperlink r:id="rId41">
        <w:r w:rsidR="004F6C22">
          <w:rPr>
            <w:b/>
            <w:color w:val="000000"/>
          </w:rPr>
          <w:t>Özcan C</w:t>
        </w:r>
      </w:hyperlink>
      <w:r w:rsidR="004F6C22">
        <w:rPr>
          <w:b/>
        </w:rPr>
        <w:t>, </w:t>
      </w:r>
      <w:hyperlink r:id="rId42">
        <w:r w:rsidR="004F6C22">
          <w:rPr>
            <w:b/>
            <w:color w:val="000000"/>
          </w:rPr>
          <w:t>Şaylı TR</w:t>
        </w:r>
      </w:hyperlink>
      <w:r w:rsidR="004F6C22">
        <w:rPr>
          <w:b/>
        </w:rPr>
        <w:t>, </w:t>
      </w:r>
      <w:hyperlink r:id="rId43">
        <w:r w:rsidR="004F6C22">
          <w:rPr>
            <w:b/>
            <w:color w:val="000000"/>
          </w:rPr>
          <w:t>Koşan-Çulha V</w:t>
        </w:r>
      </w:hyperlink>
      <w:r w:rsidR="004F6C22">
        <w:rPr>
          <w:b/>
          <w:color w:val="000000"/>
        </w:rPr>
        <w:t>.</w:t>
      </w:r>
      <w:r w:rsidR="004F6C22">
        <w:t xml:space="preserve">Reactive thrombocytosis in children. </w:t>
      </w:r>
      <w:hyperlink r:id="rId44">
        <w:r w:rsidR="004F6C22">
          <w:rPr>
            <w:color w:val="000000"/>
          </w:rPr>
          <w:t>Turk J Pediatr</w:t>
        </w:r>
      </w:hyperlink>
      <w:r w:rsidR="004F6C22">
        <w:t> 2013;55(4):411-416.</w:t>
      </w:r>
    </w:p>
    <w:p w:rsidR="005B77DC" w:rsidRDefault="004F6C22">
      <w:pPr>
        <w:pStyle w:val="Normal1"/>
        <w:spacing w:before="120" w:after="240"/>
        <w:ind w:firstLine="0"/>
        <w:rPr>
          <w:color w:val="000000"/>
        </w:rPr>
      </w:pPr>
      <w:r>
        <w:rPr>
          <w:b/>
          <w:color w:val="000000"/>
        </w:rPr>
        <w:t xml:space="preserve">Parganas E, Wang D, Stravopodis D, Topham DJ, Marine JC, Teqlund S, et al. </w:t>
      </w:r>
      <w:r>
        <w:rPr>
          <w:color w:val="000000"/>
        </w:rPr>
        <w:t>Jak2 is essential for signaling through a variety of cytokine receptors. Cell 1998;93:385-395.</w:t>
      </w:r>
    </w:p>
    <w:p w:rsidR="005B77DC" w:rsidRDefault="004F6C22">
      <w:pPr>
        <w:pStyle w:val="Normal1"/>
        <w:spacing w:before="120" w:after="240"/>
        <w:ind w:firstLine="0"/>
        <w:rPr>
          <w:color w:val="000000"/>
        </w:rPr>
      </w:pPr>
      <w:r>
        <w:rPr>
          <w:b/>
          <w:color w:val="000000"/>
        </w:rPr>
        <w:t xml:space="preserve">Passamonti F, Rumi E, Arcaini L, Boveri E, Elena C, Pietra D, et al. </w:t>
      </w:r>
      <w:r>
        <w:rPr>
          <w:color w:val="000000"/>
        </w:rPr>
        <w:t>Prognostic factors for thrombosis, myelofibrosis, and leukemia in essential thrombocythemia: a study</w:t>
      </w:r>
      <w:r w:rsidR="007C14B0">
        <w:rPr>
          <w:color w:val="000000"/>
        </w:rPr>
        <w:t xml:space="preserve"> of 605 patients. Haematologica</w:t>
      </w:r>
      <w:r>
        <w:rPr>
          <w:color w:val="000000"/>
        </w:rPr>
        <w:t xml:space="preserve"> 2008;93:1645-1651.</w:t>
      </w:r>
    </w:p>
    <w:p w:rsidR="005B77DC" w:rsidRDefault="004F6C22">
      <w:pPr>
        <w:pStyle w:val="Normal1"/>
        <w:spacing w:before="120" w:after="240"/>
        <w:ind w:firstLine="0"/>
        <w:rPr>
          <w:color w:val="000000"/>
        </w:rPr>
      </w:pPr>
      <w:r>
        <w:rPr>
          <w:b/>
          <w:color w:val="000000"/>
        </w:rPr>
        <w:lastRenderedPageBreak/>
        <w:t>Passamonti F, Rumi E, P</w:t>
      </w:r>
      <w:r>
        <w:rPr>
          <w:b/>
        </w:rPr>
        <w:t>a</w:t>
      </w:r>
      <w:r>
        <w:rPr>
          <w:b/>
          <w:color w:val="000000"/>
        </w:rPr>
        <w:t xml:space="preserve">ngolino E, Malabarba L, Bertazzoni P, Valentini M, et al. </w:t>
      </w:r>
      <w:r>
        <w:rPr>
          <w:color w:val="000000"/>
        </w:rPr>
        <w:t>Life expectancy and prognostic factors for survival in patients with polycythemia vera and essential thrombocythemia. Am J Med 2004;117:755-761.</w:t>
      </w:r>
    </w:p>
    <w:p w:rsidR="005B77DC" w:rsidRDefault="004F6C22">
      <w:pPr>
        <w:pStyle w:val="Normal1"/>
        <w:spacing w:before="120" w:after="240"/>
        <w:ind w:firstLine="0"/>
      </w:pPr>
      <w:r>
        <w:rPr>
          <w:b/>
        </w:rPr>
        <w:t xml:space="preserve">Pikman Y, Lee BH, Mercher T, McDowell E, Ebert BL, Gozo M, et al. </w:t>
      </w:r>
      <w:r>
        <w:t>MPLW515L is a novel somatic activating mutation inmyelofibrosis with myeloid metaplasia. PLoS Med 2006;3:e270.</w:t>
      </w:r>
    </w:p>
    <w:p w:rsidR="005B77DC" w:rsidRDefault="004F6C22">
      <w:pPr>
        <w:pStyle w:val="Normal1"/>
        <w:spacing w:before="120" w:after="240"/>
        <w:ind w:firstLine="0"/>
      </w:pPr>
      <w:r>
        <w:rPr>
          <w:b/>
        </w:rPr>
        <w:t>Posthuma HL, Skoda RC, Jacob FA, van der Maas AP, Valik PJ, Posthuma EF.</w:t>
      </w:r>
      <w:r>
        <w:t xml:space="preserve"> Hereditary thrombocytosis not as innocent as thought? Development into acute leukemia and myelofibrosis. Blood 2010;116:3375-3376.</w:t>
      </w:r>
    </w:p>
    <w:p w:rsidR="005B77DC" w:rsidRDefault="004F6C22">
      <w:pPr>
        <w:pStyle w:val="Normal1"/>
        <w:spacing w:before="120" w:after="240"/>
        <w:ind w:firstLine="0"/>
        <w:rPr>
          <w:highlight w:val="white"/>
        </w:rPr>
      </w:pPr>
      <w:r>
        <w:rPr>
          <w:b/>
          <w:highlight w:val="white"/>
        </w:rPr>
        <w:t>Randi ML, Bertozzi I, Putti MC.</w:t>
      </w:r>
      <w:r>
        <w:rPr>
          <w:highlight w:val="white"/>
        </w:rPr>
        <w:t xml:space="preserve"> Contemporary management of essential thrombocythemia in children. Expert Rev Hematol 2019;12(5):367-373.</w:t>
      </w:r>
    </w:p>
    <w:p w:rsidR="005B77DC" w:rsidRDefault="004F6C22">
      <w:pPr>
        <w:pStyle w:val="Normal1"/>
        <w:spacing w:before="120" w:after="240"/>
        <w:ind w:firstLine="0"/>
        <w:rPr>
          <w:highlight w:val="white"/>
        </w:rPr>
      </w:pPr>
      <w:r>
        <w:rPr>
          <w:b/>
          <w:highlight w:val="white"/>
        </w:rPr>
        <w:t>Randi ML, Geranio G, Bertozzi I, et al.</w:t>
      </w:r>
      <w:r>
        <w:rPr>
          <w:highlight w:val="white"/>
        </w:rPr>
        <w:t xml:space="preserve"> Are all cases of paediatric essential thrombocythemia really myeloproliferative neoplasms? Analysis of a large cohort. Br J Haematol 2015;169(4):584-589.</w:t>
      </w:r>
    </w:p>
    <w:p w:rsidR="005B77DC" w:rsidRDefault="004F6C22">
      <w:pPr>
        <w:pStyle w:val="Normal1"/>
        <w:spacing w:before="120" w:after="240"/>
        <w:ind w:firstLine="0"/>
      </w:pPr>
      <w:r>
        <w:rPr>
          <w:b/>
        </w:rPr>
        <w:t>Rumi E, Harutyunyan AS, Pietra D, et al.</w:t>
      </w:r>
      <w:r>
        <w:t xml:space="preserve"> Associazione Italiana per la Ricerca sul Cancro Gruppo Italiano Malattie Mieloproliferative Investigators CALR exon 9 mutations are somatically acquired events in familial cases of essential thrombocythemia or primary myelofibrosis. Blood 2014;123:2416-2419.</w:t>
      </w:r>
    </w:p>
    <w:p w:rsidR="005B77DC" w:rsidRDefault="004F6C22">
      <w:pPr>
        <w:pStyle w:val="Normal1"/>
        <w:spacing w:before="120" w:after="240"/>
        <w:ind w:firstLine="0"/>
        <w:rPr>
          <w:color w:val="000000"/>
        </w:rPr>
      </w:pPr>
      <w:r>
        <w:rPr>
          <w:b/>
          <w:color w:val="000000"/>
        </w:rPr>
        <w:t xml:space="preserve">Sagripanti A, Ferret A, Nicolini A, Carpi A. </w:t>
      </w:r>
      <w:r>
        <w:rPr>
          <w:color w:val="000000"/>
        </w:rPr>
        <w:t>Thrombotic and hemorrhagic complications in chronic myeloproliferative disorders. Biomed &amp; Pharmacother 1996;50:376-382.</w:t>
      </w:r>
    </w:p>
    <w:p w:rsidR="005B77DC" w:rsidRDefault="00325A9D">
      <w:pPr>
        <w:pStyle w:val="Normal1"/>
        <w:spacing w:before="120" w:after="240"/>
        <w:ind w:firstLine="0"/>
      </w:pPr>
      <w:hyperlink r:id="rId45">
        <w:r w:rsidR="004F6C22">
          <w:rPr>
            <w:b/>
            <w:color w:val="000000"/>
          </w:rPr>
          <w:t>Sarangi</w:t>
        </w:r>
      </w:hyperlink>
      <w:r w:rsidR="004F6C22">
        <w:rPr>
          <w:b/>
        </w:rPr>
        <w:t xml:space="preserve"> R, </w:t>
      </w:r>
      <w:hyperlink r:id="rId46">
        <w:r w:rsidR="004F6C22">
          <w:rPr>
            <w:b/>
            <w:color w:val="000000"/>
          </w:rPr>
          <w:t>Pradhan</w:t>
        </w:r>
      </w:hyperlink>
      <w:r w:rsidR="004F6C22">
        <w:rPr>
          <w:b/>
        </w:rPr>
        <w:t xml:space="preserve"> S, </w:t>
      </w:r>
      <w:hyperlink r:id="rId47">
        <w:r w:rsidR="004F6C22">
          <w:rPr>
            <w:b/>
            <w:color w:val="000000"/>
          </w:rPr>
          <w:t>Dhanawat</w:t>
        </w:r>
      </w:hyperlink>
      <w:r w:rsidR="004F6C22">
        <w:rPr>
          <w:b/>
        </w:rPr>
        <w:t xml:space="preserve"> A, </w:t>
      </w:r>
      <w:hyperlink r:id="rId48">
        <w:r w:rsidR="004F6C22">
          <w:rPr>
            <w:b/>
            <w:color w:val="000000"/>
          </w:rPr>
          <w:t>Patanayak</w:t>
        </w:r>
      </w:hyperlink>
      <w:r w:rsidR="004F6C22">
        <w:rPr>
          <w:b/>
        </w:rPr>
        <w:t xml:space="preserve"> R, </w:t>
      </w:r>
      <w:hyperlink r:id="rId49">
        <w:r w:rsidR="004F6C22">
          <w:rPr>
            <w:b/>
            <w:color w:val="000000"/>
          </w:rPr>
          <w:t>Gautam Benia</w:t>
        </w:r>
      </w:hyperlink>
      <w:r w:rsidR="004F6C22">
        <w:rPr>
          <w:b/>
        </w:rPr>
        <w:t xml:space="preserve"> G.</w:t>
      </w:r>
      <w:r w:rsidR="004F6C22">
        <w:t xml:space="preserve"> Thrombocytosis in children: Clinico-hematological </w:t>
      </w:r>
      <w:proofErr w:type="gramStart"/>
      <w:r w:rsidR="004F6C22">
        <w:t>profile</w:t>
      </w:r>
      <w:proofErr w:type="gramEnd"/>
      <w:r w:rsidR="004F6C22">
        <w:t xml:space="preserve"> from a single centre in Eastern India. </w:t>
      </w:r>
      <w:hyperlink r:id="rId50">
        <w:r w:rsidR="004F6C22">
          <w:rPr>
            <w:color w:val="000000"/>
          </w:rPr>
          <w:t>J Lab Physicians</w:t>
        </w:r>
      </w:hyperlink>
      <w:r w:rsidR="004F6C22">
        <w:t xml:space="preserve"> 2018;10(1):34-37.</w:t>
      </w:r>
    </w:p>
    <w:p w:rsidR="005B77DC" w:rsidRDefault="004F6C22">
      <w:pPr>
        <w:pStyle w:val="Normal1"/>
        <w:spacing w:before="120" w:after="240"/>
        <w:ind w:firstLine="0"/>
        <w:rPr>
          <w:b/>
          <w:color w:val="000000"/>
        </w:rPr>
      </w:pPr>
      <w:r>
        <w:rPr>
          <w:b/>
          <w:color w:val="000000"/>
        </w:rPr>
        <w:t xml:space="preserve">Schafer AI. </w:t>
      </w:r>
      <w:r>
        <w:rPr>
          <w:color w:val="000000"/>
        </w:rPr>
        <w:t xml:space="preserve">Thrombocytosis and </w:t>
      </w:r>
      <w:r>
        <w:t>e</w:t>
      </w:r>
      <w:r>
        <w:rPr>
          <w:color w:val="000000"/>
        </w:rPr>
        <w:t xml:space="preserve">ssential </w:t>
      </w:r>
      <w:r>
        <w:t>t</w:t>
      </w:r>
      <w:r>
        <w:rPr>
          <w:color w:val="000000"/>
        </w:rPr>
        <w:t>hrombocythemia. In Beutler E, Lichtman MA, Coller BS (Eds) Williams Ha</w:t>
      </w:r>
      <w:r>
        <w:t>e</w:t>
      </w:r>
      <w:r>
        <w:rPr>
          <w:color w:val="000000"/>
        </w:rPr>
        <w:t>matolog</w:t>
      </w:r>
      <w:r>
        <w:t>y</w:t>
      </w:r>
      <w:r>
        <w:rPr>
          <w:color w:val="000000"/>
        </w:rPr>
        <w:t>. Sixth Edition. McGraw-Hill 2001,1541-1549</w:t>
      </w:r>
      <w:r>
        <w:rPr>
          <w:b/>
          <w:color w:val="000000"/>
        </w:rPr>
        <w:t>.</w:t>
      </w:r>
    </w:p>
    <w:p w:rsidR="005B77DC" w:rsidRDefault="004F6C22">
      <w:pPr>
        <w:pStyle w:val="Normal1"/>
        <w:spacing w:before="120" w:after="240"/>
        <w:ind w:firstLine="0"/>
        <w:rPr>
          <w:color w:val="000000"/>
        </w:rPr>
      </w:pPr>
      <w:r>
        <w:rPr>
          <w:b/>
          <w:color w:val="000000"/>
        </w:rPr>
        <w:t xml:space="preserve">Schafer Al. </w:t>
      </w:r>
      <w:r>
        <w:rPr>
          <w:color w:val="000000"/>
        </w:rPr>
        <w:t>Molecular basis of the diagnosis and treatment of polycythemia vera and essential thrombocythemia. Blood 2006;107:4214-4222.</w:t>
      </w:r>
    </w:p>
    <w:p w:rsidR="005B77DC" w:rsidRDefault="004F6C22">
      <w:pPr>
        <w:pStyle w:val="Normal1"/>
        <w:spacing w:before="120" w:after="240"/>
        <w:ind w:firstLine="0"/>
      </w:pPr>
      <w:r>
        <w:rPr>
          <w:b/>
        </w:rPr>
        <w:lastRenderedPageBreak/>
        <w:t>Sekiya Y, Okuno Y, Muramatsu H, et al.</w:t>
      </w:r>
      <w:r>
        <w:t xml:space="preserve"> JAK2, MPL, and CALR mutations in children with essential throm</w:t>
      </w:r>
      <w:r w:rsidR="005358D9">
        <w:t>bocythemia. Int J Hematol 2016;</w:t>
      </w:r>
      <w:r>
        <w:t>104(2):266-267.</w:t>
      </w:r>
    </w:p>
    <w:p w:rsidR="005B77DC" w:rsidRDefault="004F6C22">
      <w:pPr>
        <w:pStyle w:val="Normal1"/>
        <w:spacing w:before="120" w:after="240"/>
        <w:ind w:firstLine="0"/>
        <w:rPr>
          <w:color w:val="000000"/>
        </w:rPr>
      </w:pPr>
      <w:r>
        <w:rPr>
          <w:b/>
          <w:color w:val="000000"/>
        </w:rPr>
        <w:t xml:space="preserve">Steensma DP, Dewald GW, Lasho TL, Powell HL, McClure RF, Levine RL, et al. </w:t>
      </w:r>
      <w:r>
        <w:rPr>
          <w:color w:val="000000"/>
        </w:rPr>
        <w:t xml:space="preserve">The JAK2 V617F activating tyrosine kinase mutation is an infrequent event in both “atypical” myeloproliferative disorders and the </w:t>
      </w:r>
      <w:r w:rsidR="007443C3">
        <w:rPr>
          <w:color w:val="000000"/>
        </w:rPr>
        <w:t>myelodysplastic syndrome. Blood</w:t>
      </w:r>
      <w:r>
        <w:rPr>
          <w:color w:val="000000"/>
        </w:rPr>
        <w:t xml:space="preserve"> 2005;106:1207-1209.</w:t>
      </w:r>
    </w:p>
    <w:p w:rsidR="005B77DC" w:rsidRDefault="004F6C22">
      <w:pPr>
        <w:pStyle w:val="Normal1"/>
        <w:spacing w:before="120" w:after="240"/>
        <w:ind w:firstLine="0"/>
        <w:rPr>
          <w:b/>
          <w:color w:val="000000"/>
        </w:rPr>
      </w:pPr>
      <w:r>
        <w:rPr>
          <w:b/>
          <w:color w:val="000000"/>
        </w:rPr>
        <w:t xml:space="preserve">Storen EC, Tefferi A. </w:t>
      </w:r>
      <w:r>
        <w:rPr>
          <w:color w:val="000000"/>
        </w:rPr>
        <w:t>Long-term use of anagrelide in young patients with essential thrombocythemia. Blood 2001;97:863-866</w:t>
      </w:r>
      <w:r>
        <w:rPr>
          <w:b/>
          <w:color w:val="000000"/>
        </w:rPr>
        <w:t>.</w:t>
      </w:r>
    </w:p>
    <w:p w:rsidR="005B77DC" w:rsidRDefault="004F6C22">
      <w:pPr>
        <w:pStyle w:val="Normal1"/>
        <w:spacing w:before="120" w:after="240"/>
        <w:ind w:firstLine="0"/>
      </w:pPr>
      <w:r>
        <w:rPr>
          <w:b/>
        </w:rPr>
        <w:t xml:space="preserve">Stuhrmann M, Bashawri L, Ahmed MA, Al-Awamy BH, Kühnau W, Schmidtke J, et al. </w:t>
      </w:r>
      <w:r>
        <w:t>Familial thrombocytosis as a recessive, possibly X-linked trait in an Arab family. Br J Haematol 2001;112:616-620.</w:t>
      </w:r>
    </w:p>
    <w:p w:rsidR="005B77DC" w:rsidRDefault="004F6C22">
      <w:pPr>
        <w:pStyle w:val="Normal1"/>
        <w:spacing w:before="120" w:after="240"/>
        <w:ind w:firstLine="0"/>
      </w:pPr>
      <w:r>
        <w:rPr>
          <w:b/>
        </w:rPr>
        <w:t>Subramaniam N, Mundkur S, Kini P, Bhaskaranand N, Aroor S.</w:t>
      </w:r>
      <w:r>
        <w:t xml:space="preserve"> Clinicohematological study of thrombocytosis in children. ISRN Hematol 2014;2014:389257.</w:t>
      </w:r>
    </w:p>
    <w:p w:rsidR="005B77DC" w:rsidRDefault="004F6C22">
      <w:pPr>
        <w:pStyle w:val="Normal1"/>
        <w:spacing w:before="120" w:after="240"/>
        <w:ind w:firstLine="0"/>
      </w:pPr>
      <w:r>
        <w:rPr>
          <w:b/>
        </w:rPr>
        <w:t>Sutor AH.</w:t>
      </w:r>
      <w:r>
        <w:t xml:space="preserve"> Screening children with thrombosis for thrombophilic proteins. Cui bono? J Thromb Haemost 2003;1:886-888.</w:t>
      </w:r>
    </w:p>
    <w:p w:rsidR="005B77DC" w:rsidRDefault="004F6C22">
      <w:pPr>
        <w:pStyle w:val="Normal1"/>
        <w:spacing w:before="120" w:after="240"/>
        <w:ind w:firstLine="0"/>
      </w:pPr>
      <w:r>
        <w:rPr>
          <w:b/>
        </w:rPr>
        <w:t>Sutor AH.</w:t>
      </w:r>
      <w:r>
        <w:t xml:space="preserve"> Thrombocytosis in childhood. Semin Thromb Hemost 1995;21:330–339.</w:t>
      </w:r>
    </w:p>
    <w:p w:rsidR="005B77DC" w:rsidRDefault="004F6C22">
      <w:pPr>
        <w:pStyle w:val="Normal1"/>
        <w:spacing w:before="120" w:after="240"/>
        <w:ind w:firstLine="0"/>
      </w:pPr>
      <w:r>
        <w:rPr>
          <w:b/>
        </w:rPr>
        <w:t>Sutor AH.</w:t>
      </w:r>
      <w:r>
        <w:t>Thrombocytosis. In: Lilleyman JS, Hann IM, Blanchette VS (eds). Pediatric Hematology. Churchill Livingstone, London;1999. p.455-464.</w:t>
      </w:r>
    </w:p>
    <w:p w:rsidR="005B77DC" w:rsidRDefault="004F6C22">
      <w:pPr>
        <w:pStyle w:val="Normal1"/>
        <w:spacing w:before="120" w:after="240"/>
        <w:ind w:firstLine="0"/>
        <w:rPr>
          <w:b/>
          <w:color w:val="000000"/>
        </w:rPr>
      </w:pPr>
      <w:r>
        <w:rPr>
          <w:b/>
          <w:color w:val="000000"/>
        </w:rPr>
        <w:t xml:space="preserve">Talarico L. </w:t>
      </w:r>
      <w:r>
        <w:rPr>
          <w:color w:val="000000"/>
        </w:rPr>
        <w:t>Myeloproliferative disorders: a practical review. Patient care 1998;30;3757</w:t>
      </w:r>
      <w:r>
        <w:rPr>
          <w:b/>
          <w:color w:val="000000"/>
        </w:rPr>
        <w:t>.</w:t>
      </w:r>
    </w:p>
    <w:p w:rsidR="005B77DC" w:rsidRDefault="004F6C22">
      <w:pPr>
        <w:pStyle w:val="Normal1"/>
        <w:spacing w:before="120" w:after="240"/>
        <w:ind w:firstLine="0"/>
        <w:rPr>
          <w:color w:val="000000"/>
        </w:rPr>
      </w:pPr>
      <w:r>
        <w:rPr>
          <w:b/>
          <w:color w:val="000000"/>
        </w:rPr>
        <w:t xml:space="preserve">Tefferi A, Gangat N, Wolanskyj A. </w:t>
      </w:r>
      <w:r>
        <w:rPr>
          <w:color w:val="000000"/>
        </w:rPr>
        <w:t>The interaction between leukocytosis and other risk factors for thrombosis in essential thrombocythemia. Blood 2007;109:4105.</w:t>
      </w:r>
    </w:p>
    <w:p w:rsidR="005B77DC" w:rsidRDefault="004F6C22">
      <w:pPr>
        <w:pStyle w:val="Normal1"/>
        <w:spacing w:before="120" w:after="240"/>
        <w:ind w:firstLine="0"/>
      </w:pPr>
      <w:r>
        <w:rPr>
          <w:b/>
        </w:rPr>
        <w:t>Tefferi A, Leung LLK, Rosmarin AG.</w:t>
      </w:r>
      <w:r>
        <w:t xml:space="preserve"> Approach to the patient with thrombocytosis. Availableat:</w:t>
      </w:r>
      <w:hyperlink r:id="rId51">
        <w:r>
          <w:rPr>
            <w:color w:val="000000"/>
          </w:rPr>
          <w:t>https://www.uptodate.com/contents/approach-to-the-patient-with-thrombocytosis</w:t>
        </w:r>
      </w:hyperlink>
      <w:r w:rsidR="00040D28">
        <w:t xml:space="preserve">. </w:t>
      </w:r>
      <w:r>
        <w:t>Accessed March 10, 2020.</w:t>
      </w:r>
    </w:p>
    <w:p w:rsidR="005B77DC" w:rsidRDefault="004F6C22">
      <w:pPr>
        <w:pStyle w:val="Normal1"/>
        <w:spacing w:before="120" w:after="240"/>
        <w:ind w:firstLine="0"/>
        <w:rPr>
          <w:b/>
          <w:color w:val="000000"/>
        </w:rPr>
      </w:pPr>
      <w:r>
        <w:rPr>
          <w:b/>
          <w:color w:val="000000"/>
        </w:rPr>
        <w:t xml:space="preserve">Tefferi A, Sirhan S, Lasho TL, Schwager SM, Li CY, Dingli D et al. </w:t>
      </w:r>
      <w:r>
        <w:rPr>
          <w:color w:val="000000"/>
        </w:rPr>
        <w:t>Concomitant neutrophil JAK2 mutation screening and PRV-1 expression analysis in myeloproliferative disorders and secondary polycyth</w:t>
      </w:r>
      <w:r w:rsidR="004E380B">
        <w:rPr>
          <w:color w:val="000000"/>
        </w:rPr>
        <w:t>aemia. Br J Haematol 2005;131:</w:t>
      </w:r>
      <w:r>
        <w:rPr>
          <w:color w:val="000000"/>
        </w:rPr>
        <w:t>166–171</w:t>
      </w:r>
      <w:r>
        <w:rPr>
          <w:b/>
          <w:color w:val="000000"/>
        </w:rPr>
        <w:t>.</w:t>
      </w:r>
    </w:p>
    <w:p w:rsidR="005B77DC" w:rsidRDefault="004F6C22">
      <w:pPr>
        <w:pStyle w:val="Normal1"/>
        <w:spacing w:before="120" w:after="240"/>
        <w:ind w:firstLine="0"/>
        <w:rPr>
          <w:highlight w:val="white"/>
        </w:rPr>
      </w:pPr>
      <w:r>
        <w:rPr>
          <w:b/>
        </w:rPr>
        <w:lastRenderedPageBreak/>
        <w:t>Tefferi A, Vainchenker W.</w:t>
      </w:r>
      <w:r>
        <w:t xml:space="preserve"> Myeloproliferative neoplasms: Molecular pathophysiology, essential clinical understanding, and treatment</w:t>
      </w:r>
      <w:r w:rsidR="00040D28">
        <w:t xml:space="preserve"> strategies. J Clin Oncol 2011;</w:t>
      </w:r>
      <w:r>
        <w:rPr>
          <w:highlight w:val="white"/>
        </w:rPr>
        <w:t>29(5):573-582.</w:t>
      </w:r>
    </w:p>
    <w:p w:rsidR="005B77DC" w:rsidRDefault="004F6C22">
      <w:pPr>
        <w:pStyle w:val="Normal1"/>
        <w:spacing w:before="120" w:after="240"/>
        <w:ind w:firstLine="0"/>
        <w:rPr>
          <w:color w:val="000000"/>
        </w:rPr>
      </w:pPr>
      <w:r>
        <w:rPr>
          <w:b/>
          <w:color w:val="000000"/>
        </w:rPr>
        <w:t xml:space="preserve">Tefferi A, Vardiman JW. </w:t>
      </w:r>
      <w:r>
        <w:rPr>
          <w:color w:val="000000"/>
        </w:rPr>
        <w:t>Classification and diagnosis of myeloproliferative neoplasms: the 2008 World Health Organization criteria and point-of-care diagnostic algorithms</w:t>
      </w:r>
      <w:r>
        <w:rPr>
          <w:b/>
          <w:color w:val="000000"/>
        </w:rPr>
        <w:t xml:space="preserve">. </w:t>
      </w:r>
      <w:r>
        <w:rPr>
          <w:color w:val="000000"/>
        </w:rPr>
        <w:t>Leukemia 2008;22:14-22.</w:t>
      </w:r>
    </w:p>
    <w:p w:rsidR="005B77DC" w:rsidRDefault="004F6C22">
      <w:pPr>
        <w:pStyle w:val="Normal1"/>
        <w:spacing w:before="120" w:after="240"/>
        <w:ind w:firstLine="0"/>
        <w:rPr>
          <w:b/>
          <w:color w:val="000000"/>
        </w:rPr>
      </w:pPr>
      <w:r>
        <w:rPr>
          <w:b/>
          <w:color w:val="000000"/>
        </w:rPr>
        <w:t xml:space="preserve">Tefferi A. </w:t>
      </w:r>
      <w:r>
        <w:rPr>
          <w:color w:val="000000"/>
        </w:rPr>
        <w:t xml:space="preserve">Essential </w:t>
      </w:r>
      <w:r>
        <w:t>t</w:t>
      </w:r>
      <w:r>
        <w:rPr>
          <w:color w:val="000000"/>
        </w:rPr>
        <w:t>hrombocythemia and thrombocytosis. In: Greer JP, Forerster J, Rodgers G, Paraskevas F, Glader B,  Arber DA, et al (Eds). Wintrobe</w:t>
      </w:r>
      <w:r>
        <w:t>’</w:t>
      </w:r>
      <w:r>
        <w:rPr>
          <w:color w:val="000000"/>
        </w:rPr>
        <w:t>s Clinical Hematology T</w:t>
      </w:r>
      <w:r w:rsidR="00A13F86">
        <w:rPr>
          <w:color w:val="000000"/>
        </w:rPr>
        <w:t>welfth edition</w:t>
      </w:r>
      <w:r>
        <w:rPr>
          <w:color w:val="000000"/>
        </w:rPr>
        <w:t xml:space="preserve"> 2008;1352-1360</w:t>
      </w:r>
      <w:r>
        <w:rPr>
          <w:b/>
          <w:color w:val="000000"/>
        </w:rPr>
        <w:t>.</w:t>
      </w:r>
    </w:p>
    <w:p w:rsidR="005B77DC" w:rsidRDefault="004F6C22">
      <w:pPr>
        <w:pStyle w:val="Normal1"/>
        <w:spacing w:before="120" w:after="240"/>
        <w:ind w:firstLine="0"/>
        <w:rPr>
          <w:color w:val="000000"/>
        </w:rPr>
      </w:pPr>
      <w:r>
        <w:rPr>
          <w:b/>
          <w:color w:val="000000"/>
        </w:rPr>
        <w:t xml:space="preserve">Tefferi A. </w:t>
      </w:r>
      <w:r>
        <w:rPr>
          <w:color w:val="000000"/>
        </w:rPr>
        <w:t>Essential thrombocythemia, polycythemia vera, and myelofibrosis: Current management and the prospect of</w:t>
      </w:r>
      <w:r w:rsidR="00E03CF3">
        <w:rPr>
          <w:color w:val="000000"/>
        </w:rPr>
        <w:t xml:space="preserve"> targeted therapy. Am J Hematol</w:t>
      </w:r>
      <w:r>
        <w:rPr>
          <w:color w:val="000000"/>
        </w:rPr>
        <w:t xml:space="preserve"> 2008;83:491-497.</w:t>
      </w:r>
    </w:p>
    <w:p w:rsidR="005B77DC" w:rsidRDefault="004F6C22">
      <w:pPr>
        <w:pStyle w:val="Normal1"/>
        <w:spacing w:before="120" w:after="240"/>
        <w:ind w:firstLine="0"/>
        <w:rPr>
          <w:b/>
          <w:color w:val="000000"/>
        </w:rPr>
      </w:pPr>
      <w:r>
        <w:rPr>
          <w:b/>
          <w:color w:val="000000"/>
        </w:rPr>
        <w:t xml:space="preserve">Tefferi A. </w:t>
      </w:r>
      <w:r>
        <w:rPr>
          <w:color w:val="000000"/>
        </w:rPr>
        <w:t>JAK2 mutationsin myeloproliferative disorders. molecular mechanisms and clinical a</w:t>
      </w:r>
      <w:r w:rsidR="00E03CF3">
        <w:rPr>
          <w:color w:val="000000"/>
        </w:rPr>
        <w:t>pplications. N Engl J Med 2007;</w:t>
      </w:r>
      <w:r>
        <w:rPr>
          <w:color w:val="000000"/>
        </w:rPr>
        <w:t>356:444–445</w:t>
      </w:r>
      <w:r>
        <w:rPr>
          <w:b/>
          <w:color w:val="000000"/>
        </w:rPr>
        <w:t>.</w:t>
      </w:r>
    </w:p>
    <w:p w:rsidR="005B77DC" w:rsidRDefault="004F6C22">
      <w:pPr>
        <w:pStyle w:val="Normal1"/>
        <w:spacing w:before="120" w:after="240"/>
        <w:ind w:firstLine="0"/>
        <w:rPr>
          <w:color w:val="000000"/>
        </w:rPr>
      </w:pPr>
      <w:r>
        <w:rPr>
          <w:b/>
          <w:color w:val="000000"/>
        </w:rPr>
        <w:t xml:space="preserve">Tefferi A. </w:t>
      </w:r>
      <w:r>
        <w:rPr>
          <w:color w:val="000000"/>
        </w:rPr>
        <w:t>Thehistory of myeloproliferative disorders: before and after Dameshek. Leukemia 2008;22:3-13.</w:t>
      </w:r>
    </w:p>
    <w:p w:rsidR="005B77DC" w:rsidRDefault="004F6C22">
      <w:pPr>
        <w:pStyle w:val="Normal1"/>
        <w:spacing w:before="120" w:after="240"/>
        <w:ind w:firstLine="0"/>
      </w:pPr>
      <w:r>
        <w:rPr>
          <w:b/>
        </w:rPr>
        <w:t>Teofili L, Foa R, Giona F, Larocca LM.</w:t>
      </w:r>
      <w:r>
        <w:t xml:space="preserve"> Childhood polycythemia vera and essential thrombocythemia: does their pathogenesis overlap with that of adult patients? Haematologica 2008;93:169-172.</w:t>
      </w:r>
    </w:p>
    <w:p w:rsidR="005B77DC" w:rsidRDefault="004F6C22">
      <w:pPr>
        <w:pStyle w:val="Normal1"/>
        <w:spacing w:before="120" w:after="240"/>
        <w:ind w:firstLine="0"/>
      </w:pPr>
      <w:r>
        <w:rPr>
          <w:b/>
        </w:rPr>
        <w:t>Teofili L, Giona F, Martin M, Torti L, Cenci T, Foà R, Leone G, Larocca LM.</w:t>
      </w:r>
      <w:r>
        <w:t xml:space="preserve"> Thrombopoietin receptor activation, thrombopoietin mimetic drugs, and hereditary thrombocytosis: remarks on bone marrow fibrosis. J Clin Oncol 2010;28:e317-318.</w:t>
      </w:r>
    </w:p>
    <w:p w:rsidR="005B77DC" w:rsidRDefault="004F6C22">
      <w:pPr>
        <w:pStyle w:val="Normal1"/>
        <w:spacing w:before="120" w:after="240"/>
        <w:ind w:firstLine="0"/>
      </w:pPr>
      <w:r>
        <w:rPr>
          <w:b/>
        </w:rPr>
        <w:t>Teofili L, Larocca LM.</w:t>
      </w:r>
      <w:r>
        <w:t xml:space="preserve"> Advances in understanding of the pathogenesis of familial thrombocythemia. Br J Haematol 2011;152:701-712.</w:t>
      </w:r>
    </w:p>
    <w:p w:rsidR="005B77DC" w:rsidRDefault="004F6C22">
      <w:pPr>
        <w:pStyle w:val="Normal1"/>
        <w:spacing w:before="120" w:after="240"/>
        <w:ind w:firstLine="0"/>
        <w:rPr>
          <w:color w:val="000000"/>
        </w:rPr>
      </w:pPr>
      <w:r>
        <w:rPr>
          <w:b/>
          <w:color w:val="000000"/>
        </w:rPr>
        <w:t xml:space="preserve">Thiele J, Zankovich R, Steinberg T, Kremer B, Fischer R, Diehl V. </w:t>
      </w:r>
      <w:r>
        <w:rPr>
          <w:color w:val="000000"/>
        </w:rPr>
        <w:t xml:space="preserve">Primary (essential) thrombocythemia versus initial (hyperplastic) stages of agnogenic myeloid metaplasia with thrombocytosis a critical evaluation of clinical and histomorphological </w:t>
      </w:r>
      <w:proofErr w:type="gramStart"/>
      <w:r>
        <w:rPr>
          <w:color w:val="000000"/>
        </w:rPr>
        <w:t>data</w:t>
      </w:r>
      <w:proofErr w:type="gramEnd"/>
      <w:r>
        <w:rPr>
          <w:color w:val="000000"/>
        </w:rPr>
        <w:t>. Acta Haematol 1989;81:192-202.</w:t>
      </w:r>
    </w:p>
    <w:p w:rsidR="005B77DC" w:rsidRDefault="004F6C22">
      <w:pPr>
        <w:pStyle w:val="Normal1"/>
        <w:spacing w:before="120" w:after="240"/>
        <w:ind w:firstLine="0"/>
        <w:rPr>
          <w:highlight w:val="white"/>
        </w:rPr>
      </w:pPr>
      <w:r>
        <w:rPr>
          <w:b/>
          <w:highlight w:val="white"/>
        </w:rPr>
        <w:lastRenderedPageBreak/>
        <w:t xml:space="preserve">Tokgoz H, Caliskan U, Yüksekkaya HA, Kucukkaya R. </w:t>
      </w:r>
      <w:r>
        <w:rPr>
          <w:highlight w:val="white"/>
        </w:rPr>
        <w:t>Essential thrombocythemia with Mpl W515 K mutation in a child presenting with Budd-C</w:t>
      </w:r>
      <w:r w:rsidR="005E4A9A">
        <w:rPr>
          <w:highlight w:val="white"/>
        </w:rPr>
        <w:t>hiari syndrome. Platelets 2015;</w:t>
      </w:r>
      <w:r>
        <w:rPr>
          <w:highlight w:val="white"/>
        </w:rPr>
        <w:t>26(8):805–808.</w:t>
      </w:r>
    </w:p>
    <w:p w:rsidR="005B77DC" w:rsidRDefault="004F6C22">
      <w:pPr>
        <w:pStyle w:val="Normal1"/>
        <w:spacing w:before="120" w:after="240"/>
        <w:ind w:firstLine="0"/>
        <w:rPr>
          <w:b/>
          <w:color w:val="000000"/>
        </w:rPr>
      </w:pPr>
      <w:r>
        <w:rPr>
          <w:b/>
          <w:color w:val="000000"/>
        </w:rPr>
        <w:t xml:space="preserve">Van Genderen PJ, Mulder PG, Waleboer M, van de Moesdijk D, Michiels JJ. </w:t>
      </w:r>
      <w:r>
        <w:rPr>
          <w:color w:val="000000"/>
        </w:rPr>
        <w:t>Prevention and treatment of thrombotic complications in essential thrombocythemia: efficacy and safety of aspirin. Br J Haematol 1997;97:179-184.</w:t>
      </w:r>
    </w:p>
    <w:p w:rsidR="005B77DC" w:rsidRDefault="004F6C22">
      <w:pPr>
        <w:pStyle w:val="Normal1"/>
        <w:spacing w:before="120" w:after="240"/>
        <w:ind w:firstLine="0"/>
        <w:rPr>
          <w:b/>
          <w:color w:val="000000"/>
        </w:rPr>
      </w:pPr>
      <w:r>
        <w:rPr>
          <w:b/>
          <w:color w:val="000000"/>
        </w:rPr>
        <w:t xml:space="preserve">Vannucchi AM, Antonioli E, Guglielmelli P. </w:t>
      </w:r>
      <w:r>
        <w:rPr>
          <w:color w:val="000000"/>
        </w:rPr>
        <w:t xml:space="preserve">Clinical </w:t>
      </w:r>
      <w:proofErr w:type="gramStart"/>
      <w:r>
        <w:rPr>
          <w:color w:val="000000"/>
        </w:rPr>
        <w:t>profile</w:t>
      </w:r>
      <w:proofErr w:type="gramEnd"/>
      <w:r>
        <w:rPr>
          <w:color w:val="000000"/>
        </w:rPr>
        <w:t xml:space="preserve"> of homozygous JAK2 617V-F mutation in patients with polycythemia vera or essential thrombocythemia. Blood 2007;110:840–846</w:t>
      </w:r>
      <w:r>
        <w:rPr>
          <w:b/>
          <w:color w:val="000000"/>
        </w:rPr>
        <w:t>.</w:t>
      </w:r>
    </w:p>
    <w:p w:rsidR="005B77DC" w:rsidRDefault="004F6C22">
      <w:pPr>
        <w:pStyle w:val="Normal1"/>
        <w:spacing w:before="120" w:after="240"/>
        <w:ind w:firstLine="0"/>
        <w:rPr>
          <w:b/>
          <w:color w:val="000000"/>
        </w:rPr>
      </w:pPr>
      <w:r>
        <w:rPr>
          <w:b/>
          <w:color w:val="000000"/>
        </w:rPr>
        <w:t xml:space="preserve">Vardiman JW, Haris NL, Brunning RD. </w:t>
      </w:r>
      <w:r w:rsidRPr="00962B8C">
        <w:rPr>
          <w:color w:val="000000"/>
        </w:rPr>
        <w:t>The</w:t>
      </w:r>
      <w:r>
        <w:rPr>
          <w:color w:val="000000"/>
        </w:rPr>
        <w:t>World Health Organization (WHO) classification of the myeloid neoplasms. Blood 2002;100:2292-2302</w:t>
      </w:r>
      <w:r>
        <w:rPr>
          <w:b/>
          <w:color w:val="000000"/>
        </w:rPr>
        <w:t>.</w:t>
      </w:r>
    </w:p>
    <w:p w:rsidR="005B77DC" w:rsidRDefault="004F6C22">
      <w:pPr>
        <w:pStyle w:val="Normal1"/>
        <w:spacing w:before="120" w:after="240"/>
        <w:ind w:firstLine="0"/>
        <w:rPr>
          <w:color w:val="000000"/>
        </w:rPr>
      </w:pPr>
      <w:r>
        <w:rPr>
          <w:b/>
          <w:color w:val="000000"/>
        </w:rPr>
        <w:t xml:space="preserve">Vizmanos JL, Ormazabal C, Larrayoz MJ, Cross NC, Calasanz MJ. </w:t>
      </w:r>
      <w:r>
        <w:rPr>
          <w:color w:val="000000"/>
        </w:rPr>
        <w:t>JAK2 V617F mutation in classic chronic myeloproliferative diseases: A report on a series of 349 patients. Leukemia 2006;20:534–535.</w:t>
      </w:r>
    </w:p>
    <w:p w:rsidR="005B77DC" w:rsidRDefault="004F6C22">
      <w:pPr>
        <w:pStyle w:val="Normal1"/>
        <w:spacing w:before="120" w:after="240"/>
        <w:ind w:firstLine="0"/>
      </w:pPr>
      <w:r>
        <w:rPr>
          <w:b/>
        </w:rPr>
        <w:t>Vora AJ, Lilleyman JS.</w:t>
      </w:r>
      <w:r>
        <w:t xml:space="preserve"> Secondary thrombocytosis. Arch Dis in Child 1993;68:88-90.</w:t>
      </w:r>
    </w:p>
    <w:p w:rsidR="005B77DC" w:rsidRDefault="004F6C22">
      <w:pPr>
        <w:pStyle w:val="Normal1"/>
        <w:spacing w:before="120" w:after="240"/>
        <w:ind w:firstLine="0"/>
        <w:rPr>
          <w:color w:val="000000"/>
        </w:rPr>
      </w:pPr>
      <w:r>
        <w:rPr>
          <w:b/>
          <w:color w:val="000000"/>
        </w:rPr>
        <w:t xml:space="preserve">Wehmeier A, Daum I, Jamin H, Schneider W. </w:t>
      </w:r>
      <w:r>
        <w:rPr>
          <w:color w:val="000000"/>
        </w:rPr>
        <w:t>Incidence and clinical risk factors for bleeding and thrombotic complications in myeloproli</w:t>
      </w:r>
      <w:r>
        <w:t>f</w:t>
      </w:r>
      <w:r>
        <w:rPr>
          <w:color w:val="000000"/>
        </w:rPr>
        <w:t>erative disorders. Ann Hematol1991;63:101-106.</w:t>
      </w:r>
    </w:p>
    <w:p w:rsidR="005B77DC" w:rsidRDefault="004F6C22">
      <w:pPr>
        <w:pStyle w:val="Normal1"/>
        <w:spacing w:before="120" w:after="240"/>
        <w:ind w:firstLine="0"/>
      </w:pPr>
      <w:r>
        <w:rPr>
          <w:b/>
        </w:rPr>
        <w:t>Wolach B, Morag H, Drucker M, Sadan N.</w:t>
      </w:r>
      <w:r>
        <w:t xml:space="preserve"> Thrombocytosis after pneumonia with empyema and other bacterial infections in children. Pediatr Infect Dis J 1990;9:718-721.</w:t>
      </w:r>
    </w:p>
    <w:p w:rsidR="005B77DC" w:rsidRDefault="004F6C22">
      <w:pPr>
        <w:pStyle w:val="Normal1"/>
        <w:spacing w:before="120" w:after="240"/>
        <w:ind w:firstLine="0"/>
        <w:rPr>
          <w:color w:val="000000"/>
        </w:rPr>
      </w:pPr>
      <w:r>
        <w:rPr>
          <w:b/>
          <w:color w:val="000000"/>
        </w:rPr>
        <w:t xml:space="preserve">Wolanskyj AP, Lasho TL, Schwager SM, McClure RF, Wadleigh M, Lee SJ et al. </w:t>
      </w:r>
      <w:r>
        <w:rPr>
          <w:color w:val="000000"/>
        </w:rPr>
        <w:t>JAK2 mutation in essential thrombocythemia: clinical associations and long-term prognostic relevance. Br J Haematol 2005;131:208–213.</w:t>
      </w:r>
    </w:p>
    <w:p w:rsidR="005B77DC" w:rsidRDefault="004F6C22">
      <w:pPr>
        <w:pStyle w:val="Normal1"/>
        <w:spacing w:before="120" w:after="240"/>
        <w:ind w:firstLine="0"/>
        <w:rPr>
          <w:color w:val="000000"/>
        </w:rPr>
      </w:pPr>
      <w:r>
        <w:rPr>
          <w:b/>
          <w:color w:val="000000"/>
        </w:rPr>
        <w:t xml:space="preserve">Wolanskyj AP, Schwager SM, McClure RF, Larson DR, Tefferi A. </w:t>
      </w:r>
      <w:r>
        <w:rPr>
          <w:color w:val="000000"/>
        </w:rPr>
        <w:t>Essential thrombocythemia beyond the first decade: life expectancy long-term complication rates, and prognostic factors. Mayo Clin Proc 2006;81:159-166.</w:t>
      </w:r>
    </w:p>
    <w:p w:rsidR="005B77DC" w:rsidRDefault="004F6C22">
      <w:pPr>
        <w:pStyle w:val="Normal1"/>
        <w:spacing w:before="120" w:after="240"/>
        <w:ind w:firstLine="0"/>
      </w:pPr>
      <w:r>
        <w:rPr>
          <w:b/>
        </w:rPr>
        <w:t>Wolber EM, Fandrey J, Frackowski U, Jelkmann W.</w:t>
      </w:r>
      <w:r>
        <w:t xml:space="preserve"> Hepatic thrombopoietin mRNA is increased in acute inflammation. Thromb Haemost 2001;86:1421-1424.</w:t>
      </w:r>
    </w:p>
    <w:p w:rsidR="005B77DC" w:rsidRDefault="004F6C22">
      <w:pPr>
        <w:pStyle w:val="Normal1"/>
        <w:spacing w:before="120" w:after="240"/>
        <w:ind w:firstLine="0"/>
        <w:rPr>
          <w:color w:val="000000"/>
        </w:rPr>
      </w:pPr>
      <w:r>
        <w:rPr>
          <w:b/>
          <w:color w:val="000000"/>
        </w:rPr>
        <w:lastRenderedPageBreak/>
        <w:t xml:space="preserve">Wong RS, Cheng CK, Chan NP, Cheng SH, Wong WS, Lau KM, et al. </w:t>
      </w:r>
      <w:r>
        <w:rPr>
          <w:color w:val="000000"/>
        </w:rPr>
        <w:t>JAK2 V617F mutation is associated with increased risk of thrombosis in Chinese patients with essential thrombocythemia. Br J Haematol 2008;141:902-904.</w:t>
      </w:r>
    </w:p>
    <w:p w:rsidR="005B77DC" w:rsidRDefault="004F6C22">
      <w:pPr>
        <w:pStyle w:val="Normal1"/>
        <w:spacing w:before="120" w:after="240"/>
        <w:ind w:firstLine="0"/>
      </w:pPr>
      <w:r>
        <w:rPr>
          <w:b/>
        </w:rPr>
        <w:t>Yohannan MD, Higgy KE, al-Mashhadani SA, Santhosh-Kumar CR.</w:t>
      </w:r>
      <w:r>
        <w:t xml:space="preserve"> Thrombocytosis. Etiologic analysis of 663 patients. Clin Pediatr 1994;33:340-343.</w:t>
      </w:r>
    </w:p>
    <w:p w:rsidR="005B77DC" w:rsidRDefault="004F6C22">
      <w:pPr>
        <w:pStyle w:val="Normal1"/>
        <w:spacing w:before="120" w:after="240"/>
        <w:ind w:firstLine="0"/>
        <w:rPr>
          <w:color w:val="000000"/>
        </w:rPr>
      </w:pPr>
      <w:r>
        <w:rPr>
          <w:b/>
          <w:color w:val="000000"/>
        </w:rPr>
        <w:t xml:space="preserve">Zhang S, Qiu H, Fischer BS, Li W, Duan L, Sun X, et al. </w:t>
      </w:r>
      <w:r>
        <w:rPr>
          <w:color w:val="000000"/>
        </w:rPr>
        <w:t>JAK2 V617F patients with essential thrombocythemia present with clinical features of polycythemia vera. Leuk Lymphoma2008;49:696-699.</w:t>
      </w:r>
    </w:p>
    <w:p w:rsidR="005B77DC" w:rsidRDefault="005B77DC">
      <w:pPr>
        <w:pStyle w:val="Normal1"/>
        <w:ind w:firstLine="709"/>
        <w:rPr>
          <w:b/>
        </w:rPr>
      </w:pPr>
      <w:bookmarkStart w:id="14" w:name="_lnxbz9" w:colFirst="0" w:colLast="0"/>
      <w:bookmarkEnd w:id="14"/>
    </w:p>
    <w:p w:rsidR="005B77DC" w:rsidRDefault="005B77DC">
      <w:pPr>
        <w:pStyle w:val="Normal1"/>
        <w:ind w:firstLine="709"/>
        <w:rPr>
          <w:b/>
        </w:rPr>
      </w:pPr>
    </w:p>
    <w:p w:rsidR="008A767A" w:rsidRDefault="008A767A">
      <w:pPr>
        <w:pStyle w:val="Normal1"/>
        <w:ind w:firstLine="709"/>
        <w:rPr>
          <w:b/>
        </w:rPr>
      </w:pPr>
    </w:p>
    <w:p w:rsidR="008A767A" w:rsidRDefault="008A767A">
      <w:pPr>
        <w:pStyle w:val="Normal1"/>
        <w:ind w:firstLine="709"/>
        <w:rPr>
          <w:b/>
        </w:rPr>
      </w:pPr>
    </w:p>
    <w:p w:rsidR="008A767A" w:rsidRDefault="008A767A">
      <w:pPr>
        <w:pStyle w:val="Normal1"/>
        <w:ind w:firstLine="709"/>
        <w:rPr>
          <w:b/>
        </w:rPr>
      </w:pPr>
    </w:p>
    <w:p w:rsidR="008A767A" w:rsidRDefault="008A767A">
      <w:pPr>
        <w:pStyle w:val="Normal1"/>
        <w:ind w:firstLine="709"/>
        <w:rPr>
          <w:b/>
        </w:rPr>
      </w:pPr>
    </w:p>
    <w:p w:rsidR="008A767A" w:rsidRDefault="008A767A">
      <w:pPr>
        <w:pStyle w:val="Normal1"/>
        <w:ind w:firstLine="709"/>
        <w:rPr>
          <w:b/>
        </w:rPr>
      </w:pPr>
    </w:p>
    <w:p w:rsidR="008A767A" w:rsidRDefault="008A767A">
      <w:pPr>
        <w:pStyle w:val="Normal1"/>
        <w:ind w:firstLine="709"/>
        <w:rPr>
          <w:b/>
        </w:rPr>
      </w:pPr>
    </w:p>
    <w:p w:rsidR="008A767A" w:rsidRDefault="008A767A">
      <w:pPr>
        <w:pStyle w:val="Normal1"/>
        <w:ind w:firstLine="709"/>
        <w:rPr>
          <w:b/>
        </w:rPr>
      </w:pPr>
    </w:p>
    <w:p w:rsidR="008A767A" w:rsidRDefault="008A767A">
      <w:pPr>
        <w:pStyle w:val="Normal1"/>
        <w:ind w:firstLine="709"/>
        <w:rPr>
          <w:b/>
        </w:rPr>
      </w:pPr>
    </w:p>
    <w:p w:rsidR="008A767A" w:rsidRDefault="008A767A">
      <w:pPr>
        <w:pStyle w:val="Normal1"/>
        <w:ind w:firstLine="709"/>
        <w:rPr>
          <w:b/>
        </w:rPr>
      </w:pPr>
    </w:p>
    <w:p w:rsidR="008A767A" w:rsidRDefault="008A767A">
      <w:pPr>
        <w:pStyle w:val="Normal1"/>
        <w:ind w:firstLine="709"/>
        <w:rPr>
          <w:b/>
        </w:rPr>
      </w:pPr>
    </w:p>
    <w:p w:rsidR="008A767A" w:rsidRDefault="008A767A">
      <w:pPr>
        <w:pStyle w:val="Normal1"/>
        <w:ind w:firstLine="709"/>
        <w:rPr>
          <w:b/>
        </w:rPr>
      </w:pPr>
    </w:p>
    <w:p w:rsidR="008A767A" w:rsidRDefault="008A767A">
      <w:pPr>
        <w:pStyle w:val="Normal1"/>
        <w:ind w:firstLine="709"/>
        <w:rPr>
          <w:b/>
        </w:rPr>
      </w:pPr>
    </w:p>
    <w:p w:rsidR="008A767A" w:rsidRDefault="008A767A">
      <w:pPr>
        <w:pStyle w:val="Normal1"/>
        <w:ind w:firstLine="709"/>
        <w:rPr>
          <w:b/>
        </w:rPr>
      </w:pPr>
    </w:p>
    <w:p w:rsidR="008A767A" w:rsidRDefault="008A767A">
      <w:pPr>
        <w:pStyle w:val="Normal1"/>
        <w:ind w:firstLine="709"/>
        <w:rPr>
          <w:b/>
        </w:rPr>
      </w:pPr>
    </w:p>
    <w:p w:rsidR="008A767A" w:rsidRDefault="008A767A">
      <w:pPr>
        <w:pStyle w:val="Normal1"/>
        <w:ind w:firstLine="709"/>
        <w:rPr>
          <w:b/>
        </w:rPr>
      </w:pPr>
    </w:p>
    <w:p w:rsidR="008A767A" w:rsidRDefault="008A767A">
      <w:pPr>
        <w:pStyle w:val="Normal1"/>
        <w:ind w:firstLine="709"/>
        <w:rPr>
          <w:b/>
        </w:rPr>
      </w:pPr>
    </w:p>
    <w:p w:rsidR="008A767A" w:rsidRDefault="008A767A">
      <w:pPr>
        <w:pStyle w:val="Normal1"/>
        <w:ind w:firstLine="709"/>
        <w:rPr>
          <w:b/>
        </w:rPr>
      </w:pPr>
    </w:p>
    <w:p w:rsidR="008A767A" w:rsidRDefault="008A767A">
      <w:pPr>
        <w:pStyle w:val="Normal1"/>
        <w:ind w:firstLine="709"/>
        <w:rPr>
          <w:b/>
        </w:rPr>
      </w:pPr>
    </w:p>
    <w:p w:rsidR="008A767A" w:rsidRDefault="008A767A">
      <w:pPr>
        <w:pStyle w:val="Normal1"/>
        <w:ind w:firstLine="709"/>
        <w:rPr>
          <w:b/>
        </w:rPr>
      </w:pPr>
    </w:p>
    <w:p w:rsidR="008A767A" w:rsidRDefault="008A767A">
      <w:pPr>
        <w:pStyle w:val="Normal1"/>
        <w:ind w:firstLine="709"/>
        <w:rPr>
          <w:b/>
        </w:rPr>
      </w:pPr>
    </w:p>
    <w:p w:rsidR="008A767A" w:rsidRDefault="008A767A">
      <w:pPr>
        <w:pStyle w:val="Normal1"/>
        <w:ind w:firstLine="709"/>
        <w:rPr>
          <w:b/>
        </w:rPr>
      </w:pPr>
    </w:p>
    <w:p w:rsidR="008A767A" w:rsidRDefault="008A767A">
      <w:pPr>
        <w:pStyle w:val="Normal1"/>
        <w:ind w:firstLine="709"/>
        <w:rPr>
          <w:b/>
        </w:rPr>
      </w:pPr>
    </w:p>
    <w:p w:rsidR="008A767A" w:rsidRDefault="008A767A" w:rsidP="008A767A">
      <w:pPr>
        <w:pStyle w:val="Normal1"/>
        <w:ind w:firstLine="709"/>
        <w:jc w:val="center"/>
        <w:rPr>
          <w:b/>
          <w:sz w:val="28"/>
        </w:rPr>
      </w:pPr>
      <w:r w:rsidRPr="008A767A">
        <w:rPr>
          <w:b/>
          <w:sz w:val="28"/>
        </w:rPr>
        <w:lastRenderedPageBreak/>
        <w:t>EKLER</w:t>
      </w:r>
    </w:p>
    <w:p w:rsidR="008A767A" w:rsidRPr="008A767A" w:rsidRDefault="008A767A" w:rsidP="008A767A">
      <w:pPr>
        <w:pStyle w:val="Normal1"/>
        <w:ind w:firstLine="0"/>
        <w:rPr>
          <w:b/>
          <w:sz w:val="28"/>
        </w:rPr>
      </w:pPr>
      <w:r>
        <w:rPr>
          <w:b/>
          <w:sz w:val="28"/>
        </w:rPr>
        <w:t xml:space="preserve">Ek 1. </w:t>
      </w:r>
      <w:r w:rsidRPr="008A767A">
        <w:rPr>
          <w:sz w:val="28"/>
        </w:rPr>
        <w:t>Etik Kurul Onay</w:t>
      </w:r>
    </w:p>
    <w:p w:rsidR="008A767A" w:rsidRDefault="008A767A">
      <w:pPr>
        <w:pStyle w:val="Normal1"/>
        <w:spacing w:after="200" w:line="276" w:lineRule="auto"/>
        <w:ind w:firstLine="0"/>
        <w:jc w:val="left"/>
      </w:pPr>
    </w:p>
    <w:p w:rsidR="008A767A" w:rsidRDefault="008A767A" w:rsidP="008A767A">
      <w:pPr>
        <w:pStyle w:val="Normal1"/>
        <w:spacing w:after="200" w:line="276" w:lineRule="auto"/>
        <w:ind w:left="-1134" w:firstLine="0"/>
      </w:pPr>
      <w:r>
        <w:rPr>
          <w:noProof/>
        </w:rPr>
        <w:drawing>
          <wp:inline distT="0" distB="0" distL="0" distR="0">
            <wp:extent cx="7378437" cy="5214217"/>
            <wp:effectExtent l="0" t="1085850" r="0" b="1053465"/>
            <wp:docPr id="1" name="Resim 1" descr="C:\Users\Zeynep\AppData\Local\Microsoft\Windows\INetCache\Content.Word\20201017122327981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Zeynep\AppData\Local\Microsoft\Windows\INetCache\Content.Word\20201017122327981_0001.jpg"/>
                    <pic:cNvPicPr>
                      <a:picLocks noChangeAspect="1" noChangeArrowheads="1"/>
                    </pic:cNvPicPr>
                  </pic:nvPicPr>
                  <pic:blipFill>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5400000">
                      <a:off x="0" y="0"/>
                      <a:ext cx="7378437" cy="5214217"/>
                    </a:xfrm>
                    <a:prstGeom prst="rect">
                      <a:avLst/>
                    </a:prstGeom>
                    <a:noFill/>
                    <a:ln>
                      <a:noFill/>
                    </a:ln>
                  </pic:spPr>
                </pic:pic>
              </a:graphicData>
            </a:graphic>
          </wp:inline>
        </w:drawing>
      </w:r>
    </w:p>
    <w:p w:rsidR="005B77DC" w:rsidRDefault="004F6C22">
      <w:pPr>
        <w:pStyle w:val="Normal1"/>
        <w:spacing w:after="200" w:line="276" w:lineRule="auto"/>
        <w:ind w:firstLine="0"/>
        <w:jc w:val="left"/>
        <w:rPr>
          <w:b/>
          <w:sz w:val="28"/>
          <w:szCs w:val="28"/>
        </w:rPr>
      </w:pPr>
      <w:r>
        <w:br w:type="page"/>
      </w:r>
    </w:p>
    <w:p w:rsidR="005B77DC" w:rsidRDefault="004F6C22">
      <w:pPr>
        <w:pStyle w:val="Normal1"/>
        <w:ind w:firstLine="0"/>
        <w:jc w:val="center"/>
        <w:rPr>
          <w:b/>
          <w:sz w:val="28"/>
          <w:szCs w:val="28"/>
        </w:rPr>
      </w:pPr>
      <w:r>
        <w:rPr>
          <w:b/>
          <w:sz w:val="28"/>
          <w:szCs w:val="28"/>
        </w:rPr>
        <w:lastRenderedPageBreak/>
        <w:t>ÖZGEÇMİŞ</w:t>
      </w:r>
    </w:p>
    <w:p w:rsidR="005B77DC" w:rsidRDefault="005B77DC">
      <w:pPr>
        <w:pStyle w:val="Normal1"/>
        <w:ind w:firstLine="0"/>
        <w:jc w:val="center"/>
      </w:pPr>
    </w:p>
    <w:p w:rsidR="005B77DC" w:rsidRDefault="005B77DC">
      <w:pPr>
        <w:pStyle w:val="Normal1"/>
        <w:ind w:firstLine="0"/>
        <w:jc w:val="center"/>
      </w:pPr>
    </w:p>
    <w:tbl>
      <w:tblPr>
        <w:tblStyle w:val="a6"/>
        <w:tblW w:w="7370" w:type="dxa"/>
        <w:tblInd w:w="108" w:type="dxa"/>
        <w:tblLayout w:type="fixed"/>
        <w:tblLook w:val="0400"/>
      </w:tblPr>
      <w:tblGrid>
        <w:gridCol w:w="3119"/>
        <w:gridCol w:w="4251"/>
      </w:tblGrid>
      <w:tr w:rsidR="005B77DC">
        <w:trPr>
          <w:trHeight w:val="206"/>
        </w:trPr>
        <w:tc>
          <w:tcPr>
            <w:tcW w:w="3119" w:type="dxa"/>
          </w:tcPr>
          <w:p w:rsidR="005B77DC" w:rsidRDefault="004F6C22">
            <w:pPr>
              <w:pStyle w:val="Normal1"/>
              <w:ind w:firstLine="0"/>
            </w:pPr>
            <w:r>
              <w:rPr>
                <w:b/>
              </w:rPr>
              <w:t>Soyadı, Adı</w:t>
            </w:r>
          </w:p>
        </w:tc>
        <w:tc>
          <w:tcPr>
            <w:tcW w:w="4252" w:type="dxa"/>
          </w:tcPr>
          <w:p w:rsidR="005B77DC" w:rsidRDefault="004F6C22">
            <w:pPr>
              <w:pStyle w:val="Normal1"/>
              <w:ind w:firstLine="0"/>
            </w:pPr>
            <w:r>
              <w:t>: UYAR, Azime</w:t>
            </w:r>
          </w:p>
        </w:tc>
      </w:tr>
      <w:tr w:rsidR="005B77DC">
        <w:tc>
          <w:tcPr>
            <w:tcW w:w="3119" w:type="dxa"/>
          </w:tcPr>
          <w:p w:rsidR="005B77DC" w:rsidRDefault="004F6C22">
            <w:pPr>
              <w:pStyle w:val="Normal1"/>
              <w:tabs>
                <w:tab w:val="left" w:pos="3261"/>
              </w:tabs>
              <w:ind w:firstLine="0"/>
            </w:pPr>
            <w:proofErr w:type="gramStart"/>
            <w:r>
              <w:rPr>
                <w:b/>
              </w:rPr>
              <w:t>Uyruk</w:t>
            </w:r>
            <w:r>
              <w:t xml:space="preserve"> .</w:t>
            </w:r>
            <w:proofErr w:type="gramEnd"/>
          </w:p>
        </w:tc>
        <w:tc>
          <w:tcPr>
            <w:tcW w:w="4252" w:type="dxa"/>
          </w:tcPr>
          <w:p w:rsidR="005B77DC" w:rsidRDefault="004F6C22">
            <w:pPr>
              <w:pStyle w:val="Normal1"/>
              <w:ind w:firstLine="0"/>
            </w:pPr>
            <w:r>
              <w:t>: T.C.</w:t>
            </w:r>
          </w:p>
        </w:tc>
      </w:tr>
      <w:tr w:rsidR="005B77DC">
        <w:tc>
          <w:tcPr>
            <w:tcW w:w="3119" w:type="dxa"/>
          </w:tcPr>
          <w:p w:rsidR="005B77DC" w:rsidRDefault="004F6C22">
            <w:pPr>
              <w:pStyle w:val="Normal1"/>
              <w:tabs>
                <w:tab w:val="left" w:pos="3402"/>
              </w:tabs>
              <w:ind w:firstLine="0"/>
            </w:pPr>
            <w:r>
              <w:rPr>
                <w:b/>
              </w:rPr>
              <w:t>Doğum yeri ve tarihi</w:t>
            </w:r>
          </w:p>
        </w:tc>
        <w:tc>
          <w:tcPr>
            <w:tcW w:w="4252" w:type="dxa"/>
          </w:tcPr>
          <w:p w:rsidR="005B77DC" w:rsidRDefault="004F6C22">
            <w:pPr>
              <w:pStyle w:val="Normal1"/>
              <w:ind w:firstLine="0"/>
            </w:pPr>
            <w:r>
              <w:t>: Aydın / 02.07.1982</w:t>
            </w:r>
          </w:p>
        </w:tc>
      </w:tr>
      <w:tr w:rsidR="005B77DC">
        <w:tc>
          <w:tcPr>
            <w:tcW w:w="3119" w:type="dxa"/>
          </w:tcPr>
          <w:p w:rsidR="005B77DC" w:rsidRDefault="004F6C22">
            <w:pPr>
              <w:pStyle w:val="Normal1"/>
              <w:tabs>
                <w:tab w:val="left" w:pos="3261"/>
                <w:tab w:val="left" w:pos="3402"/>
              </w:tabs>
              <w:ind w:firstLine="0"/>
            </w:pPr>
            <w:r>
              <w:rPr>
                <w:b/>
              </w:rPr>
              <w:t>E-mail</w:t>
            </w:r>
          </w:p>
        </w:tc>
        <w:tc>
          <w:tcPr>
            <w:tcW w:w="4252" w:type="dxa"/>
          </w:tcPr>
          <w:p w:rsidR="005B77DC" w:rsidRDefault="004F6C22">
            <w:pPr>
              <w:pStyle w:val="Normal1"/>
              <w:ind w:firstLine="0"/>
            </w:pPr>
            <w:r>
              <w:t>: azimeseven@gmail.com</w:t>
            </w:r>
          </w:p>
        </w:tc>
      </w:tr>
      <w:tr w:rsidR="005B77DC">
        <w:tc>
          <w:tcPr>
            <w:tcW w:w="3119" w:type="dxa"/>
          </w:tcPr>
          <w:p w:rsidR="005B77DC" w:rsidRDefault="004F6C22">
            <w:pPr>
              <w:pStyle w:val="Normal1"/>
              <w:ind w:firstLine="0"/>
            </w:pPr>
            <w:r>
              <w:rPr>
                <w:b/>
              </w:rPr>
              <w:t>Yabancı Dil</w:t>
            </w:r>
          </w:p>
        </w:tc>
        <w:tc>
          <w:tcPr>
            <w:tcW w:w="4252" w:type="dxa"/>
          </w:tcPr>
          <w:p w:rsidR="005B77DC" w:rsidRDefault="004F6C22">
            <w:pPr>
              <w:pStyle w:val="Normal1"/>
              <w:ind w:firstLine="0"/>
            </w:pPr>
            <w:r>
              <w:t xml:space="preserve">: İngilizce </w:t>
            </w:r>
          </w:p>
        </w:tc>
      </w:tr>
    </w:tbl>
    <w:p w:rsidR="005B77DC" w:rsidRDefault="005B77DC">
      <w:pPr>
        <w:pStyle w:val="Normal1"/>
        <w:tabs>
          <w:tab w:val="left" w:pos="3261"/>
        </w:tabs>
        <w:ind w:firstLine="0"/>
        <w:rPr>
          <w:sz w:val="22"/>
          <w:szCs w:val="22"/>
        </w:rPr>
      </w:pPr>
    </w:p>
    <w:p w:rsidR="005B77DC" w:rsidRDefault="004F6C22">
      <w:pPr>
        <w:pStyle w:val="Normal1"/>
        <w:tabs>
          <w:tab w:val="left" w:pos="3360"/>
        </w:tabs>
        <w:ind w:firstLine="0"/>
      </w:pPr>
      <w:r>
        <w:rPr>
          <w:b/>
        </w:rPr>
        <w:t>EĞİTİM</w:t>
      </w:r>
    </w:p>
    <w:tbl>
      <w:tblPr>
        <w:tblStyle w:val="a7"/>
        <w:tblW w:w="8767" w:type="dxa"/>
        <w:jc w:val="center"/>
        <w:tblInd w:w="0" w:type="dxa"/>
        <w:tblLayout w:type="fixed"/>
        <w:tblLook w:val="0400"/>
      </w:tblPr>
      <w:tblGrid>
        <w:gridCol w:w="1430"/>
        <w:gridCol w:w="4511"/>
        <w:gridCol w:w="2826"/>
      </w:tblGrid>
      <w:tr w:rsidR="005B77DC">
        <w:trPr>
          <w:trHeight w:val="20"/>
          <w:jc w:val="center"/>
        </w:trPr>
        <w:tc>
          <w:tcPr>
            <w:tcW w:w="1430" w:type="dxa"/>
            <w:tcBorders>
              <w:top w:val="single" w:sz="4" w:space="0" w:color="000000"/>
              <w:bottom w:val="single" w:sz="4" w:space="0" w:color="000000"/>
            </w:tcBorders>
          </w:tcPr>
          <w:p w:rsidR="005B77DC" w:rsidRDefault="004F6C22">
            <w:pPr>
              <w:pStyle w:val="Normal1"/>
              <w:tabs>
                <w:tab w:val="left" w:pos="3360"/>
              </w:tabs>
              <w:ind w:firstLine="0"/>
              <w:rPr>
                <w:b/>
              </w:rPr>
            </w:pPr>
            <w:r>
              <w:rPr>
                <w:b/>
              </w:rPr>
              <w:t>Derece</w:t>
            </w:r>
          </w:p>
        </w:tc>
        <w:tc>
          <w:tcPr>
            <w:tcW w:w="4511" w:type="dxa"/>
            <w:tcBorders>
              <w:top w:val="single" w:sz="4" w:space="0" w:color="000000"/>
              <w:bottom w:val="single" w:sz="4" w:space="0" w:color="000000"/>
            </w:tcBorders>
          </w:tcPr>
          <w:p w:rsidR="005B77DC" w:rsidRDefault="004F6C22">
            <w:pPr>
              <w:pStyle w:val="Normal1"/>
              <w:tabs>
                <w:tab w:val="left" w:pos="3360"/>
              </w:tabs>
              <w:ind w:firstLine="0"/>
              <w:rPr>
                <w:b/>
              </w:rPr>
            </w:pPr>
            <w:r>
              <w:rPr>
                <w:b/>
              </w:rPr>
              <w:t>Kurum</w:t>
            </w:r>
          </w:p>
        </w:tc>
        <w:tc>
          <w:tcPr>
            <w:tcW w:w="2826" w:type="dxa"/>
            <w:tcBorders>
              <w:top w:val="single" w:sz="4" w:space="0" w:color="000000"/>
              <w:bottom w:val="single" w:sz="4" w:space="0" w:color="000000"/>
            </w:tcBorders>
          </w:tcPr>
          <w:p w:rsidR="005B77DC" w:rsidRDefault="004F6C22">
            <w:pPr>
              <w:pStyle w:val="Normal1"/>
              <w:tabs>
                <w:tab w:val="left" w:pos="3360"/>
              </w:tabs>
              <w:ind w:firstLine="0"/>
              <w:rPr>
                <w:b/>
              </w:rPr>
            </w:pPr>
            <w:r>
              <w:rPr>
                <w:b/>
              </w:rPr>
              <w:t>Mezuniyet tarihi</w:t>
            </w:r>
          </w:p>
        </w:tc>
      </w:tr>
      <w:tr w:rsidR="005B77DC">
        <w:trPr>
          <w:trHeight w:val="20"/>
          <w:jc w:val="center"/>
        </w:trPr>
        <w:tc>
          <w:tcPr>
            <w:tcW w:w="1430" w:type="dxa"/>
            <w:tcBorders>
              <w:top w:val="single" w:sz="4" w:space="0" w:color="000000"/>
            </w:tcBorders>
          </w:tcPr>
          <w:p w:rsidR="005B77DC" w:rsidRDefault="004F6C22">
            <w:pPr>
              <w:pStyle w:val="Normal1"/>
              <w:tabs>
                <w:tab w:val="left" w:pos="3360"/>
              </w:tabs>
              <w:ind w:firstLine="0"/>
              <w:jc w:val="left"/>
            </w:pPr>
            <w:r>
              <w:t>Y. Lisans</w:t>
            </w:r>
          </w:p>
        </w:tc>
        <w:tc>
          <w:tcPr>
            <w:tcW w:w="4511" w:type="dxa"/>
            <w:tcBorders>
              <w:top w:val="single" w:sz="4" w:space="0" w:color="000000"/>
            </w:tcBorders>
          </w:tcPr>
          <w:p w:rsidR="005B77DC" w:rsidRDefault="004F6C22">
            <w:pPr>
              <w:pStyle w:val="Normal1"/>
              <w:tabs>
                <w:tab w:val="left" w:pos="3360"/>
              </w:tabs>
              <w:ind w:firstLine="0"/>
              <w:jc w:val="left"/>
            </w:pPr>
            <w:r>
              <w:t>Adnan Menderes Üniversitesi</w:t>
            </w:r>
          </w:p>
          <w:p w:rsidR="005B77DC" w:rsidRDefault="004F6C22">
            <w:pPr>
              <w:pStyle w:val="Normal1"/>
              <w:tabs>
                <w:tab w:val="left" w:pos="3360"/>
              </w:tabs>
              <w:ind w:firstLine="0"/>
              <w:jc w:val="left"/>
            </w:pPr>
            <w:r>
              <w:t>Kök Hücre ve Rejeneratif Tıp Bölümü</w:t>
            </w:r>
          </w:p>
        </w:tc>
        <w:tc>
          <w:tcPr>
            <w:tcW w:w="2826" w:type="dxa"/>
            <w:tcBorders>
              <w:top w:val="single" w:sz="4" w:space="0" w:color="000000"/>
            </w:tcBorders>
          </w:tcPr>
          <w:p w:rsidR="005B77DC" w:rsidRDefault="004F6C22">
            <w:pPr>
              <w:pStyle w:val="Normal1"/>
              <w:tabs>
                <w:tab w:val="left" w:pos="3360"/>
              </w:tabs>
              <w:ind w:firstLine="0"/>
              <w:jc w:val="left"/>
            </w:pPr>
            <w:r>
              <w:t>2017-devam</w:t>
            </w:r>
          </w:p>
        </w:tc>
      </w:tr>
      <w:tr w:rsidR="005B77DC">
        <w:trPr>
          <w:trHeight w:val="20"/>
          <w:jc w:val="center"/>
        </w:trPr>
        <w:tc>
          <w:tcPr>
            <w:tcW w:w="1430" w:type="dxa"/>
          </w:tcPr>
          <w:p w:rsidR="005B77DC" w:rsidRDefault="004F6C22">
            <w:pPr>
              <w:pStyle w:val="Normal1"/>
              <w:tabs>
                <w:tab w:val="left" w:pos="3360"/>
              </w:tabs>
              <w:ind w:firstLine="0"/>
              <w:jc w:val="left"/>
            </w:pPr>
            <w:r>
              <w:t>Tezsiz Y.L.</w:t>
            </w:r>
          </w:p>
        </w:tc>
        <w:tc>
          <w:tcPr>
            <w:tcW w:w="4511" w:type="dxa"/>
          </w:tcPr>
          <w:p w:rsidR="005B77DC" w:rsidRDefault="004F6C22">
            <w:pPr>
              <w:pStyle w:val="Normal1"/>
              <w:tabs>
                <w:tab w:val="left" w:pos="3360"/>
              </w:tabs>
              <w:ind w:firstLine="0"/>
              <w:jc w:val="left"/>
            </w:pPr>
            <w:r>
              <w:t>Adnan Menderes Üniversitesi Eğitim Fakültesi Biyoloji Öğretmenliği</w:t>
            </w:r>
          </w:p>
        </w:tc>
        <w:tc>
          <w:tcPr>
            <w:tcW w:w="2826" w:type="dxa"/>
          </w:tcPr>
          <w:p w:rsidR="005B77DC" w:rsidRDefault="004F6C22">
            <w:pPr>
              <w:pStyle w:val="Normal1"/>
              <w:ind w:firstLine="0"/>
              <w:jc w:val="left"/>
            </w:pPr>
            <w:r>
              <w:t>2012-2013</w:t>
            </w:r>
          </w:p>
        </w:tc>
      </w:tr>
      <w:tr w:rsidR="005B77DC">
        <w:trPr>
          <w:trHeight w:val="20"/>
          <w:jc w:val="center"/>
        </w:trPr>
        <w:tc>
          <w:tcPr>
            <w:tcW w:w="1430" w:type="dxa"/>
          </w:tcPr>
          <w:p w:rsidR="005B77DC" w:rsidRDefault="004F6C22">
            <w:pPr>
              <w:pStyle w:val="Normal1"/>
              <w:tabs>
                <w:tab w:val="left" w:pos="3360"/>
              </w:tabs>
              <w:ind w:firstLine="0"/>
              <w:jc w:val="left"/>
            </w:pPr>
            <w:r>
              <w:t>Lisans</w:t>
            </w:r>
          </w:p>
        </w:tc>
        <w:tc>
          <w:tcPr>
            <w:tcW w:w="4511" w:type="dxa"/>
          </w:tcPr>
          <w:p w:rsidR="005B77DC" w:rsidRDefault="004F6C22">
            <w:pPr>
              <w:pStyle w:val="Normal1"/>
              <w:tabs>
                <w:tab w:val="left" w:pos="3360"/>
              </w:tabs>
              <w:ind w:firstLine="0"/>
              <w:jc w:val="left"/>
            </w:pPr>
            <w:r>
              <w:t>Anadolu Üniversitesi İşletme Fakültesi</w:t>
            </w:r>
          </w:p>
        </w:tc>
        <w:tc>
          <w:tcPr>
            <w:tcW w:w="2826" w:type="dxa"/>
          </w:tcPr>
          <w:p w:rsidR="005B77DC" w:rsidRDefault="004F6C22">
            <w:pPr>
              <w:pStyle w:val="Normal1"/>
              <w:ind w:firstLine="0"/>
              <w:jc w:val="left"/>
            </w:pPr>
            <w:r>
              <w:t>2012-devam</w:t>
            </w:r>
          </w:p>
        </w:tc>
      </w:tr>
      <w:tr w:rsidR="005B77DC">
        <w:trPr>
          <w:trHeight w:val="20"/>
          <w:jc w:val="center"/>
        </w:trPr>
        <w:tc>
          <w:tcPr>
            <w:tcW w:w="1430" w:type="dxa"/>
            <w:tcBorders>
              <w:bottom w:val="single" w:sz="4" w:space="0" w:color="000000"/>
            </w:tcBorders>
          </w:tcPr>
          <w:p w:rsidR="005B77DC" w:rsidRDefault="004F6C22">
            <w:pPr>
              <w:pStyle w:val="Normal1"/>
              <w:tabs>
                <w:tab w:val="left" w:pos="3360"/>
              </w:tabs>
              <w:ind w:firstLine="0"/>
              <w:jc w:val="left"/>
            </w:pPr>
            <w:r>
              <w:t>Lisans</w:t>
            </w:r>
          </w:p>
        </w:tc>
        <w:tc>
          <w:tcPr>
            <w:tcW w:w="4511" w:type="dxa"/>
            <w:tcBorders>
              <w:bottom w:val="single" w:sz="4" w:space="0" w:color="000000"/>
            </w:tcBorders>
          </w:tcPr>
          <w:p w:rsidR="005B77DC" w:rsidRDefault="004F6C22">
            <w:pPr>
              <w:pStyle w:val="Normal1"/>
              <w:tabs>
                <w:tab w:val="left" w:pos="3360"/>
              </w:tabs>
              <w:ind w:firstLine="0"/>
              <w:jc w:val="left"/>
            </w:pPr>
            <w:r>
              <w:t>Ankara Üniversitesi Fen Fakültesi Biyoloji Bölümü</w:t>
            </w:r>
          </w:p>
        </w:tc>
        <w:tc>
          <w:tcPr>
            <w:tcW w:w="2826" w:type="dxa"/>
            <w:tcBorders>
              <w:bottom w:val="single" w:sz="4" w:space="0" w:color="000000"/>
            </w:tcBorders>
          </w:tcPr>
          <w:p w:rsidR="005B77DC" w:rsidRDefault="004F6C22">
            <w:pPr>
              <w:pStyle w:val="Normal1"/>
              <w:tabs>
                <w:tab w:val="left" w:pos="3360"/>
              </w:tabs>
              <w:ind w:firstLine="0"/>
              <w:jc w:val="left"/>
            </w:pPr>
            <w:r>
              <w:t>2001-2005</w:t>
            </w:r>
          </w:p>
        </w:tc>
      </w:tr>
    </w:tbl>
    <w:p w:rsidR="005B77DC" w:rsidRDefault="005B77DC">
      <w:pPr>
        <w:pStyle w:val="Normal1"/>
        <w:tabs>
          <w:tab w:val="left" w:pos="3360"/>
        </w:tabs>
        <w:ind w:firstLine="0"/>
        <w:rPr>
          <w:b/>
        </w:rPr>
      </w:pPr>
    </w:p>
    <w:p w:rsidR="005B77DC" w:rsidRDefault="004F6C22">
      <w:pPr>
        <w:pStyle w:val="Normal1"/>
        <w:tabs>
          <w:tab w:val="left" w:pos="3360"/>
        </w:tabs>
        <w:ind w:firstLine="0"/>
        <w:rPr>
          <w:b/>
        </w:rPr>
      </w:pPr>
      <w:r>
        <w:rPr>
          <w:b/>
        </w:rPr>
        <w:t>İŞ DENEYİMİ</w:t>
      </w:r>
    </w:p>
    <w:tbl>
      <w:tblPr>
        <w:tblStyle w:val="a8"/>
        <w:tblW w:w="8679" w:type="dxa"/>
        <w:jc w:val="center"/>
        <w:tblInd w:w="0" w:type="dxa"/>
        <w:tblLayout w:type="fixed"/>
        <w:tblLook w:val="0400"/>
      </w:tblPr>
      <w:tblGrid>
        <w:gridCol w:w="2499"/>
        <w:gridCol w:w="3930"/>
        <w:gridCol w:w="2250"/>
      </w:tblGrid>
      <w:tr w:rsidR="005B77DC">
        <w:trPr>
          <w:trHeight w:val="431"/>
          <w:jc w:val="center"/>
        </w:trPr>
        <w:tc>
          <w:tcPr>
            <w:tcW w:w="2499" w:type="dxa"/>
            <w:tcBorders>
              <w:top w:val="single" w:sz="4" w:space="0" w:color="000000"/>
              <w:bottom w:val="single" w:sz="4" w:space="0" w:color="000000"/>
            </w:tcBorders>
          </w:tcPr>
          <w:p w:rsidR="005B77DC" w:rsidRDefault="004F6C22">
            <w:pPr>
              <w:pStyle w:val="Normal1"/>
              <w:tabs>
                <w:tab w:val="left" w:pos="3360"/>
              </w:tabs>
              <w:ind w:firstLine="0"/>
              <w:rPr>
                <w:b/>
              </w:rPr>
            </w:pPr>
            <w:r>
              <w:rPr>
                <w:b/>
              </w:rPr>
              <w:t>Yıl</w:t>
            </w:r>
          </w:p>
        </w:tc>
        <w:tc>
          <w:tcPr>
            <w:tcW w:w="3930" w:type="dxa"/>
            <w:tcBorders>
              <w:top w:val="single" w:sz="4" w:space="0" w:color="000000"/>
              <w:bottom w:val="single" w:sz="4" w:space="0" w:color="000000"/>
            </w:tcBorders>
          </w:tcPr>
          <w:p w:rsidR="005B77DC" w:rsidRDefault="004F6C22">
            <w:pPr>
              <w:pStyle w:val="Normal1"/>
              <w:tabs>
                <w:tab w:val="left" w:pos="3360"/>
              </w:tabs>
              <w:ind w:firstLine="0"/>
              <w:rPr>
                <w:b/>
              </w:rPr>
            </w:pPr>
            <w:r>
              <w:rPr>
                <w:b/>
              </w:rPr>
              <w:t>Yer/Kurum</w:t>
            </w:r>
          </w:p>
        </w:tc>
        <w:tc>
          <w:tcPr>
            <w:tcW w:w="2250" w:type="dxa"/>
            <w:tcBorders>
              <w:top w:val="single" w:sz="4" w:space="0" w:color="000000"/>
              <w:bottom w:val="single" w:sz="4" w:space="0" w:color="000000"/>
            </w:tcBorders>
          </w:tcPr>
          <w:p w:rsidR="005B77DC" w:rsidRDefault="004F6C22">
            <w:pPr>
              <w:pStyle w:val="Normal1"/>
              <w:tabs>
                <w:tab w:val="left" w:pos="3360"/>
              </w:tabs>
              <w:ind w:firstLine="0"/>
              <w:rPr>
                <w:b/>
              </w:rPr>
            </w:pPr>
            <w:r>
              <w:rPr>
                <w:b/>
              </w:rPr>
              <w:t>Ünvan</w:t>
            </w:r>
          </w:p>
        </w:tc>
      </w:tr>
      <w:tr w:rsidR="005B77DC">
        <w:trPr>
          <w:trHeight w:val="405"/>
          <w:jc w:val="center"/>
        </w:trPr>
        <w:tc>
          <w:tcPr>
            <w:tcW w:w="2499" w:type="dxa"/>
            <w:tcBorders>
              <w:top w:val="single" w:sz="4" w:space="0" w:color="000000"/>
            </w:tcBorders>
          </w:tcPr>
          <w:p w:rsidR="005B77DC" w:rsidRDefault="004F6C22">
            <w:pPr>
              <w:pStyle w:val="Normal1"/>
              <w:tabs>
                <w:tab w:val="left" w:pos="3360"/>
              </w:tabs>
              <w:ind w:firstLine="0"/>
            </w:pPr>
            <w:r>
              <w:t>2006-2007</w:t>
            </w:r>
          </w:p>
        </w:tc>
        <w:tc>
          <w:tcPr>
            <w:tcW w:w="3930" w:type="dxa"/>
            <w:tcBorders>
              <w:top w:val="single" w:sz="4" w:space="0" w:color="000000"/>
            </w:tcBorders>
          </w:tcPr>
          <w:p w:rsidR="005B77DC" w:rsidRDefault="004F6C22">
            <w:pPr>
              <w:pStyle w:val="Normal1"/>
              <w:tabs>
                <w:tab w:val="left" w:pos="3360"/>
              </w:tabs>
              <w:ind w:firstLine="0"/>
            </w:pPr>
            <w:r>
              <w:t>Özel Aydoğan Polikliniği</w:t>
            </w:r>
          </w:p>
        </w:tc>
        <w:tc>
          <w:tcPr>
            <w:tcW w:w="2250" w:type="dxa"/>
            <w:tcBorders>
              <w:top w:val="single" w:sz="4" w:space="0" w:color="000000"/>
            </w:tcBorders>
          </w:tcPr>
          <w:p w:rsidR="005B77DC" w:rsidRDefault="004F6C22">
            <w:pPr>
              <w:pStyle w:val="Normal1"/>
              <w:tabs>
                <w:tab w:val="left" w:pos="3360"/>
              </w:tabs>
              <w:ind w:firstLine="0"/>
            </w:pPr>
            <w:r>
              <w:t xml:space="preserve">Biyolog  </w:t>
            </w:r>
          </w:p>
        </w:tc>
      </w:tr>
      <w:tr w:rsidR="005B77DC">
        <w:trPr>
          <w:trHeight w:val="435"/>
          <w:jc w:val="center"/>
        </w:trPr>
        <w:tc>
          <w:tcPr>
            <w:tcW w:w="2499" w:type="dxa"/>
            <w:tcBorders>
              <w:bottom w:val="single" w:sz="4" w:space="0" w:color="000000"/>
            </w:tcBorders>
          </w:tcPr>
          <w:p w:rsidR="005B77DC" w:rsidRDefault="004F6C22">
            <w:pPr>
              <w:pStyle w:val="Normal1"/>
              <w:tabs>
                <w:tab w:val="left" w:pos="3360"/>
              </w:tabs>
              <w:ind w:firstLine="0"/>
            </w:pPr>
            <w:r>
              <w:t>2007-devam</w:t>
            </w:r>
          </w:p>
        </w:tc>
        <w:tc>
          <w:tcPr>
            <w:tcW w:w="3930" w:type="dxa"/>
            <w:tcBorders>
              <w:bottom w:val="single" w:sz="4" w:space="0" w:color="000000"/>
            </w:tcBorders>
          </w:tcPr>
          <w:p w:rsidR="005B77DC" w:rsidRDefault="004F6C22">
            <w:pPr>
              <w:pStyle w:val="Normal1"/>
              <w:tabs>
                <w:tab w:val="left" w:pos="3360"/>
              </w:tabs>
              <w:ind w:firstLine="0"/>
            </w:pPr>
            <w:r>
              <w:t>Adnan Menderes Üniversitesi Uygulama ve Araştırma Hastanesi Biyokimya Laboratuvarı</w:t>
            </w:r>
          </w:p>
        </w:tc>
        <w:tc>
          <w:tcPr>
            <w:tcW w:w="2250" w:type="dxa"/>
            <w:tcBorders>
              <w:bottom w:val="single" w:sz="4" w:space="0" w:color="000000"/>
            </w:tcBorders>
          </w:tcPr>
          <w:p w:rsidR="005B77DC" w:rsidRDefault="004F6C22">
            <w:pPr>
              <w:pStyle w:val="Normal1"/>
              <w:tabs>
                <w:tab w:val="left" w:pos="3360"/>
              </w:tabs>
              <w:ind w:firstLine="0"/>
            </w:pPr>
            <w:r>
              <w:t>Biyolog</w:t>
            </w:r>
          </w:p>
        </w:tc>
      </w:tr>
    </w:tbl>
    <w:p w:rsidR="005B77DC" w:rsidRDefault="005B77DC">
      <w:pPr>
        <w:pStyle w:val="Normal1"/>
        <w:tabs>
          <w:tab w:val="left" w:pos="2620"/>
          <w:tab w:val="left" w:pos="3540"/>
        </w:tabs>
        <w:ind w:firstLine="0"/>
        <w:rPr>
          <w:b/>
        </w:rPr>
      </w:pPr>
    </w:p>
    <w:p w:rsidR="005B77DC" w:rsidRPr="00661131" w:rsidRDefault="004F6C22">
      <w:pPr>
        <w:pStyle w:val="Normal1"/>
        <w:tabs>
          <w:tab w:val="left" w:pos="2620"/>
          <w:tab w:val="left" w:pos="3540"/>
        </w:tabs>
        <w:ind w:firstLine="0"/>
        <w:rPr>
          <w:b/>
        </w:rPr>
      </w:pPr>
      <w:r w:rsidRPr="00661131">
        <w:rPr>
          <w:b/>
        </w:rPr>
        <w:t>SERTİFİKALAR</w:t>
      </w:r>
    </w:p>
    <w:p w:rsidR="005B77DC" w:rsidRPr="00661131" w:rsidRDefault="004F6C22">
      <w:pPr>
        <w:pStyle w:val="Normal1"/>
        <w:tabs>
          <w:tab w:val="left" w:pos="2620"/>
          <w:tab w:val="left" w:pos="3540"/>
        </w:tabs>
        <w:ind w:firstLine="0"/>
      </w:pPr>
      <w:r w:rsidRPr="00661131">
        <w:t>1. Abbott-Architect C8000/ i2000 model Otamatikleştirilmiş Kimya Analiz Cihazı eğitim sertifikası, Adnan Menderes Uygulama ve Araştırma Hastanesi, sertifika, 20.11.2019 (ulusal)</w:t>
      </w:r>
    </w:p>
    <w:p w:rsidR="005B77DC" w:rsidRPr="00661131" w:rsidRDefault="004F6C22">
      <w:pPr>
        <w:pStyle w:val="Normal1"/>
        <w:tabs>
          <w:tab w:val="left" w:pos="2620"/>
          <w:tab w:val="left" w:pos="3540"/>
        </w:tabs>
        <w:ind w:firstLine="0"/>
      </w:pPr>
      <w:r w:rsidRPr="00661131">
        <w:t>2. ABL-800 model kan gazı cihazı eğitim sertifikası, Adnan Menderes Uygulama ve Araştırma Hastanesi, sertifika, 19.11.2019 (ulusal)</w:t>
      </w:r>
    </w:p>
    <w:p w:rsidR="005B77DC" w:rsidRPr="00661131" w:rsidRDefault="004F6C22">
      <w:pPr>
        <w:pStyle w:val="Normal1"/>
        <w:tabs>
          <w:tab w:val="left" w:pos="2620"/>
          <w:tab w:val="left" w:pos="3540"/>
        </w:tabs>
        <w:ind w:firstLine="0"/>
      </w:pPr>
      <w:r w:rsidRPr="00661131">
        <w:t>3. URIT 1600-1280 model idrar cihazı eğitim sertifikası, Adnan Menderes Uygulama ve Araştırma Hastanesi, sertifika, 18.11.2019 (ulusal)</w:t>
      </w:r>
    </w:p>
    <w:p w:rsidR="005B77DC" w:rsidRPr="00661131" w:rsidRDefault="004F6C22">
      <w:pPr>
        <w:pStyle w:val="Normal1"/>
        <w:tabs>
          <w:tab w:val="left" w:pos="2620"/>
          <w:tab w:val="left" w:pos="3540"/>
        </w:tabs>
        <w:ind w:firstLine="0"/>
      </w:pPr>
      <w:r w:rsidRPr="00661131">
        <w:lastRenderedPageBreak/>
        <w:t>4. Siemens PFA-100 model manuel trombosit aggregasyonu cihazı eğitim sertifikası, Adnan Menderes Uygulama ve Araştırma Hastanesi, sertifika, 2017 (ulusal)</w:t>
      </w:r>
    </w:p>
    <w:p w:rsidR="005B77DC" w:rsidRPr="00661131" w:rsidRDefault="004F6C22">
      <w:pPr>
        <w:pStyle w:val="Normal1"/>
        <w:tabs>
          <w:tab w:val="left" w:pos="2620"/>
          <w:tab w:val="left" w:pos="3540"/>
        </w:tabs>
        <w:ind w:firstLine="0"/>
      </w:pPr>
      <w:r w:rsidRPr="00661131">
        <w:t xml:space="preserve">5. HP Agilent 1100 model HPLC cihazı teorik ve pratik eğitimi, Adnan Menderes Uygulama ve Araştırma Hastanesi, sertifika, 02.03.2015 -05.03.2015 (ulusal)       </w:t>
      </w:r>
    </w:p>
    <w:p w:rsidR="005B77DC" w:rsidRPr="00661131" w:rsidRDefault="004F6C22">
      <w:pPr>
        <w:pStyle w:val="Normal1"/>
        <w:tabs>
          <w:tab w:val="left" w:pos="2620"/>
          <w:tab w:val="left" w:pos="3540"/>
        </w:tabs>
        <w:ind w:firstLine="0"/>
      </w:pPr>
      <w:r w:rsidRPr="00661131">
        <w:t xml:space="preserve">6. Mindray BC-6800 model Otomatik Hematoloji Analizörü ürün ve aplikasyon eğititim sertifikası, Adnan Menderes Uygulama ve Araştırma Hastanesi, sertifika, 11.05.2015 -15.05.2015 (ulusal)       </w:t>
      </w:r>
    </w:p>
    <w:p w:rsidR="005B77DC" w:rsidRPr="00661131" w:rsidRDefault="004F6C22">
      <w:pPr>
        <w:pStyle w:val="Normal1"/>
        <w:tabs>
          <w:tab w:val="left" w:pos="2620"/>
          <w:tab w:val="left" w:pos="3540"/>
        </w:tabs>
        <w:ind w:firstLine="0"/>
      </w:pPr>
      <w:r w:rsidRPr="00661131">
        <w:t xml:space="preserve">7. ISO 9001-2008 Mediko Dardanel Berkhun model tam otomatik sedim cihazı eğitim sertifikası, Adnan Menderes Üniversitesi Uygulama ve Araştırma Hastanesi, sertifika, 15.05.2015 (ulusal)       </w:t>
      </w:r>
    </w:p>
    <w:p w:rsidR="005B77DC" w:rsidRPr="00661131" w:rsidRDefault="004F6C22">
      <w:pPr>
        <w:pStyle w:val="Normal1"/>
        <w:tabs>
          <w:tab w:val="left" w:pos="2620"/>
          <w:tab w:val="left" w:pos="3540"/>
        </w:tabs>
        <w:ind w:firstLine="0"/>
      </w:pPr>
      <w:r w:rsidRPr="00661131">
        <w:t xml:space="preserve">8. Sysmex xt-2000i model Otomatik Hematoloji Analizörü eğitim sertifikası, Adnan Menderes Üniversitesi Uygulama ve Araştırma Hastanesi, sertifika, 28.06.2014 -30.06.2014 (ulusal)       </w:t>
      </w:r>
    </w:p>
    <w:p w:rsidR="005B77DC" w:rsidRPr="00661131" w:rsidRDefault="004F6C22">
      <w:pPr>
        <w:pStyle w:val="Normal1"/>
        <w:tabs>
          <w:tab w:val="left" w:pos="2620"/>
          <w:tab w:val="left" w:pos="3540"/>
        </w:tabs>
        <w:ind w:firstLine="0"/>
      </w:pPr>
      <w:r w:rsidRPr="00661131">
        <w:t xml:space="preserve">9. Siemens BCSXP model Koagülasyon cihazı, Gazikimya eğitim sertifikası, Adnan Menderes Üniversitesi Uygulama ve Araştırma Hastanesi, sertifika, 01.06.2014 -03.06.2014 (ulusal) </w:t>
      </w:r>
    </w:p>
    <w:p w:rsidR="005B77DC" w:rsidRPr="00661131" w:rsidRDefault="004F6C22">
      <w:pPr>
        <w:pStyle w:val="Normal1"/>
        <w:tabs>
          <w:tab w:val="left" w:pos="2620"/>
          <w:tab w:val="left" w:pos="3540"/>
        </w:tabs>
        <w:ind w:firstLine="0"/>
      </w:pPr>
      <w:r w:rsidRPr="00661131">
        <w:t xml:space="preserve">10. Chrono-log marka aggrogometre 810CA model, Albio eğitim sertifikası, Adnan Menderes Üniversitesi Tıp Fakültesi, sertifika, 24.06.2009 (ulusal) </w:t>
      </w:r>
    </w:p>
    <w:p w:rsidR="005B77DC" w:rsidRPr="00661131" w:rsidRDefault="004F6C22">
      <w:pPr>
        <w:pStyle w:val="Normal1"/>
        <w:tabs>
          <w:tab w:val="left" w:pos="2620"/>
          <w:tab w:val="left" w:pos="3540"/>
        </w:tabs>
        <w:ind w:firstLine="0"/>
      </w:pPr>
      <w:r w:rsidRPr="00661131">
        <w:t xml:space="preserve">11. Rapida ESR-120 model tam otomatik sedimantasyon cihazı eğitim sertifikası, Adnan Menderes Üniversitesi Tıp Fakültesi, sertifika, 2009 (ulusal) </w:t>
      </w:r>
    </w:p>
    <w:p w:rsidR="005B77DC" w:rsidRPr="00661131" w:rsidRDefault="005B77DC">
      <w:pPr>
        <w:pStyle w:val="Normal1"/>
        <w:tabs>
          <w:tab w:val="left" w:pos="2620"/>
          <w:tab w:val="left" w:pos="3540"/>
        </w:tabs>
        <w:ind w:firstLine="0"/>
      </w:pPr>
    </w:p>
    <w:p w:rsidR="005B77DC" w:rsidRPr="00661131" w:rsidRDefault="004F6C22">
      <w:pPr>
        <w:pStyle w:val="Normal1"/>
        <w:ind w:firstLine="0"/>
        <w:rPr>
          <w:b/>
          <w:color w:val="000000"/>
        </w:rPr>
      </w:pPr>
      <w:r w:rsidRPr="00661131">
        <w:rPr>
          <w:b/>
          <w:color w:val="000000"/>
        </w:rPr>
        <w:t>KATILIM BELGESİ</w:t>
      </w:r>
    </w:p>
    <w:p w:rsidR="005B77DC" w:rsidRPr="00661131" w:rsidRDefault="004F6C22">
      <w:pPr>
        <w:pStyle w:val="Normal1"/>
        <w:ind w:firstLine="0"/>
        <w:rPr>
          <w:color w:val="000000"/>
        </w:rPr>
      </w:pPr>
      <w:r w:rsidRPr="00661131">
        <w:rPr>
          <w:color w:val="000000"/>
        </w:rPr>
        <w:t xml:space="preserve">1. İlk Yardım Eğitimi, </w:t>
      </w:r>
      <w:r w:rsidRPr="00661131">
        <w:t>Adnan Menederes Üniversitesi Uygulama ve Araştırma Hastanesi, 09.05.2019, Aydın</w:t>
      </w:r>
    </w:p>
    <w:p w:rsidR="005B77DC" w:rsidRPr="00661131" w:rsidRDefault="004F6C22">
      <w:pPr>
        <w:pStyle w:val="Normal1"/>
        <w:tabs>
          <w:tab w:val="left" w:pos="2620"/>
          <w:tab w:val="left" w:pos="3540"/>
        </w:tabs>
        <w:ind w:firstLine="0"/>
      </w:pPr>
      <w:r w:rsidRPr="00661131">
        <w:rPr>
          <w:color w:val="000000"/>
        </w:rPr>
        <w:t xml:space="preserve">2. </w:t>
      </w:r>
      <w:r w:rsidRPr="00661131">
        <w:t>Kırmızı Kod Yangın Tatbikatı Eğitimi, Adnan Menederes Üniversitesi Uygulama ve Araştırma Hastanesi, 13.11.2018, Aydın</w:t>
      </w:r>
    </w:p>
    <w:p w:rsidR="005B77DC" w:rsidRPr="00661131" w:rsidRDefault="004F6C22">
      <w:pPr>
        <w:pStyle w:val="Normal1"/>
        <w:ind w:firstLine="0"/>
        <w:rPr>
          <w:color w:val="000000"/>
        </w:rPr>
      </w:pPr>
      <w:r w:rsidRPr="00661131">
        <w:rPr>
          <w:color w:val="000000"/>
        </w:rPr>
        <w:t>3. 6.Kök Hücre Sempozyumu, Kök Hücre ve Hücresel Tedavi Derneği ve Marmara Üniversitesi, 05.05.2017-06.05.2017, İstanbul</w:t>
      </w:r>
    </w:p>
    <w:p w:rsidR="005B77DC" w:rsidRPr="00661131" w:rsidRDefault="004F6C22">
      <w:pPr>
        <w:pStyle w:val="Normal1"/>
        <w:ind w:firstLine="0"/>
        <w:rPr>
          <w:color w:val="000000"/>
        </w:rPr>
      </w:pPr>
      <w:r w:rsidRPr="00661131">
        <w:rPr>
          <w:color w:val="000000"/>
        </w:rPr>
        <w:t>4. Temel Hücre Kültürü ve Hücre Ölümü Analiz Yöntemleri Uygulamalı Kursu-IV, Ege Üniversitesi, 14.06.2017-16.06.2017, İzmir</w:t>
      </w:r>
    </w:p>
    <w:p w:rsidR="005B77DC" w:rsidRDefault="004F6C22">
      <w:pPr>
        <w:pStyle w:val="Normal1"/>
        <w:ind w:firstLine="0"/>
        <w:rPr>
          <w:color w:val="000000"/>
        </w:rPr>
      </w:pPr>
      <w:r w:rsidRPr="00661131">
        <w:rPr>
          <w:color w:val="000000"/>
        </w:rPr>
        <w:t>5. Biyoloji Sergisi, Ankara Üniversitesi Fen Fakültesi Biyoloji Bölümü, 2001-2002, Ankara</w:t>
      </w:r>
    </w:p>
    <w:sectPr w:rsidR="005B77DC" w:rsidSect="005B77DC">
      <w:pgSz w:w="11906" w:h="16838"/>
      <w:pgMar w:top="1418" w:right="1304" w:bottom="1418" w:left="1701" w:header="851" w:footer="851" w:gutter="0"/>
      <w:cols w:space="708" w:equalWidth="0">
        <w:col w:w="9406"/>
      </w:cols>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16C0C" w:rsidRDefault="00316C0C" w:rsidP="005B77DC">
      <w:pPr>
        <w:spacing w:line="240" w:lineRule="auto"/>
      </w:pPr>
      <w:r>
        <w:separator/>
      </w:r>
    </w:p>
  </w:endnote>
  <w:endnote w:type="continuationSeparator" w:id="1">
    <w:p w:rsidR="00316C0C" w:rsidRDefault="00316C0C" w:rsidP="005B77DC">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Merriweather">
    <w:altName w:val="Times New Roman"/>
    <w:charset w:val="00"/>
    <w:family w:val="auto"/>
    <w:pitch w:val="default"/>
    <w:sig w:usb0="00000000" w:usb1="00000000" w:usb2="00000000" w:usb3="00000000" w:csb0="00000000" w:csb1="00000000"/>
  </w:font>
  <w:font w:name="Courier New">
    <w:panose1 w:val="02070309020205020404"/>
    <w:charset w:val="A2"/>
    <w:family w:val="modern"/>
    <w:pitch w:val="fixed"/>
    <w:sig w:usb0="E0002EFF" w:usb1="C0007843" w:usb2="00000009" w:usb3="00000000" w:csb0="000001FF" w:csb1="00000000"/>
  </w:font>
  <w:font w:name="Noto Sans Symbols">
    <w:altName w:val="Times New Roman"/>
    <w:charset w:val="00"/>
    <w:family w:val="auto"/>
    <w:pitch w:val="default"/>
    <w:sig w:usb0="00000000" w:usb1="00000000" w:usb2="00000000" w:usb3="00000000" w:csb0="00000000" w:csb1="00000000"/>
  </w:font>
  <w:font w:name="Times New Roman">
    <w:panose1 w:val="02020603050405020304"/>
    <w:charset w:val="A2"/>
    <w:family w:val="roman"/>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A2"/>
    <w:family w:val="swiss"/>
    <w:pitch w:val="variable"/>
    <w:sig w:usb0="E4002EFF" w:usb1="C000247B"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Cambria Math">
    <w:panose1 w:val="02040503050406030204"/>
    <w:charset w:val="A2"/>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0BE4" w:rsidRDefault="00325A9D">
    <w:pPr>
      <w:pStyle w:val="Normal1"/>
      <w:pBdr>
        <w:top w:val="nil"/>
        <w:left w:val="nil"/>
        <w:bottom w:val="nil"/>
        <w:right w:val="nil"/>
        <w:between w:val="nil"/>
      </w:pBdr>
      <w:tabs>
        <w:tab w:val="center" w:pos="4536"/>
        <w:tab w:val="right" w:pos="9072"/>
      </w:tabs>
      <w:spacing w:line="240" w:lineRule="auto"/>
      <w:ind w:firstLine="0"/>
      <w:jc w:val="right"/>
      <w:rPr>
        <w:color w:val="000000"/>
      </w:rPr>
    </w:pPr>
    <w:r>
      <w:rPr>
        <w:color w:val="000000"/>
      </w:rPr>
      <w:fldChar w:fldCharType="begin"/>
    </w:r>
    <w:r w:rsidR="00790BE4">
      <w:rPr>
        <w:color w:val="000000"/>
      </w:rPr>
      <w:instrText>PAGE</w:instrText>
    </w:r>
    <w:r>
      <w:rPr>
        <w:color w:val="000000"/>
      </w:rPr>
      <w:fldChar w:fldCharType="separate"/>
    </w:r>
    <w:r w:rsidR="009B4C42">
      <w:rPr>
        <w:noProof/>
        <w:color w:val="000000"/>
      </w:rPr>
      <w:t>51</w:t>
    </w:r>
    <w:r>
      <w:rPr>
        <w:color w:val="000000"/>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16C0C" w:rsidRDefault="00316C0C" w:rsidP="005B77DC">
      <w:pPr>
        <w:spacing w:line="240" w:lineRule="auto"/>
      </w:pPr>
      <w:r>
        <w:separator/>
      </w:r>
    </w:p>
  </w:footnote>
  <w:footnote w:type="continuationSeparator" w:id="1">
    <w:p w:rsidR="00316C0C" w:rsidRDefault="00316C0C" w:rsidP="005B77DC">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0BE4" w:rsidRDefault="00790BE4">
    <w:pPr>
      <w:pStyle w:val="Normal1"/>
      <w:pBdr>
        <w:top w:val="nil"/>
        <w:left w:val="nil"/>
        <w:bottom w:val="nil"/>
        <w:right w:val="nil"/>
        <w:between w:val="nil"/>
      </w:pBdr>
      <w:tabs>
        <w:tab w:val="center" w:pos="4536"/>
        <w:tab w:val="right" w:pos="9072"/>
      </w:tabs>
      <w:spacing w:line="240" w:lineRule="auto"/>
      <w:ind w:firstLine="0"/>
      <w:jc w:val="left"/>
      <w:rPr>
        <w:color w:val="00000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C30429F"/>
    <w:multiLevelType w:val="multilevel"/>
    <w:tmpl w:val="8392012E"/>
    <w:lvl w:ilvl="0">
      <w:start w:val="1"/>
      <w:numFmt w:val="bullet"/>
      <w:lvlText w:val="-"/>
      <w:lvlJc w:val="left"/>
      <w:pPr>
        <w:ind w:left="360" w:hanging="360"/>
      </w:pPr>
      <w:rPr>
        <w:rFonts w:ascii="Merriweather" w:eastAsia="Merriweather" w:hAnsi="Merriweather" w:cs="Merriweather"/>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hideSpellingErrors/>
  <w:proofState w:grammar="clean"/>
  <w:defaultTabStop w:val="720"/>
  <w:hyphenationZone w:val="425"/>
  <w:characterSpacingControl w:val="doNotCompress"/>
  <w:footnotePr>
    <w:footnote w:id="0"/>
    <w:footnote w:id="1"/>
  </w:footnotePr>
  <w:endnotePr>
    <w:endnote w:id="0"/>
    <w:endnote w:id="1"/>
  </w:endnotePr>
  <w:compat/>
  <w:rsids>
    <w:rsidRoot w:val="005B77DC"/>
    <w:rsid w:val="00040D28"/>
    <w:rsid w:val="00042249"/>
    <w:rsid w:val="00046158"/>
    <w:rsid w:val="00080E8B"/>
    <w:rsid w:val="000F5901"/>
    <w:rsid w:val="00146754"/>
    <w:rsid w:val="001517AA"/>
    <w:rsid w:val="00176FEE"/>
    <w:rsid w:val="001A2F09"/>
    <w:rsid w:val="001D3652"/>
    <w:rsid w:val="002473C8"/>
    <w:rsid w:val="002758D1"/>
    <w:rsid w:val="00316C0C"/>
    <w:rsid w:val="00321AB4"/>
    <w:rsid w:val="00325A9D"/>
    <w:rsid w:val="003642FB"/>
    <w:rsid w:val="00380F6C"/>
    <w:rsid w:val="00382B8C"/>
    <w:rsid w:val="003A30AC"/>
    <w:rsid w:val="003B68B5"/>
    <w:rsid w:val="003C654E"/>
    <w:rsid w:val="003D5467"/>
    <w:rsid w:val="003E2B11"/>
    <w:rsid w:val="003F0B4A"/>
    <w:rsid w:val="003F710E"/>
    <w:rsid w:val="00415BEF"/>
    <w:rsid w:val="00415C97"/>
    <w:rsid w:val="004234A1"/>
    <w:rsid w:val="00465E37"/>
    <w:rsid w:val="004E21CE"/>
    <w:rsid w:val="004E380B"/>
    <w:rsid w:val="004F35E3"/>
    <w:rsid w:val="004F6C22"/>
    <w:rsid w:val="00500938"/>
    <w:rsid w:val="00532C31"/>
    <w:rsid w:val="005339EE"/>
    <w:rsid w:val="005358D9"/>
    <w:rsid w:val="005427A5"/>
    <w:rsid w:val="0055051A"/>
    <w:rsid w:val="005B77DC"/>
    <w:rsid w:val="005E4A9A"/>
    <w:rsid w:val="006078B5"/>
    <w:rsid w:val="00612065"/>
    <w:rsid w:val="00627363"/>
    <w:rsid w:val="00640032"/>
    <w:rsid w:val="00642862"/>
    <w:rsid w:val="00646540"/>
    <w:rsid w:val="00661131"/>
    <w:rsid w:val="0067784C"/>
    <w:rsid w:val="00682482"/>
    <w:rsid w:val="006871D1"/>
    <w:rsid w:val="006B4B08"/>
    <w:rsid w:val="006C7BC6"/>
    <w:rsid w:val="006D700E"/>
    <w:rsid w:val="006D7C06"/>
    <w:rsid w:val="00724251"/>
    <w:rsid w:val="0073408B"/>
    <w:rsid w:val="00740873"/>
    <w:rsid w:val="00740B44"/>
    <w:rsid w:val="00742D47"/>
    <w:rsid w:val="007443C3"/>
    <w:rsid w:val="00744E43"/>
    <w:rsid w:val="00752519"/>
    <w:rsid w:val="00766B14"/>
    <w:rsid w:val="00790BE4"/>
    <w:rsid w:val="007A3AC8"/>
    <w:rsid w:val="007C14B0"/>
    <w:rsid w:val="007D3CCE"/>
    <w:rsid w:val="00854903"/>
    <w:rsid w:val="008625CE"/>
    <w:rsid w:val="00863AEC"/>
    <w:rsid w:val="00863AF3"/>
    <w:rsid w:val="008A767A"/>
    <w:rsid w:val="008E1124"/>
    <w:rsid w:val="00962B8C"/>
    <w:rsid w:val="00974BE1"/>
    <w:rsid w:val="00982650"/>
    <w:rsid w:val="009B4C42"/>
    <w:rsid w:val="00A13F86"/>
    <w:rsid w:val="00A47F0E"/>
    <w:rsid w:val="00A753B1"/>
    <w:rsid w:val="00A94B36"/>
    <w:rsid w:val="00AA3884"/>
    <w:rsid w:val="00AC6A5C"/>
    <w:rsid w:val="00AD47A6"/>
    <w:rsid w:val="00AD62E8"/>
    <w:rsid w:val="00AF2842"/>
    <w:rsid w:val="00B4256D"/>
    <w:rsid w:val="00B51517"/>
    <w:rsid w:val="00B566B8"/>
    <w:rsid w:val="00B963E0"/>
    <w:rsid w:val="00BC00CE"/>
    <w:rsid w:val="00C973A4"/>
    <w:rsid w:val="00CC6091"/>
    <w:rsid w:val="00CD4B15"/>
    <w:rsid w:val="00CD72C6"/>
    <w:rsid w:val="00CE74AB"/>
    <w:rsid w:val="00D417AC"/>
    <w:rsid w:val="00DF320E"/>
    <w:rsid w:val="00DF5395"/>
    <w:rsid w:val="00E03CF3"/>
    <w:rsid w:val="00E13C7E"/>
    <w:rsid w:val="00E16BA9"/>
    <w:rsid w:val="00E7782E"/>
    <w:rsid w:val="00EF6BBC"/>
    <w:rsid w:val="00F03E69"/>
    <w:rsid w:val="00F3699A"/>
    <w:rsid w:val="00F52A65"/>
    <w:rsid w:val="00FA478B"/>
    <w:rsid w:val="00FD36F7"/>
    <w:rsid w:val="00FE5909"/>
    <w:rsid w:val="00FE7564"/>
    <w:rsid w:val="00FF2922"/>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3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4"/>
        <w:szCs w:val="24"/>
        <w:lang w:val="tr-TR" w:eastAsia="tr-TR" w:bidi="ar-SA"/>
      </w:rPr>
    </w:rPrDefault>
    <w:pPrDefault>
      <w:pPr>
        <w:spacing w:line="360" w:lineRule="auto"/>
        <w:ind w:firstLine="567"/>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2862"/>
  </w:style>
  <w:style w:type="paragraph" w:styleId="Balk1">
    <w:name w:val="heading 1"/>
    <w:basedOn w:val="Normal1"/>
    <w:next w:val="Normal1"/>
    <w:rsid w:val="005B77DC"/>
    <w:pPr>
      <w:keepNext/>
      <w:keepLines/>
      <w:jc w:val="center"/>
      <w:outlineLvl w:val="0"/>
    </w:pPr>
    <w:rPr>
      <w:b/>
      <w:sz w:val="28"/>
      <w:szCs w:val="28"/>
    </w:rPr>
  </w:style>
  <w:style w:type="paragraph" w:styleId="Balk2">
    <w:name w:val="heading 2"/>
    <w:basedOn w:val="Normal1"/>
    <w:next w:val="Normal1"/>
    <w:rsid w:val="005B77DC"/>
    <w:pPr>
      <w:keepNext/>
      <w:keepLines/>
      <w:ind w:firstLine="0"/>
      <w:outlineLvl w:val="1"/>
    </w:pPr>
    <w:rPr>
      <w:b/>
    </w:rPr>
  </w:style>
  <w:style w:type="paragraph" w:styleId="Balk3">
    <w:name w:val="heading 3"/>
    <w:basedOn w:val="Normal1"/>
    <w:next w:val="Normal1"/>
    <w:rsid w:val="005B77DC"/>
    <w:pPr>
      <w:keepNext/>
      <w:keepLines/>
      <w:ind w:firstLine="0"/>
      <w:outlineLvl w:val="2"/>
    </w:pPr>
    <w:rPr>
      <w:b/>
    </w:rPr>
  </w:style>
  <w:style w:type="paragraph" w:styleId="Balk4">
    <w:name w:val="heading 4"/>
    <w:basedOn w:val="Normal1"/>
    <w:next w:val="Normal1"/>
    <w:rsid w:val="005B77DC"/>
    <w:pPr>
      <w:keepNext/>
      <w:keepLines/>
      <w:ind w:firstLine="0"/>
      <w:jc w:val="left"/>
      <w:outlineLvl w:val="3"/>
    </w:pPr>
    <w:rPr>
      <w:b/>
    </w:rPr>
  </w:style>
  <w:style w:type="paragraph" w:styleId="Balk5">
    <w:name w:val="heading 5"/>
    <w:basedOn w:val="Normal1"/>
    <w:next w:val="Normal1"/>
    <w:rsid w:val="005B77DC"/>
    <w:pPr>
      <w:keepNext/>
      <w:keepLines/>
      <w:ind w:firstLine="0"/>
      <w:jc w:val="left"/>
      <w:outlineLvl w:val="4"/>
    </w:pPr>
    <w:rPr>
      <w:b/>
    </w:rPr>
  </w:style>
  <w:style w:type="paragraph" w:styleId="Balk6">
    <w:name w:val="heading 6"/>
    <w:basedOn w:val="Normal1"/>
    <w:next w:val="Normal1"/>
    <w:rsid w:val="005B77DC"/>
    <w:pPr>
      <w:keepNext/>
      <w:keepLines/>
      <w:spacing w:before="200"/>
      <w:outlineLvl w:val="5"/>
    </w:pPr>
    <w:rPr>
      <w:rFonts w:ascii="Cambria" w:eastAsia="Cambria" w:hAnsi="Cambria" w:cs="Cambria"/>
      <w:i/>
      <w:color w:val="243F6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Normal1">
    <w:name w:val="Normal1"/>
    <w:rsid w:val="005B77DC"/>
  </w:style>
  <w:style w:type="table" w:customStyle="1" w:styleId="TableNormal">
    <w:name w:val="Table Normal"/>
    <w:rsid w:val="005B77DC"/>
    <w:tblPr>
      <w:tblCellMar>
        <w:top w:w="0" w:type="dxa"/>
        <w:left w:w="0" w:type="dxa"/>
        <w:bottom w:w="0" w:type="dxa"/>
        <w:right w:w="0" w:type="dxa"/>
      </w:tblCellMar>
    </w:tblPr>
  </w:style>
  <w:style w:type="paragraph" w:styleId="KonuBal">
    <w:name w:val="Title"/>
    <w:basedOn w:val="Normal1"/>
    <w:next w:val="Normal1"/>
    <w:rsid w:val="005B77DC"/>
    <w:pPr>
      <w:spacing w:line="480" w:lineRule="auto"/>
      <w:ind w:firstLine="0"/>
      <w:jc w:val="center"/>
    </w:pPr>
    <w:rPr>
      <w:b/>
      <w:sz w:val="28"/>
      <w:szCs w:val="28"/>
    </w:rPr>
  </w:style>
  <w:style w:type="paragraph" w:styleId="AltKonuBal">
    <w:name w:val="Subtitle"/>
    <w:basedOn w:val="Normal1"/>
    <w:next w:val="Normal1"/>
    <w:rsid w:val="005B77DC"/>
    <w:pPr>
      <w:spacing w:line="480" w:lineRule="auto"/>
      <w:ind w:firstLine="0"/>
      <w:jc w:val="center"/>
    </w:pPr>
    <w:rPr>
      <w:b/>
    </w:rPr>
  </w:style>
  <w:style w:type="table" w:customStyle="1" w:styleId="a">
    <w:basedOn w:val="TableNormal"/>
    <w:rsid w:val="005B77DC"/>
    <w:tblPr>
      <w:tblStyleRowBandSize w:val="1"/>
      <w:tblStyleColBandSize w:val="1"/>
      <w:tblCellMar>
        <w:top w:w="0" w:type="dxa"/>
        <w:left w:w="115" w:type="dxa"/>
        <w:bottom w:w="0" w:type="dxa"/>
        <w:right w:w="115" w:type="dxa"/>
      </w:tblCellMar>
    </w:tblPr>
  </w:style>
  <w:style w:type="table" w:customStyle="1" w:styleId="a0">
    <w:basedOn w:val="TableNormal"/>
    <w:rsid w:val="005B77DC"/>
    <w:pPr>
      <w:spacing w:line="240" w:lineRule="auto"/>
    </w:pPr>
    <w:rPr>
      <w:color w:val="366091"/>
    </w:rPr>
    <w:tblPr>
      <w:tblStyleRowBandSize w:val="1"/>
      <w:tblStyleColBandSize w:val="1"/>
      <w:tblCellMar>
        <w:top w:w="0" w:type="dxa"/>
        <w:left w:w="108" w:type="dxa"/>
        <w:bottom w:w="0" w:type="dxa"/>
        <w:right w:w="108" w:type="dxa"/>
      </w:tblCellMar>
    </w:tblPr>
  </w:style>
  <w:style w:type="table" w:customStyle="1" w:styleId="a1">
    <w:basedOn w:val="TableNormal"/>
    <w:rsid w:val="005B77DC"/>
    <w:pPr>
      <w:spacing w:line="240" w:lineRule="auto"/>
    </w:pPr>
    <w:rPr>
      <w:color w:val="366091"/>
    </w:rPr>
    <w:tblPr>
      <w:tblStyleRowBandSize w:val="1"/>
      <w:tblStyleColBandSize w:val="1"/>
      <w:tblCellMar>
        <w:top w:w="0" w:type="dxa"/>
        <w:left w:w="108" w:type="dxa"/>
        <w:bottom w:w="0" w:type="dxa"/>
        <w:right w:w="108" w:type="dxa"/>
      </w:tblCellMar>
    </w:tblPr>
  </w:style>
  <w:style w:type="table" w:customStyle="1" w:styleId="a2">
    <w:basedOn w:val="TableNormal"/>
    <w:rsid w:val="005B77DC"/>
    <w:pPr>
      <w:spacing w:line="240" w:lineRule="auto"/>
    </w:pPr>
    <w:rPr>
      <w:color w:val="366091"/>
    </w:rPr>
    <w:tblPr>
      <w:tblStyleRowBandSize w:val="1"/>
      <w:tblStyleColBandSize w:val="1"/>
      <w:tblCellMar>
        <w:top w:w="0" w:type="dxa"/>
        <w:left w:w="108" w:type="dxa"/>
        <w:bottom w:w="0" w:type="dxa"/>
        <w:right w:w="108" w:type="dxa"/>
      </w:tblCellMar>
    </w:tblPr>
  </w:style>
  <w:style w:type="table" w:customStyle="1" w:styleId="a3">
    <w:basedOn w:val="TableNormal"/>
    <w:rsid w:val="005B77DC"/>
    <w:pPr>
      <w:spacing w:line="240" w:lineRule="auto"/>
    </w:pPr>
    <w:rPr>
      <w:color w:val="366091"/>
    </w:rPr>
    <w:tblPr>
      <w:tblStyleRowBandSize w:val="1"/>
      <w:tblStyleColBandSize w:val="1"/>
      <w:tblCellMar>
        <w:top w:w="0" w:type="dxa"/>
        <w:left w:w="108" w:type="dxa"/>
        <w:bottom w:w="0" w:type="dxa"/>
        <w:right w:w="108" w:type="dxa"/>
      </w:tblCellMar>
    </w:tblPr>
  </w:style>
  <w:style w:type="table" w:customStyle="1" w:styleId="a4">
    <w:basedOn w:val="TableNormal"/>
    <w:rsid w:val="005B77DC"/>
    <w:pPr>
      <w:spacing w:line="240" w:lineRule="auto"/>
    </w:pPr>
    <w:rPr>
      <w:color w:val="366091"/>
    </w:rPr>
    <w:tblPr>
      <w:tblStyleRowBandSize w:val="1"/>
      <w:tblStyleColBandSize w:val="1"/>
      <w:tblCellMar>
        <w:top w:w="0" w:type="dxa"/>
        <w:left w:w="108" w:type="dxa"/>
        <w:bottom w:w="0" w:type="dxa"/>
        <w:right w:w="108" w:type="dxa"/>
      </w:tblCellMar>
    </w:tblPr>
  </w:style>
  <w:style w:type="table" w:customStyle="1" w:styleId="a5">
    <w:basedOn w:val="TableNormal"/>
    <w:rsid w:val="005B77DC"/>
    <w:pPr>
      <w:spacing w:line="240" w:lineRule="auto"/>
    </w:pPr>
    <w:rPr>
      <w:color w:val="366091"/>
    </w:rPr>
    <w:tblPr>
      <w:tblStyleRowBandSize w:val="1"/>
      <w:tblStyleColBandSize w:val="1"/>
      <w:tblCellMar>
        <w:top w:w="0" w:type="dxa"/>
        <w:left w:w="108" w:type="dxa"/>
        <w:bottom w:w="0" w:type="dxa"/>
        <w:right w:w="108" w:type="dxa"/>
      </w:tblCellMar>
    </w:tblPr>
  </w:style>
  <w:style w:type="table" w:customStyle="1" w:styleId="a6">
    <w:basedOn w:val="TableNormal"/>
    <w:rsid w:val="005B77DC"/>
    <w:tblPr>
      <w:tblStyleRowBandSize w:val="1"/>
      <w:tblStyleColBandSize w:val="1"/>
      <w:tblCellMar>
        <w:top w:w="0" w:type="dxa"/>
        <w:left w:w="115" w:type="dxa"/>
        <w:bottom w:w="0" w:type="dxa"/>
        <w:right w:w="115" w:type="dxa"/>
      </w:tblCellMar>
    </w:tblPr>
  </w:style>
  <w:style w:type="table" w:customStyle="1" w:styleId="a7">
    <w:basedOn w:val="TableNormal"/>
    <w:rsid w:val="005B77DC"/>
    <w:tblPr>
      <w:tblStyleRowBandSize w:val="1"/>
      <w:tblStyleColBandSize w:val="1"/>
      <w:tblCellMar>
        <w:top w:w="0" w:type="dxa"/>
        <w:left w:w="115" w:type="dxa"/>
        <w:bottom w:w="0" w:type="dxa"/>
        <w:right w:w="115" w:type="dxa"/>
      </w:tblCellMar>
    </w:tblPr>
  </w:style>
  <w:style w:type="table" w:customStyle="1" w:styleId="a8">
    <w:basedOn w:val="TableNormal"/>
    <w:rsid w:val="005B77DC"/>
    <w:tblPr>
      <w:tblStyleRowBandSize w:val="1"/>
      <w:tblStyleColBandSize w:val="1"/>
      <w:tblCellMar>
        <w:top w:w="0" w:type="dxa"/>
        <w:left w:w="115" w:type="dxa"/>
        <w:bottom w:w="0" w:type="dxa"/>
        <w:right w:w="115" w:type="dxa"/>
      </w:tblCellMar>
    </w:tblPr>
  </w:style>
  <w:style w:type="paragraph" w:styleId="BalonMetni">
    <w:name w:val="Balloon Text"/>
    <w:basedOn w:val="Normal"/>
    <w:link w:val="BalonMetniChar"/>
    <w:uiPriority w:val="99"/>
    <w:semiHidden/>
    <w:unhideWhenUsed/>
    <w:rsid w:val="00A94B36"/>
    <w:pPr>
      <w:spacing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A94B36"/>
    <w:rPr>
      <w:rFonts w:ascii="Tahoma" w:hAnsi="Tahoma" w:cs="Tahoma"/>
      <w:sz w:val="16"/>
      <w:szCs w:val="16"/>
    </w:rPr>
  </w:style>
  <w:style w:type="paragraph" w:styleId="T1">
    <w:name w:val="toc 1"/>
    <w:basedOn w:val="Normal"/>
    <w:next w:val="Normal"/>
    <w:autoRedefine/>
    <w:uiPriority w:val="39"/>
    <w:unhideWhenUsed/>
    <w:qFormat/>
    <w:rsid w:val="00CC6091"/>
    <w:pPr>
      <w:tabs>
        <w:tab w:val="right" w:leader="dot" w:pos="9061"/>
      </w:tabs>
      <w:ind w:firstLine="0"/>
      <w:jc w:val="left"/>
    </w:pPr>
    <w:rPr>
      <w:rFonts w:eastAsiaTheme="minorHAnsi"/>
      <w:b/>
      <w:bCs/>
      <w:noProof/>
      <w:sz w:val="22"/>
      <w:lang w:eastAsia="en-US"/>
    </w:rPr>
  </w:style>
  <w:style w:type="character" w:styleId="Kpr">
    <w:name w:val="Hyperlink"/>
    <w:basedOn w:val="VarsaylanParagrafYazTipi"/>
    <w:uiPriority w:val="99"/>
    <w:unhideWhenUsed/>
    <w:rsid w:val="00CC6091"/>
    <w:rPr>
      <w:color w:val="0000FF" w:themeColor="hyperlink"/>
      <w:u w:val="single"/>
    </w:rPr>
  </w:style>
  <w:style w:type="paragraph" w:styleId="stbilgi">
    <w:name w:val="header"/>
    <w:basedOn w:val="Normal"/>
    <w:link w:val="stbilgiChar"/>
    <w:uiPriority w:val="99"/>
    <w:unhideWhenUsed/>
    <w:rsid w:val="00CC6091"/>
    <w:pPr>
      <w:tabs>
        <w:tab w:val="center" w:pos="4536"/>
        <w:tab w:val="right" w:pos="9072"/>
      </w:tabs>
      <w:spacing w:line="240" w:lineRule="auto"/>
    </w:pPr>
  </w:style>
  <w:style w:type="character" w:customStyle="1" w:styleId="stbilgiChar">
    <w:name w:val="Üstbilgi Char"/>
    <w:basedOn w:val="VarsaylanParagrafYazTipi"/>
    <w:link w:val="stbilgi"/>
    <w:uiPriority w:val="99"/>
    <w:rsid w:val="00CC6091"/>
  </w:style>
  <w:style w:type="paragraph" w:styleId="Altbilgi">
    <w:name w:val="footer"/>
    <w:basedOn w:val="Normal"/>
    <w:link w:val="AltbilgiChar"/>
    <w:uiPriority w:val="99"/>
    <w:unhideWhenUsed/>
    <w:rsid w:val="00CC6091"/>
    <w:pPr>
      <w:tabs>
        <w:tab w:val="center" w:pos="4536"/>
        <w:tab w:val="right" w:pos="9072"/>
      </w:tabs>
      <w:spacing w:line="240" w:lineRule="auto"/>
    </w:pPr>
  </w:style>
  <w:style w:type="character" w:customStyle="1" w:styleId="AltbilgiChar">
    <w:name w:val="Altbilgi Char"/>
    <w:basedOn w:val="VarsaylanParagrafYazTipi"/>
    <w:link w:val="Altbilgi"/>
    <w:uiPriority w:val="99"/>
    <w:rsid w:val="00CC6091"/>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png"/><Relationship Id="rId39" Type="http://schemas.openxmlformats.org/officeDocument/2006/relationships/hyperlink" Target="https://www.ncbi.nlm.nih.gov/pubmed/?term=Muramatsu%20H%5BAuthor%5D&amp;cauthor=true&amp;cauthor_uid=22106054" TargetMode="External"/><Relationship Id="rId3" Type="http://schemas.openxmlformats.org/officeDocument/2006/relationships/settings" Target="settings.xml"/><Relationship Id="rId21" Type="http://schemas.openxmlformats.org/officeDocument/2006/relationships/image" Target="media/image13.png"/><Relationship Id="rId34" Type="http://schemas.openxmlformats.org/officeDocument/2006/relationships/hyperlink" Target="https://www.ncbi.nlm.nih.gov/pubmed/?term=Ismael%20O%5BAuthor%5D&amp;cauthor=true&amp;cauthor_uid=22106054" TargetMode="External"/><Relationship Id="rId42" Type="http://schemas.openxmlformats.org/officeDocument/2006/relationships/hyperlink" Target="https://www.ncbi.nlm.nih.gov/pubmed/?term=%C5%9Eayl%C4%B1%20TR%5BAuthor%5D&amp;cauthor=true&amp;cauthor_uid=24292035" TargetMode="External"/><Relationship Id="rId47" Type="http://schemas.openxmlformats.org/officeDocument/2006/relationships/hyperlink" Target="https://www.ncbi.nlm.nih.gov/pubmed/?term=Dhanawat%20A%5BAuthor%5D&amp;cauthor=true&amp;cauthor_uid=29403202" TargetMode="External"/><Relationship Id="rId50" Type="http://schemas.openxmlformats.org/officeDocument/2006/relationships/hyperlink" Target="https://www.ncbi.nlm.nih.gov/pmc/articles/PMC5784290/" TargetMode="External"/><Relationship Id="rId7" Type="http://schemas.openxmlformats.org/officeDocument/2006/relationships/header" Target="header1.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hyperlink" Target="https://www.ncbi.nlm.nih.gov/pubmed/10524447" TargetMode="External"/><Relationship Id="rId38" Type="http://schemas.openxmlformats.org/officeDocument/2006/relationships/hyperlink" Target="https://www.ncbi.nlm.nih.gov/pubmed/?term=Doisaki%20S%5BAuthor%5D&amp;cauthor=true&amp;cauthor_uid=22106054" TargetMode="External"/><Relationship Id="rId46" Type="http://schemas.openxmlformats.org/officeDocument/2006/relationships/hyperlink" Target="https://www.ncbi.nlm.nih.gov/pubmed/?term=Pradhan%20S%5BAuthor%5D&amp;cauthor=true&amp;cauthor_uid=29403202" TargetMode="Externa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hyperlink" Target="https://www.ncbi.nlm.nih.gov/pubmed/?term=%C3%96zcan%20C%5BAuthor%5D&amp;cauthor=true&amp;cauthor_uid=24292035" TargetMode="External"/><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hyperlink" Target="https://www.uptodate.com/contents/approach-to-the-patient-with-thrombocytosis/abstract/2" TargetMode="External"/><Relationship Id="rId37" Type="http://schemas.openxmlformats.org/officeDocument/2006/relationships/hyperlink" Target="https://www.ncbi.nlm.nih.gov/pubmed/?term=Sakaguchi%20H%5BAuthor%5D&amp;cauthor=true&amp;cauthor_uid=22106054" TargetMode="External"/><Relationship Id="rId40" Type="http://schemas.openxmlformats.org/officeDocument/2006/relationships/hyperlink" Target="https://www.ncbi.nlm.nih.gov/pubmed/?term=Ismael+O%2C+Shimada+A%2C+Hama+A%2C+Sakaguchi+H%2C+Doisaki+S%2C+Muramatsu+H%2C+et+al.+Mutations+profile+of+polyctyhemia+vera+and+essential+thrombocythemia+among+Japanese+children" TargetMode="External"/><Relationship Id="rId45" Type="http://schemas.openxmlformats.org/officeDocument/2006/relationships/hyperlink" Target="https://www.ncbi.nlm.nih.gov/pubmed/?term=Sarangi%20R%5BAuthor%5D&amp;cauthor=true&amp;cauthor_uid=29403202" TargetMode="External"/><Relationship Id="rId53"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hyperlink" Target="https://www.ncbi.nlm.nih.gov/pubmed/?term=Hama%20A%5BAuthor%5D&amp;cauthor=true&amp;cauthor_uid=22106054" TargetMode="External"/><Relationship Id="rId49" Type="http://schemas.openxmlformats.org/officeDocument/2006/relationships/hyperlink" Target="https://www.ncbi.nlm.nih.gov/pubmed/?term=Benia%20G%5BAuthor%5D&amp;cauthor=true&amp;cauthor_uid=29403202" TargetMode="Externa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hyperlink" Target="https://www.uptodate.com/contents/approach-to-the-patient-with-thrombocytosis/abstract/2" TargetMode="External"/><Relationship Id="rId44" Type="http://schemas.openxmlformats.org/officeDocument/2006/relationships/hyperlink" Target="https://www.ncbi.nlm.nih.gov/pubmed/24292035" TargetMode="External"/><Relationship Id="rId52" Type="http://schemas.openxmlformats.org/officeDocument/2006/relationships/image" Target="media/image22.jpe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hyperlink" Target="https://www.ncbi.nlm.nih.gov/pubmed/?term=Sarangi%20R%5BAuthor%5D&amp;cauthor=true&amp;cauthor_uid=29403202" TargetMode="External"/><Relationship Id="rId35" Type="http://schemas.openxmlformats.org/officeDocument/2006/relationships/hyperlink" Target="https://www.ncbi.nlm.nih.gov/pubmed/?term=Shimada%20A%5BAuthor%5D&amp;cauthor=true&amp;cauthor_uid=22106054" TargetMode="External"/><Relationship Id="rId43" Type="http://schemas.openxmlformats.org/officeDocument/2006/relationships/hyperlink" Target="https://www.ncbi.nlm.nih.gov/pubmed/?term=Ko%C5%9Fan-%C3%87ulha%20V%5BAuthor%5D&amp;cauthor=true&amp;cauthor_uid=24292035" TargetMode="External"/><Relationship Id="rId48" Type="http://schemas.openxmlformats.org/officeDocument/2006/relationships/hyperlink" Target="https://www.ncbi.nlm.nih.gov/pubmed/?term=Patanayak%20R%5BAuthor%5D&amp;cauthor=true&amp;cauthor_uid=29403202" TargetMode="External"/><Relationship Id="rId8" Type="http://schemas.openxmlformats.org/officeDocument/2006/relationships/footer" Target="footer1.xml"/><Relationship Id="rId51" Type="http://schemas.openxmlformats.org/officeDocument/2006/relationships/hyperlink" Target="https://www.uptodate.com/contents/approach-to-the-patient-with-thrombocytosi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499</TotalTime>
  <Pages>65</Pages>
  <Words>13903</Words>
  <Characters>79253</Characters>
  <Application>Microsoft Office Word</Application>
  <DocSecurity>0</DocSecurity>
  <Lines>660</Lines>
  <Paragraphs>185</Paragraphs>
  <ScaleCrop>false</ScaleCrop>
  <HeadingPairs>
    <vt:vector size="2" baseType="variant">
      <vt:variant>
        <vt:lpstr>Konu Başlığı</vt:lpstr>
      </vt:variant>
      <vt:variant>
        <vt:i4>1</vt:i4>
      </vt:variant>
    </vt:vector>
  </HeadingPairs>
  <TitlesOfParts>
    <vt:vector size="1" baseType="lpstr">
      <vt:lpstr/>
    </vt:vector>
  </TitlesOfParts>
  <Company>bim</Company>
  <LinksUpToDate>false</LinksUpToDate>
  <CharactersWithSpaces>92971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lenovo</cp:lastModifiedBy>
  <cp:revision>92</cp:revision>
  <cp:lastPrinted>2020-10-17T10:37:00Z</cp:lastPrinted>
  <dcterms:created xsi:type="dcterms:W3CDTF">2020-03-24T18:26:00Z</dcterms:created>
  <dcterms:modified xsi:type="dcterms:W3CDTF">2020-10-21T18:37:00Z</dcterms:modified>
</cp:coreProperties>
</file>